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14:paraId="2D3C42F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cs="宋体"/>
          <w:b w:val="0"/>
          <w:bCs w:val="0"/>
          <w:color w:val="auto"/>
          <w:spacing w:val="10"/>
          <w:position w:val="1"/>
          <w:sz w:val="24"/>
          <w:szCs w:val="24"/>
          <w:u w:val="single" w:color="auto"/>
          <w:lang w:eastAsia="zh-CN"/>
        </w:rPr>
        <w:t>西安市临潼区零口街道办事处</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1AA6DC2D">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cs="宋体"/>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cs="宋体"/>
          <w:sz w:val="24"/>
          <w:szCs w:val="24"/>
          <w:highlight w:val="none"/>
          <w:u w:val="single"/>
          <w:lang w:val="en-US" w:eastAsia="zh-CN"/>
        </w:rPr>
        <w:t>临潼区零口街办大寨村仓储建设项目</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default"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西安市临潼区</w:t>
      </w:r>
      <w:r>
        <w:rPr>
          <w:rFonts w:hint="eastAsia" w:cs="宋体"/>
          <w:b w:val="0"/>
          <w:bCs w:val="0"/>
          <w:sz w:val="24"/>
          <w:szCs w:val="24"/>
          <w:highlight w:val="none"/>
          <w:u w:val="single"/>
          <w:lang w:val="en-US" w:eastAsia="zh-CN"/>
        </w:rPr>
        <w:t>零口街办大寨村</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财政资金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pStyle w:val="14"/>
        <w:keepNext w:val="0"/>
        <w:keepLines w:val="0"/>
        <w:pageBreakBefore w:val="0"/>
        <w:widowControl w:val="0"/>
        <w:tabs>
          <w:tab w:val="left" w:pos="7513"/>
        </w:tabs>
        <w:kinsoku/>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val="0"/>
          <w:bCs w:val="0"/>
          <w:spacing w:val="-6"/>
          <w:sz w:val="24"/>
          <w:szCs w:val="24"/>
          <w:highlight w:val="none"/>
          <w:u w:val="single"/>
          <w:lang w:val="en-US" w:eastAsia="zh-CN"/>
        </w:rPr>
        <w:t>临潼区零口街办大寨村仓储建设项目，该项目建设地点西安市临潼区零口街办，主要工程：①新建钢结构厂房一座及配套设施：建筑面积：1511.4㎡，主体结构形式为门式钢架结构，地上一层，建筑高度为8.2m，建筑工程等级为二级，抗震设防烈度为8度。②拆除混凝土路面621㎡，垃圾清理外运</w:t>
      </w:r>
      <w:r>
        <w:rPr>
          <w:rFonts w:hint="eastAsia" w:ascii="宋体" w:hAnsi="宋体" w:cs="宋体"/>
          <w:b w:val="0"/>
          <w:bCs w:val="0"/>
          <w:spacing w:val="-6"/>
          <w:sz w:val="24"/>
          <w:szCs w:val="24"/>
          <w:highlight w:val="none"/>
          <w:u w:val="single"/>
          <w:lang w:val="en-US" w:eastAsia="zh-CN"/>
        </w:rPr>
        <w:t>。</w:t>
      </w:r>
      <w:r>
        <w:rPr>
          <w:rFonts w:hint="eastAsia" w:asciiTheme="minorEastAsia" w:hAnsiTheme="minorEastAsia" w:eastAsiaTheme="minorEastAsia" w:cstheme="minorEastAsia"/>
          <w:b w:val="0"/>
          <w:bCs w:val="0"/>
          <w:sz w:val="24"/>
          <w:szCs w:val="24"/>
          <w:highlight w:val="none"/>
          <w:u w:val="single"/>
          <w:lang w:val="en-US" w:eastAsia="zh-CN"/>
        </w:rPr>
        <w:t>具体工程内容详见工程量清单。</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150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ordWrap/>
        <w:overflowPunct/>
        <w:topLinePunct w:val="0"/>
        <w:autoSpaceDE w:val="0"/>
        <w:autoSpaceDN w:val="0"/>
        <w:bidi w:val="0"/>
        <w:adjustRightInd w:val="0"/>
        <w:spacing w:line="348"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u w:val="single"/>
        </w:rPr>
        <w:t>符合国家现行有关施工质量验收规范“合格”要求。</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13036"/>
      <w:bookmarkStart w:id="3" w:name="_Toc221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18738"/>
      <w:bookmarkStart w:id="5" w:name="_Toc30698"/>
      <w:bookmarkStart w:id="6" w:name="_Toc24961"/>
      <w:bookmarkStart w:id="7" w:name="_Toc21529"/>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17082"/>
      <w:bookmarkStart w:id="9" w:name="_Toc5228"/>
      <w:bookmarkStart w:id="10" w:name="_Toc24439"/>
      <w:bookmarkStart w:id="11" w:name="_Toc7962"/>
      <w:bookmarkStart w:id="12" w:name="_Toc8577"/>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31148"/>
      <w:bookmarkStart w:id="14" w:name="_Toc30596"/>
      <w:bookmarkStart w:id="15" w:name="_Toc9632"/>
      <w:bookmarkStart w:id="16" w:name="_Toc19000"/>
      <w:bookmarkStart w:id="17" w:name="_Toc2459"/>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17921"/>
      <w:bookmarkStart w:id="19" w:name="_Toc3120"/>
      <w:bookmarkStart w:id="20" w:name="_Toc14387"/>
      <w:bookmarkStart w:id="21" w:name="_Toc28937"/>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6987"/>
      <w:bookmarkStart w:id="23" w:name="_Toc16777"/>
      <w:bookmarkStart w:id="24" w:name="_Toc3856"/>
      <w:bookmarkStart w:id="25" w:name="_Toc21983"/>
      <w:bookmarkStart w:id="26" w:name="_Toc20289"/>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23517"/>
      <w:bookmarkStart w:id="28" w:name="_Toc23934"/>
      <w:bookmarkStart w:id="29" w:name="_Toc32105"/>
      <w:bookmarkStart w:id="30" w:name="_Toc2863"/>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32429"/>
      <w:bookmarkStart w:id="32" w:name="_Toc26104"/>
      <w:bookmarkStart w:id="33" w:name="_Toc9138"/>
      <w:bookmarkStart w:id="34" w:name="_Toc6359"/>
      <w:bookmarkStart w:id="35" w:name="_Toc596"/>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6374"/>
      <w:bookmarkStart w:id="37" w:name="_Toc8214"/>
      <w:bookmarkStart w:id="38" w:name="_Toc21456"/>
      <w:bookmarkStart w:id="39" w:name="_Toc25443"/>
      <w:bookmarkStart w:id="40" w:name="_Toc2038"/>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21027"/>
      <w:bookmarkStart w:id="42" w:name="_Toc30981"/>
      <w:bookmarkStart w:id="43" w:name="_Toc25453"/>
      <w:bookmarkStart w:id="44" w:name="_Toc32482"/>
      <w:bookmarkStart w:id="45" w:name="_Toc7583"/>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20325"/>
      <w:bookmarkStart w:id="47" w:name="_Toc1026"/>
      <w:bookmarkStart w:id="48" w:name="_Toc7958"/>
      <w:bookmarkStart w:id="49" w:name="_Toc3900"/>
      <w:bookmarkStart w:id="50" w:name="_Toc28537"/>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24727"/>
      <w:bookmarkStart w:id="52" w:name="_Toc6434"/>
      <w:bookmarkStart w:id="53" w:name="_Toc26372"/>
      <w:bookmarkStart w:id="54" w:name="_Toc17579"/>
      <w:bookmarkStart w:id="55" w:name="_Toc2134"/>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8179"/>
      <w:bookmarkStart w:id="57" w:name="_Toc16171"/>
      <w:bookmarkStart w:id="58" w:name="_Toc2895"/>
      <w:bookmarkStart w:id="59" w:name="_Toc15146"/>
      <w:bookmarkStart w:id="60" w:name="_Toc15294"/>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23286"/>
      <w:bookmarkStart w:id="62" w:name="_Toc18471"/>
      <w:bookmarkStart w:id="63" w:name="_Toc11558"/>
      <w:bookmarkStart w:id="64" w:name="_Toc9560"/>
      <w:bookmarkStart w:id="65" w:name="_Toc15150"/>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12899"/>
      <w:bookmarkStart w:id="67" w:name="_Toc30393"/>
      <w:bookmarkStart w:id="68" w:name="_Toc16919"/>
      <w:bookmarkStart w:id="69" w:name="_Toc25185"/>
      <w:bookmarkStart w:id="70" w:name="_Toc17780"/>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31232"/>
      <w:bookmarkStart w:id="72" w:name="_Toc18617"/>
      <w:bookmarkStart w:id="73" w:name="_Toc16841"/>
      <w:bookmarkStart w:id="74" w:name="_Toc13138"/>
      <w:bookmarkStart w:id="75" w:name="_Toc21725"/>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1992"/>
      <w:bookmarkStart w:id="77" w:name="_Toc3355"/>
      <w:bookmarkStart w:id="78" w:name="_Toc6081"/>
      <w:bookmarkStart w:id="79" w:name="_Toc16778"/>
      <w:bookmarkStart w:id="80" w:name="_Toc30781"/>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30743"/>
      <w:bookmarkStart w:id="82" w:name="_Toc5167"/>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lang w:val="zh-CN"/>
        </w:rPr>
        <w:t>适用标准、规范的名称：</w:t>
      </w:r>
      <w:r>
        <w:rPr>
          <w:rFonts w:hint="eastAsia" w:ascii="宋体" w:hAnsi="宋体" w:eastAsia="宋体" w:cs="宋体"/>
          <w:bCs/>
          <w:sz w:val="24"/>
          <w:szCs w:val="24"/>
          <w:u w:val="single"/>
          <w:lang w:val="zh-CN"/>
        </w:rPr>
        <w:t>①《</w:t>
      </w:r>
      <w:r>
        <w:rPr>
          <w:rFonts w:hint="eastAsia" w:ascii="宋体" w:hAnsi="宋体" w:eastAsia="宋体" w:cs="宋体"/>
          <w:bCs/>
          <w:sz w:val="24"/>
          <w:szCs w:val="24"/>
          <w:u w:val="single"/>
          <w:lang w:val="en-US" w:eastAsia="zh-CN"/>
        </w:rPr>
        <w:t>建筑工程施工</w:t>
      </w:r>
      <w:r>
        <w:rPr>
          <w:rFonts w:hint="eastAsia" w:ascii="宋体" w:hAnsi="宋体" w:eastAsia="宋体" w:cs="宋体"/>
          <w:bCs/>
          <w:sz w:val="24"/>
          <w:szCs w:val="24"/>
          <w:u w:val="single"/>
          <w:lang w:val="zh-CN"/>
        </w:rPr>
        <w:t>质量统一验收标准》、</w:t>
      </w:r>
      <w:r>
        <w:rPr>
          <w:rFonts w:hint="eastAsia" w:ascii="宋体" w:hAnsi="宋体" w:eastAsia="宋体" w:cs="宋体"/>
          <w:bCs/>
          <w:sz w:val="24"/>
          <w:szCs w:val="24"/>
          <w:u w:val="single"/>
          <w:lang w:val="en-US" w:eastAsia="zh-CN"/>
        </w:rPr>
        <w:t>《建筑施工安全技术统一规范》、《门式刚架轻型房屋钢结构技术规范》</w:t>
      </w:r>
      <w:r>
        <w:rPr>
          <w:rFonts w:hint="eastAsia" w:cs="宋体"/>
          <w:bCs/>
          <w:sz w:val="24"/>
          <w:szCs w:val="24"/>
          <w:u w:val="single"/>
          <w:lang w:val="en-US" w:eastAsia="zh-CN"/>
        </w:rPr>
        <w:t>、</w:t>
      </w:r>
      <w:r>
        <w:rPr>
          <w:rFonts w:hint="eastAsia" w:ascii="宋体" w:hAnsi="宋体" w:eastAsia="宋体" w:cs="宋体"/>
          <w:bCs/>
          <w:sz w:val="24"/>
          <w:szCs w:val="24"/>
          <w:u w:val="single"/>
          <w:lang w:val="zh-CN"/>
        </w:rPr>
        <w:t>《建筑电气工程施工质量验收规范GB50303-2015》</w:t>
      </w:r>
      <w:r>
        <w:rPr>
          <w:rFonts w:hint="eastAsia" w:ascii="宋体" w:hAnsi="宋体" w:eastAsia="宋体" w:cs="宋体"/>
          <w:bCs/>
          <w:sz w:val="24"/>
          <w:szCs w:val="24"/>
          <w:u w:val="single"/>
          <w:lang w:val="zh-CN" w:eastAsia="zh-CN"/>
        </w:rPr>
        <w:t>、</w:t>
      </w:r>
      <w:r>
        <w:rPr>
          <w:rFonts w:hint="eastAsia" w:ascii="宋体" w:hAnsi="宋体" w:eastAsia="宋体" w:cs="宋体"/>
          <w:bCs/>
          <w:sz w:val="24"/>
          <w:szCs w:val="24"/>
          <w:u w:val="single"/>
          <w:lang w:val="zh-CN"/>
        </w:rPr>
        <w:t>《电气装置安装工程接地装置施工及验收规范GB50169-2016》等现行国家统一规范；②工程所在地建设主管部门的标准、规范；③工程所在地行业的标准、规范</w:t>
      </w:r>
      <w:r>
        <w:rPr>
          <w:rFonts w:hint="eastAsia" w:ascii="宋体" w:hAnsi="宋体" w:eastAsia="宋体" w:cs="宋体"/>
          <w:bCs/>
          <w:sz w:val="24"/>
          <w:szCs w:val="24"/>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eastAsia" w:asciiTheme="majorEastAsia" w:hAnsiTheme="majorEastAsia" w:eastAsiaTheme="majorEastAsia" w:cstheme="majorEastAsia"/>
          <w:sz w:val="24"/>
          <w:szCs w:val="24"/>
          <w:highlight w:val="none"/>
          <w:u w:val="single"/>
          <w:lang w:val="en-US" w:eastAsia="zh-CN"/>
        </w:rPr>
        <w:t>合同签订后15日内，支付合同总金额的30%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02D794F3">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（1）</w:t>
      </w:r>
      <w:r>
        <w:rPr>
          <w:rFonts w:hint="eastAsia" w:asciiTheme="majorEastAsia" w:hAnsiTheme="majorEastAsia" w:eastAsiaTheme="majorEastAsia" w:cstheme="majorEastAsia"/>
          <w:sz w:val="24"/>
          <w:szCs w:val="24"/>
          <w:highlight w:val="none"/>
          <w:u w:val="single"/>
          <w:lang w:val="en-US" w:eastAsia="zh-CN"/>
        </w:rPr>
        <w:t>合同签订后15日内，支付合同总金额的30%</w:t>
      </w:r>
      <w:r>
        <w:rPr>
          <w:rFonts w:hint="eastAsia" w:ascii="宋体" w:hAnsi="宋体" w:eastAsia="宋体" w:cs="宋体"/>
          <w:kern w:val="2"/>
          <w:sz w:val="24"/>
          <w:szCs w:val="24"/>
          <w:highlight w:val="none"/>
          <w:u w:val="single"/>
          <w:lang w:val="en-US" w:eastAsia="zh-CN"/>
        </w:rPr>
        <w:t>；</w:t>
      </w:r>
    </w:p>
    <w:p w14:paraId="775BD510">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（2）</w:t>
      </w:r>
      <w:r>
        <w:rPr>
          <w:rFonts w:hint="eastAsia" w:asciiTheme="majorEastAsia" w:hAnsiTheme="majorEastAsia" w:eastAsiaTheme="majorEastAsia" w:cstheme="majorEastAsia"/>
          <w:sz w:val="24"/>
          <w:szCs w:val="24"/>
          <w:highlight w:val="none"/>
          <w:u w:val="single"/>
          <w:lang w:val="en-US" w:eastAsia="zh-CN"/>
        </w:rPr>
        <w:t>基础完成并经验收后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，支付合同总金额的10%</w:t>
      </w:r>
      <w:r>
        <w:rPr>
          <w:rFonts w:hint="eastAsia" w:ascii="宋体" w:hAnsi="宋体" w:cs="宋体"/>
          <w:kern w:val="2"/>
          <w:sz w:val="24"/>
          <w:szCs w:val="24"/>
          <w:highlight w:val="none"/>
          <w:u w:val="single"/>
          <w:lang w:val="en-US" w:eastAsia="zh-CN"/>
        </w:rPr>
        <w:t>；</w:t>
      </w:r>
    </w:p>
    <w:p w14:paraId="50C0C8C3">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（3）</w:t>
      </w:r>
      <w:r>
        <w:rPr>
          <w:rFonts w:hint="eastAsia" w:asciiTheme="majorEastAsia" w:hAnsiTheme="majorEastAsia" w:eastAsiaTheme="majorEastAsia" w:cstheme="majorEastAsia"/>
          <w:sz w:val="24"/>
          <w:szCs w:val="24"/>
          <w:highlight w:val="none"/>
          <w:u w:val="single"/>
          <w:lang w:val="en-US" w:eastAsia="zh-CN"/>
        </w:rPr>
        <w:t>主体完成并经验收后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支付合同总金额的40%</w:t>
      </w:r>
      <w:r>
        <w:rPr>
          <w:rFonts w:hint="eastAsia" w:ascii="宋体" w:hAnsi="宋体" w:cs="宋体"/>
          <w:kern w:val="2"/>
          <w:sz w:val="24"/>
          <w:szCs w:val="24"/>
          <w:highlight w:val="none"/>
          <w:u w:val="single"/>
          <w:lang w:val="en-US" w:eastAsia="zh-CN"/>
        </w:rPr>
        <w:t>；</w:t>
      </w:r>
    </w:p>
    <w:p w14:paraId="34625AD1">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宋体" w:hAnsi="宋体" w:cs="宋体"/>
          <w:kern w:val="2"/>
          <w:sz w:val="24"/>
          <w:szCs w:val="24"/>
          <w:highlight w:val="none"/>
          <w:u w:val="single"/>
          <w:lang w:val="en-US" w:eastAsia="zh-CN"/>
        </w:rPr>
        <w:t>（4）</w:t>
      </w:r>
      <w:r>
        <w:rPr>
          <w:rFonts w:hint="eastAsia" w:asciiTheme="majorEastAsia" w:hAnsiTheme="majorEastAsia" w:eastAsiaTheme="majorEastAsia" w:cstheme="majorEastAsia"/>
          <w:sz w:val="24"/>
          <w:szCs w:val="24"/>
          <w:highlight w:val="none"/>
          <w:u w:val="single"/>
          <w:lang w:val="en-US" w:eastAsia="zh-CN"/>
        </w:rPr>
        <w:t>项目竣工验收合格且保洁、清场并完成工程造价审核后60日内，支付合同总金额的17%，预留质保金3%。</w:t>
      </w:r>
    </w:p>
    <w:p w14:paraId="526EE7F5">
      <w:pPr>
        <w:keepNext w:val="0"/>
        <w:keepLines w:val="0"/>
        <w:pageBreakBefore w:val="0"/>
        <w:wordWrap/>
        <w:overflowPunct/>
        <w:topLinePunct w:val="0"/>
        <w:autoSpaceDE w:val="0"/>
        <w:autoSpaceDN w:val="0"/>
        <w:bidi w:val="0"/>
        <w:adjustRightInd w:val="0"/>
        <w:spacing w:line="520" w:lineRule="exact"/>
        <w:ind w:firstLine="480" w:firstLineChars="200"/>
        <w:rPr>
          <w:rFonts w:hint="default"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（5）质保期满无质量问题，</w:t>
      </w:r>
      <w:r>
        <w:rPr>
          <w:rFonts w:hint="eastAsia" w:cs="宋体"/>
          <w:sz w:val="24"/>
          <w:szCs w:val="24"/>
          <w:highlight w:val="none"/>
          <w:u w:val="single"/>
          <w:lang w:val="en-US" w:eastAsia="zh-CN"/>
        </w:rPr>
        <w:t>发包人无息退还剩余保修金</w:t>
      </w:r>
      <w:r>
        <w:rPr>
          <w:rFonts w:hint="eastAsia" w:asciiTheme="majorEastAsia" w:hAnsiTheme="majorEastAsia" w:eastAsiaTheme="majorEastAsia" w:cstheme="majorEastAsia"/>
          <w:sz w:val="24"/>
          <w:szCs w:val="24"/>
          <w:highlight w:val="none"/>
          <w:u w:val="single"/>
          <w:lang w:val="en-US" w:eastAsia="zh-CN"/>
        </w:rPr>
        <w:t>。</w:t>
      </w:r>
    </w:p>
    <w:p w14:paraId="6D849333">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cs="宋体"/>
          <w:kern w:val="2"/>
          <w:sz w:val="24"/>
          <w:szCs w:val="24"/>
          <w:highlight w:val="none"/>
          <w:u w:val="none"/>
          <w:lang w:eastAsia="zh-CN"/>
        </w:rPr>
        <w:t>（</w:t>
      </w:r>
      <w:r>
        <w:rPr>
          <w:rFonts w:hint="eastAsia" w:ascii="宋体" w:hAnsi="宋体" w:cs="宋体"/>
          <w:kern w:val="2"/>
          <w:sz w:val="24"/>
          <w:szCs w:val="24"/>
          <w:highlight w:val="none"/>
          <w:u w:val="none"/>
          <w:lang w:val="en-US" w:eastAsia="zh-CN"/>
        </w:rPr>
        <w:t>6</w:t>
      </w:r>
      <w:r>
        <w:rPr>
          <w:rFonts w:hint="eastAsia" w:ascii="宋体" w:hAnsi="宋体" w:cs="宋体"/>
          <w:kern w:val="2"/>
          <w:sz w:val="24"/>
          <w:szCs w:val="24"/>
          <w:highlight w:val="none"/>
          <w:u w:val="none"/>
          <w:lang w:eastAsia="zh-CN"/>
        </w:rPr>
        <w:t>）</w:t>
      </w: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default" w:ascii="宋体" w:hAnsi="宋体" w:eastAsia="宋体" w:cs="宋体"/>
          <w:sz w:val="24"/>
          <w:szCs w:val="24"/>
          <w:highlight w:val="none"/>
          <w:u w:val="single"/>
          <w:lang w:val="en-US" w:eastAsia="zh-CN"/>
        </w:rPr>
        <w:t>乙方在接受付款前，开具相应额度发票给甲方</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cs="宋体"/>
          <w:b w:val="0"/>
          <w:bCs w:val="0"/>
          <w:color w:val="auto"/>
          <w:spacing w:val="10"/>
          <w:position w:val="1"/>
          <w:sz w:val="24"/>
          <w:szCs w:val="24"/>
          <w:u w:val="single" w:color="auto"/>
          <w:lang w:eastAsia="zh-CN"/>
        </w:rPr>
        <w:t>西安市临潼区零口街道办事处</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3"/>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503226"/>
      <w:bookmarkStart w:id="85" w:name="_Toc296347225"/>
      <w:bookmarkStart w:id="86" w:name="_Toc296891054"/>
      <w:bookmarkStart w:id="87" w:name="_Toc267261693"/>
      <w:bookmarkStart w:id="88" w:name="_Toc296346727"/>
      <w:bookmarkStart w:id="89" w:name="_Toc296944565"/>
      <w:bookmarkStart w:id="90" w:name="_Toc296891266"/>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b w:val="0"/>
          <w:bCs w:val="0"/>
          <w:color w:val="auto"/>
          <w:spacing w:val="10"/>
          <w:position w:val="1"/>
          <w:sz w:val="24"/>
          <w:szCs w:val="24"/>
          <w:u w:val="single" w:color="auto"/>
          <w:lang w:eastAsia="zh-CN"/>
        </w:rPr>
        <w:t>西安市临潼区零口街道办事处</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cs="宋体"/>
          <w:sz w:val="24"/>
          <w:szCs w:val="24"/>
          <w:highlight w:val="none"/>
          <w:u w:val="single"/>
          <w:lang w:val="en-US" w:eastAsia="zh-CN"/>
        </w:rPr>
        <w:t>临潼区零口街办大寨村仓储建设项目</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2"/>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2"/>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2"/>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highlight w:val="none"/>
          <w:lang w:val="zh-CN" w:eastAsia="zh-CN" w:bidi="zh-CN"/>
        </w:rPr>
        <w:t>1、</w:t>
      </w:r>
      <w:r>
        <w:rPr>
          <w:rFonts w:hint="eastAsia" w:cs="宋体"/>
          <w:kern w:val="0"/>
          <w:position w:val="6"/>
          <w:sz w:val="24"/>
          <w:szCs w:val="24"/>
          <w:highlight w:val="none"/>
          <w:lang w:val="en-US" w:eastAsia="zh-CN"/>
        </w:rPr>
        <w:t>门式刚架轻型钢结构房屋质量保修期为</w:t>
      </w:r>
      <w:r>
        <w:rPr>
          <w:rFonts w:hint="eastAsia" w:cs="宋体"/>
          <w:kern w:val="0"/>
          <w:position w:val="6"/>
          <w:sz w:val="24"/>
          <w:szCs w:val="24"/>
          <w:highlight w:val="none"/>
          <w:u w:val="single"/>
          <w:lang w:val="en-US" w:eastAsia="zh-CN" w:bidi="zh-CN"/>
        </w:rPr>
        <w:t>设计文件规定的工程合理使用年限</w:t>
      </w:r>
      <w:r>
        <w:rPr>
          <w:rFonts w:hint="eastAsia" w:cs="宋体"/>
          <w:kern w:val="0"/>
          <w:position w:val="6"/>
          <w:sz w:val="24"/>
          <w:szCs w:val="24"/>
          <w:highlight w:val="none"/>
          <w:lang w:val="en-US" w:eastAsia="zh-CN"/>
        </w:rPr>
        <w:t>；</w:t>
      </w:r>
    </w:p>
    <w:p w14:paraId="3AE228F4">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cs="宋体"/>
          <w:kern w:val="0"/>
          <w:position w:val="6"/>
          <w:sz w:val="24"/>
          <w:szCs w:val="24"/>
          <w:highlight w:val="none"/>
          <w:lang w:val="en-US" w:eastAsia="zh-CN"/>
        </w:rPr>
      </w:pPr>
      <w:r>
        <w:rPr>
          <w:rFonts w:hint="eastAsia" w:cs="宋体"/>
          <w:kern w:val="0"/>
          <w:position w:val="6"/>
          <w:sz w:val="24"/>
          <w:szCs w:val="24"/>
          <w:highlight w:val="none"/>
          <w:lang w:val="en-US" w:eastAsia="zh-CN" w:bidi="zh-CN"/>
        </w:rPr>
        <w:t>2</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rPr>
        <w:t>电气工程保修期为</w:t>
      </w:r>
      <w:r>
        <w:rPr>
          <w:rFonts w:hint="eastAsia" w:cs="宋体"/>
          <w:kern w:val="0"/>
          <w:position w:val="6"/>
          <w:sz w:val="24"/>
          <w:szCs w:val="24"/>
          <w:highlight w:val="none"/>
          <w:u w:val="single"/>
          <w:lang w:val="en-US" w:eastAsia="zh-CN"/>
        </w:rPr>
        <w:t xml:space="preserve">  2  </w:t>
      </w:r>
      <w:r>
        <w:rPr>
          <w:rFonts w:hint="eastAsia" w:cs="宋体"/>
          <w:kern w:val="0"/>
          <w:position w:val="6"/>
          <w:sz w:val="24"/>
          <w:szCs w:val="24"/>
          <w:highlight w:val="none"/>
          <w:lang w:val="en-US" w:eastAsia="zh-CN"/>
        </w:rPr>
        <w:t>年；</w:t>
      </w:r>
    </w:p>
    <w:p w14:paraId="4E9B5F9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highlight w:val="none"/>
          <w:lang w:val="zh-CN" w:eastAsia="zh-CN" w:bidi="zh-CN"/>
        </w:rPr>
        <w:t>3、</w:t>
      </w:r>
      <w:r>
        <w:rPr>
          <w:rFonts w:hint="eastAsia" w:cs="宋体"/>
          <w:kern w:val="0"/>
          <w:position w:val="6"/>
          <w:sz w:val="24"/>
          <w:szCs w:val="24"/>
          <w:highlight w:val="none"/>
          <w:lang w:val="en-US" w:eastAsia="zh-CN"/>
        </w:rPr>
        <w:t>其他工程保修期为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安全生产责任书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工程项目名称：</w:t>
      </w:r>
      <w:r>
        <w:rPr>
          <w:rFonts w:hint="eastAsia" w:ascii="宋体" w:hAnsi="宋体" w:eastAsia="宋体" w:cs="宋体"/>
          <w:sz w:val="24"/>
          <w:szCs w:val="24"/>
          <w:highlight w:val="none"/>
          <w:u w:val="single"/>
          <w:lang w:val="en-US" w:eastAsia="zh-CN"/>
        </w:rPr>
        <w:t xml:space="preserve"> </w:t>
      </w:r>
      <w:r>
        <w:rPr>
          <w:rFonts w:hint="eastAsia" w:cs="宋体"/>
          <w:sz w:val="24"/>
          <w:szCs w:val="24"/>
          <w:highlight w:val="none"/>
          <w:u w:val="single"/>
          <w:lang w:val="en-US" w:eastAsia="zh-CN"/>
        </w:rPr>
        <w:t>临潼区零口街办大寨村仓储建设项目</w:t>
      </w:r>
      <w:r>
        <w:rPr>
          <w:rFonts w:hint="eastAsia" w:ascii="宋体" w:hAnsi="宋体" w:eastAsia="宋体" w:cs="宋体"/>
          <w:sz w:val="24"/>
          <w:szCs w:val="24"/>
          <w:highlight w:val="none"/>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发包单位名称（以下称甲方）：</w:t>
      </w:r>
      <w:r>
        <w:rPr>
          <w:rFonts w:hint="eastAsia" w:ascii="宋体" w:hAnsi="宋体" w:eastAsia="宋体" w:cs="宋体"/>
          <w:sz w:val="24"/>
          <w:szCs w:val="24"/>
          <w:highlight w:val="none"/>
          <w:u w:val="single"/>
          <w:lang w:val="en-US" w:eastAsia="zh-CN"/>
        </w:rPr>
        <w:t xml:space="preserve">  </w:t>
      </w:r>
      <w:r>
        <w:rPr>
          <w:rFonts w:hint="eastAsia" w:cs="宋体"/>
          <w:b w:val="0"/>
          <w:bCs w:val="0"/>
          <w:color w:val="auto"/>
          <w:spacing w:val="10"/>
          <w:position w:val="1"/>
          <w:sz w:val="24"/>
          <w:szCs w:val="24"/>
          <w:highlight w:val="none"/>
          <w:u w:val="single" w:color="auto"/>
          <w:lang w:eastAsia="zh-CN"/>
        </w:rPr>
        <w:t>西安市临潼区零口街道办事处</w:t>
      </w:r>
      <w:r>
        <w:rPr>
          <w:rFonts w:hint="eastAsia" w:ascii="宋体" w:hAnsi="宋体" w:eastAsia="宋体" w:cs="宋体"/>
          <w:sz w:val="24"/>
          <w:szCs w:val="24"/>
          <w:highlight w:val="none"/>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bookmarkStart w:id="94" w:name="_GoBack"/>
      <w:bookmarkEnd w:id="94"/>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_bookmark4"/>
      <w:bookmarkEnd w:id="92"/>
      <w:bookmarkStart w:id="93" w:name="第五章_工程量清单"/>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21C21DE"/>
    <w:rsid w:val="02296E92"/>
    <w:rsid w:val="03B24C65"/>
    <w:rsid w:val="043B5AE2"/>
    <w:rsid w:val="04A647CA"/>
    <w:rsid w:val="04BC223F"/>
    <w:rsid w:val="052855FE"/>
    <w:rsid w:val="05F45A09"/>
    <w:rsid w:val="06F21F49"/>
    <w:rsid w:val="06F832D7"/>
    <w:rsid w:val="07320597"/>
    <w:rsid w:val="07341C95"/>
    <w:rsid w:val="07CF4038"/>
    <w:rsid w:val="081F6A2B"/>
    <w:rsid w:val="08BA0844"/>
    <w:rsid w:val="09694018"/>
    <w:rsid w:val="09866978"/>
    <w:rsid w:val="09A80FE4"/>
    <w:rsid w:val="09B63701"/>
    <w:rsid w:val="09EA0C98"/>
    <w:rsid w:val="09FD66D9"/>
    <w:rsid w:val="09FE743C"/>
    <w:rsid w:val="0A9D21CB"/>
    <w:rsid w:val="0B016BFE"/>
    <w:rsid w:val="0B1870DA"/>
    <w:rsid w:val="0B202667"/>
    <w:rsid w:val="0C3725CC"/>
    <w:rsid w:val="0CF230D7"/>
    <w:rsid w:val="0D046532"/>
    <w:rsid w:val="0E8F2773"/>
    <w:rsid w:val="0FAE6C29"/>
    <w:rsid w:val="106A2B50"/>
    <w:rsid w:val="107734BE"/>
    <w:rsid w:val="11F64A0A"/>
    <w:rsid w:val="13D053C0"/>
    <w:rsid w:val="13DB3D64"/>
    <w:rsid w:val="155E61A1"/>
    <w:rsid w:val="158C17BA"/>
    <w:rsid w:val="163F682C"/>
    <w:rsid w:val="177C4A0A"/>
    <w:rsid w:val="17A74C5B"/>
    <w:rsid w:val="17AC1CA0"/>
    <w:rsid w:val="17D3547E"/>
    <w:rsid w:val="181A30AD"/>
    <w:rsid w:val="186E51A7"/>
    <w:rsid w:val="18D019BE"/>
    <w:rsid w:val="19687E48"/>
    <w:rsid w:val="198A7DBF"/>
    <w:rsid w:val="19C54B29"/>
    <w:rsid w:val="1A310B82"/>
    <w:rsid w:val="1A3A7A37"/>
    <w:rsid w:val="1A903AFB"/>
    <w:rsid w:val="1ADD120E"/>
    <w:rsid w:val="1B8227E1"/>
    <w:rsid w:val="1CE04199"/>
    <w:rsid w:val="1D0165EA"/>
    <w:rsid w:val="1DFE701D"/>
    <w:rsid w:val="1E2A1B70"/>
    <w:rsid w:val="1FC3402A"/>
    <w:rsid w:val="20370574"/>
    <w:rsid w:val="20B67420"/>
    <w:rsid w:val="20D504B9"/>
    <w:rsid w:val="21336F8E"/>
    <w:rsid w:val="218477E9"/>
    <w:rsid w:val="2331574F"/>
    <w:rsid w:val="2338762A"/>
    <w:rsid w:val="234731C4"/>
    <w:rsid w:val="2466767A"/>
    <w:rsid w:val="24E30CCB"/>
    <w:rsid w:val="25661EF9"/>
    <w:rsid w:val="25777D91"/>
    <w:rsid w:val="265E685B"/>
    <w:rsid w:val="266E17F0"/>
    <w:rsid w:val="268B18B9"/>
    <w:rsid w:val="27135D4E"/>
    <w:rsid w:val="27E72880"/>
    <w:rsid w:val="28013942"/>
    <w:rsid w:val="286F2FA1"/>
    <w:rsid w:val="28BB61E6"/>
    <w:rsid w:val="2A047719"/>
    <w:rsid w:val="2A096B4A"/>
    <w:rsid w:val="2A7E571E"/>
    <w:rsid w:val="2AAE58D7"/>
    <w:rsid w:val="2AC34A37"/>
    <w:rsid w:val="2AFE23BA"/>
    <w:rsid w:val="2B065713"/>
    <w:rsid w:val="2B612949"/>
    <w:rsid w:val="2C482942"/>
    <w:rsid w:val="2D8748E9"/>
    <w:rsid w:val="2DAA05D8"/>
    <w:rsid w:val="2DBA01FC"/>
    <w:rsid w:val="2E60513A"/>
    <w:rsid w:val="2F202DB9"/>
    <w:rsid w:val="30711881"/>
    <w:rsid w:val="3115045E"/>
    <w:rsid w:val="31853836"/>
    <w:rsid w:val="33CA5530"/>
    <w:rsid w:val="33E86100"/>
    <w:rsid w:val="340F73E6"/>
    <w:rsid w:val="34371578"/>
    <w:rsid w:val="34E73EBF"/>
    <w:rsid w:val="35352E7D"/>
    <w:rsid w:val="354161B8"/>
    <w:rsid w:val="363650FE"/>
    <w:rsid w:val="368D6CE8"/>
    <w:rsid w:val="36B6732D"/>
    <w:rsid w:val="36B77ECB"/>
    <w:rsid w:val="37A83DDA"/>
    <w:rsid w:val="38E52E0C"/>
    <w:rsid w:val="392456E2"/>
    <w:rsid w:val="3A940645"/>
    <w:rsid w:val="3AF91BA6"/>
    <w:rsid w:val="3B3B4F65"/>
    <w:rsid w:val="3C6A3D54"/>
    <w:rsid w:val="3CDD2778"/>
    <w:rsid w:val="3D430101"/>
    <w:rsid w:val="3DAC3EF8"/>
    <w:rsid w:val="3EC84D62"/>
    <w:rsid w:val="3F4F5483"/>
    <w:rsid w:val="3F520ACF"/>
    <w:rsid w:val="3F5860E5"/>
    <w:rsid w:val="40C1415E"/>
    <w:rsid w:val="41B65345"/>
    <w:rsid w:val="41FF0A9A"/>
    <w:rsid w:val="423050F8"/>
    <w:rsid w:val="424B3CDF"/>
    <w:rsid w:val="430F539D"/>
    <w:rsid w:val="43397FDC"/>
    <w:rsid w:val="43544E16"/>
    <w:rsid w:val="438A0837"/>
    <w:rsid w:val="451E56DB"/>
    <w:rsid w:val="4568104C"/>
    <w:rsid w:val="45DD5636"/>
    <w:rsid w:val="45F60406"/>
    <w:rsid w:val="467F03FC"/>
    <w:rsid w:val="490B4E1C"/>
    <w:rsid w:val="4A54394D"/>
    <w:rsid w:val="4A9C3D23"/>
    <w:rsid w:val="4B166E55"/>
    <w:rsid w:val="4CBB312B"/>
    <w:rsid w:val="4CF11927"/>
    <w:rsid w:val="4D0462FB"/>
    <w:rsid w:val="4D1B69A4"/>
    <w:rsid w:val="4F506DD9"/>
    <w:rsid w:val="4F8E16AF"/>
    <w:rsid w:val="52466271"/>
    <w:rsid w:val="53193986"/>
    <w:rsid w:val="53536E98"/>
    <w:rsid w:val="53FC12DE"/>
    <w:rsid w:val="542E3461"/>
    <w:rsid w:val="54F372B3"/>
    <w:rsid w:val="55052414"/>
    <w:rsid w:val="55666DE2"/>
    <w:rsid w:val="56A56D10"/>
    <w:rsid w:val="571909A1"/>
    <w:rsid w:val="577C44E3"/>
    <w:rsid w:val="57BA4FEF"/>
    <w:rsid w:val="58426C15"/>
    <w:rsid w:val="58EB0338"/>
    <w:rsid w:val="59E074F3"/>
    <w:rsid w:val="5A554641"/>
    <w:rsid w:val="5A566598"/>
    <w:rsid w:val="5B0942E0"/>
    <w:rsid w:val="5B597015"/>
    <w:rsid w:val="5B835E40"/>
    <w:rsid w:val="5B9718EC"/>
    <w:rsid w:val="5BD7695B"/>
    <w:rsid w:val="5C7B603C"/>
    <w:rsid w:val="5C8E7193"/>
    <w:rsid w:val="5CB00EB7"/>
    <w:rsid w:val="5CF50FC0"/>
    <w:rsid w:val="5D292A17"/>
    <w:rsid w:val="5D4B6354"/>
    <w:rsid w:val="5DC10EA2"/>
    <w:rsid w:val="5DDB4E6C"/>
    <w:rsid w:val="5E303DAD"/>
    <w:rsid w:val="5EA16B19"/>
    <w:rsid w:val="5F2931A3"/>
    <w:rsid w:val="5FB426A0"/>
    <w:rsid w:val="605F3679"/>
    <w:rsid w:val="6074044E"/>
    <w:rsid w:val="607E5A53"/>
    <w:rsid w:val="616109D2"/>
    <w:rsid w:val="62AA45FB"/>
    <w:rsid w:val="64A32268"/>
    <w:rsid w:val="653F54CE"/>
    <w:rsid w:val="65B337C6"/>
    <w:rsid w:val="674D37A6"/>
    <w:rsid w:val="67E1757F"/>
    <w:rsid w:val="67EA4422"/>
    <w:rsid w:val="69E20B1E"/>
    <w:rsid w:val="6A7177BA"/>
    <w:rsid w:val="6AD00976"/>
    <w:rsid w:val="6C615D2A"/>
    <w:rsid w:val="6D2B5689"/>
    <w:rsid w:val="6E1178E4"/>
    <w:rsid w:val="6E4D062F"/>
    <w:rsid w:val="6EAB7730"/>
    <w:rsid w:val="6EF06AD7"/>
    <w:rsid w:val="6F6E4088"/>
    <w:rsid w:val="6F886897"/>
    <w:rsid w:val="6FA973ED"/>
    <w:rsid w:val="707D2D28"/>
    <w:rsid w:val="70C26FB3"/>
    <w:rsid w:val="70E94540"/>
    <w:rsid w:val="70EE5F27"/>
    <w:rsid w:val="716A38D3"/>
    <w:rsid w:val="71C823A7"/>
    <w:rsid w:val="71DC40A5"/>
    <w:rsid w:val="72695938"/>
    <w:rsid w:val="729901DD"/>
    <w:rsid w:val="72C01411"/>
    <w:rsid w:val="73602EA4"/>
    <w:rsid w:val="736B56E0"/>
    <w:rsid w:val="74F97F2D"/>
    <w:rsid w:val="757A60AE"/>
    <w:rsid w:val="77A411C1"/>
    <w:rsid w:val="78160310"/>
    <w:rsid w:val="78915BE9"/>
    <w:rsid w:val="792C6E7D"/>
    <w:rsid w:val="7BD75E7C"/>
    <w:rsid w:val="7BE73D72"/>
    <w:rsid w:val="7C2A238B"/>
    <w:rsid w:val="7C516DA3"/>
    <w:rsid w:val="7C887FF1"/>
    <w:rsid w:val="7CB1685A"/>
    <w:rsid w:val="7D6C2781"/>
    <w:rsid w:val="7E775881"/>
    <w:rsid w:val="7E835FD4"/>
    <w:rsid w:val="7F126204"/>
    <w:rsid w:val="7F97765B"/>
    <w:rsid w:val="7FCD7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character" w:styleId="11">
    <w:name w:val="Strong"/>
    <w:basedOn w:val="10"/>
    <w:qFormat/>
    <w:uiPriority w:val="0"/>
    <w:rPr>
      <w:b/>
    </w:rPr>
  </w:style>
  <w:style w:type="paragraph" w:customStyle="1" w:styleId="12">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3">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33515</Words>
  <Characters>34732</Characters>
  <Lines>0</Lines>
  <Paragraphs>0</Paragraphs>
  <TotalTime>10</TotalTime>
  <ScaleCrop>false</ScaleCrop>
  <LinksUpToDate>false</LinksUpToDate>
  <CharactersWithSpaces>36633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2026-06-04T06:24:21Z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62B9DE02E3514AEDB4628F68DC4E7730_13</vt:lpwstr>
  </property>
  <property fmtid="{D5CDD505-2E9C-101B-9397-08002B2CF9AE}" pid="4" name="KSOTemplateDocerSaveRecord">
    <vt:lpwstr>eyJoZGlkIjoiNTc5MDM2OWU3Yzc2ZjJiZDEwM2E0ZGUyYTk3NGNjZTciLCJ1c2VySWQiOiI5ODE2OTIwMzQifQ==</vt:lpwstr>
  </property>
</Properties>
</file>