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版本号：SZY20261360032-2.1B220260820001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西围墙及学生公寓等区域弱电整改项目（四次）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SZY20261360032-2.1B2</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西围墙及学生公寓等区域弱电整改项目（四次）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SZY20261360032-2.1B2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西围墙及学生公寓等区域弱电整改项目（四次）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过多年发展建设，各学生公寓楼内业务繁多，各类弱电设备设施及线路遍布于各楼宇内，经消防验收专家组反馈存在较大消防安全隐患。按照上级部门消防改造要求，我校已于2024年完成13栋公寓楼内公用弱电桥架建设以及3-8号公寓楼内弱电整改，本项目须针对公寓楼剩余弱电问题进行集中整改，及时消除消防隐患，保障楼内消防安全。 同时，受学校信息化建设进程及弱电管道布局现状影响，西围墙区域存在大量外露弱电线缆，不仅严重影响校园整体美观，更对后续围墙改建工程形成制约。西围墙弱电线缆主要包含运营商线缆和校内业务线缆，校内业务线缆主要承载校园网、一卡通、门禁闸机和安防监控等业务。目前，我校已完成沿西围墙内侧的地下弱电管道建设，并通过行政楼南侧绿化带完成与学校地沟打通对接，各类弱电业务可使用该段管道进行线路路由改迁，本项目须完成西围墙现有弱电线路落地改迁，并对废弃线缆进行全面清理。具体内容详见磋商文件、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1、主体资格：供应商为向采购人提供工程及配套服务的法人或其他组织；</w:t>
      </w:r>
    </w:p>
    <w:p>
      <w:pPr>
        <w:pStyle w:val="null3"/>
      </w:pPr>
      <w:r>
        <w:rPr>
          <w:rFonts w:ascii="仿宋_GB2312" w:hAnsi="仿宋_GB2312" w:cs="仿宋_GB2312" w:eastAsia="仿宋_GB2312"/>
        </w:rPr>
        <w:t>2、企业信用查询：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3、资质证书：供应商具备建设行政主管部门颁发的电子与智能化工程专业承包二级（含）以上资质；同时具备有效的安全生产许可证，并在人员、设备、资金等方面具备相应的能力；</w:t>
      </w:r>
    </w:p>
    <w:p>
      <w:pPr>
        <w:pStyle w:val="null3"/>
      </w:pPr>
      <w:r>
        <w:rPr>
          <w:rFonts w:ascii="仿宋_GB2312" w:hAnsi="仿宋_GB2312" w:cs="仿宋_GB2312" w:eastAsia="仿宋_GB2312"/>
        </w:rPr>
        <w:t>4、项目经理：拟派项目经理应具备机电工程专业二级（含）以上注册建造师执业资格及合法有效的安全生产考核合格证（安全B证），在本单位注册且无在建工程；</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采购包1：207,194.53元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改委办公厅颁发的《关于招标代理服务收费有关问题的通知》（发改办价格[2003] 857号）的有关规定下浮30%，不足4000.00元按4000.00元计取向采购代理机构一次付清代理服务费。 备注：供应商在缴纳服务费时请备注项目编号+采购代理服务费。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联系人：张千禧、王昭</w:t>
      </w:r>
    </w:p>
    <w:p>
      <w:pPr>
        <w:pStyle w:val="null3"/>
      </w:pPr>
      <w:r>
        <w:rPr>
          <w:rFonts w:ascii="仿宋_GB2312" w:hAnsi="仿宋_GB2312" w:cs="仿宋_GB2312" w:eastAsia="仿宋_GB2312"/>
        </w:rPr>
        <w:t>联系电话：15686066050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207,194.53</w:t>
      </w:r>
    </w:p>
    <w:p>
      <w:pPr>
        <w:pStyle w:val="null3"/>
      </w:pPr>
      <w:r>
        <w:rPr>
          <w:rFonts w:ascii="仿宋_GB2312" w:hAnsi="仿宋_GB2312" w:cs="仿宋_GB2312" w:eastAsia="仿宋_GB2312"/>
        </w:rPr>
        <w:t>采购包最高限价（元）: 207,194.53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西围墙及学生公寓等区域弱电整改项目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207,194.53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标的名称：西围墙及学生公寓等区域弱电整改项目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FF"/>
              </w:rPr>
              <w:t>一、项目概况和基本要求</w:t>
            </w:r>
          </w:p>
          <w:p>
            <w:pPr>
              <w:pStyle w:val="null3"/>
              <w:jc w:val="both"/>
              <w:outlineLvl w:val="1"/>
            </w:pPr>
            <w:r>
              <w:rPr>
                <w:rFonts w:ascii="仿宋_GB2312" w:hAnsi="仿宋_GB2312" w:cs="仿宋_GB2312" w:eastAsia="仿宋_GB2312"/>
                <w:sz w:val="24"/>
                <w:b/>
                <w:color w:val="0000FF"/>
              </w:rPr>
              <w:t>（一）项目概况</w:t>
            </w:r>
          </w:p>
          <w:p>
            <w:pPr>
              <w:pStyle w:val="null3"/>
              <w:ind w:firstLine="480"/>
              <w:jc w:val="both"/>
            </w:pPr>
            <w:r>
              <w:rPr>
                <w:rFonts w:ascii="仿宋_GB2312" w:hAnsi="仿宋_GB2312" w:cs="仿宋_GB2312" w:eastAsia="仿宋_GB2312"/>
                <w:sz w:val="24"/>
                <w:color w:val="0000FF"/>
              </w:rPr>
              <w:t>经过多年发展建设，各学生公寓楼内业务繁多，各类弱电设备设施及线路遍布于各楼宇内，经消防验收专家组反馈存在较大消防安全隐患。按照上级部门消防改造要求，我校已于</w:t>
            </w:r>
            <w:r>
              <w:rPr>
                <w:rFonts w:ascii="仿宋_GB2312" w:hAnsi="仿宋_GB2312" w:cs="仿宋_GB2312" w:eastAsia="仿宋_GB2312"/>
                <w:sz w:val="24"/>
                <w:color w:val="0000FF"/>
              </w:rPr>
              <w:t>2024年完成13栋公寓楼内公用弱电桥架建设以及3-8号公寓楼内弱电整改，本项目须针对公寓楼剩余弱电问题进行集中整改，及时消除消防隐患，保障楼内消防安全。</w:t>
            </w:r>
          </w:p>
          <w:p>
            <w:pPr>
              <w:pStyle w:val="null3"/>
              <w:ind w:firstLine="480"/>
              <w:jc w:val="both"/>
            </w:pPr>
            <w:r>
              <w:rPr>
                <w:rFonts w:ascii="仿宋_GB2312" w:hAnsi="仿宋_GB2312" w:cs="仿宋_GB2312" w:eastAsia="仿宋_GB2312"/>
                <w:sz w:val="24"/>
                <w:color w:val="0000FF"/>
              </w:rPr>
              <w:t>同时，受学校信息化建设进程及弱电管道布局现状影响，西围墙区域存在大量外露弱电线缆，不仅严重影响校园整体美观，更对后续围墙改建工程形成制约。西围墙弱电线缆主要包含运营商线缆和校内业务线缆，校内业务线缆主要承载校园网、一卡通、门禁闸机和安防监控等业务。目前，我校已完成沿西围墙内侧的地下弱电管道建设，并通过行政楼南侧绿化带完成与学校地沟打通对接，各类弱电业务可使用该段管道进行线路路由改迁，本项目须完成西围墙现有弱电线路落地改迁，并对废弃线缆进行全面清理。</w:t>
            </w:r>
          </w:p>
          <w:p>
            <w:pPr>
              <w:pStyle w:val="null3"/>
              <w:jc w:val="both"/>
              <w:outlineLvl w:val="1"/>
            </w:pPr>
            <w:r>
              <w:rPr>
                <w:rFonts w:ascii="仿宋_GB2312" w:hAnsi="仿宋_GB2312" w:cs="仿宋_GB2312" w:eastAsia="仿宋_GB2312"/>
                <w:sz w:val="24"/>
                <w:b/>
                <w:color w:val="0000FF"/>
              </w:rPr>
              <w:t>（二）项目内容</w:t>
            </w:r>
          </w:p>
          <w:p>
            <w:pPr>
              <w:pStyle w:val="null3"/>
              <w:ind w:firstLine="480"/>
              <w:jc w:val="both"/>
            </w:pPr>
            <w:r>
              <w:rPr>
                <w:rFonts w:ascii="仿宋_GB2312" w:hAnsi="仿宋_GB2312" w:cs="仿宋_GB2312" w:eastAsia="仿宋_GB2312"/>
                <w:sz w:val="24"/>
                <w:color w:val="0000FF"/>
              </w:rPr>
              <w:t>本项目为弱电设备设施及线路整改，项目内容如下：</w:t>
            </w:r>
          </w:p>
          <w:p>
            <w:pPr>
              <w:pStyle w:val="null3"/>
              <w:jc w:val="both"/>
              <w:outlineLvl w:val="2"/>
            </w:pPr>
            <w:r>
              <w:rPr>
                <w:rFonts w:ascii="仿宋_GB2312" w:hAnsi="仿宋_GB2312" w:cs="仿宋_GB2312" w:eastAsia="仿宋_GB2312"/>
                <w:sz w:val="24"/>
                <w:b/>
                <w:color w:val="0000FF"/>
              </w:rPr>
              <w:t>1.公寓楼弱电整改</w:t>
            </w:r>
          </w:p>
          <w:p>
            <w:pPr>
              <w:pStyle w:val="null3"/>
              <w:ind w:firstLine="480"/>
              <w:jc w:val="both"/>
            </w:pPr>
            <w:r>
              <w:rPr>
                <w:rFonts w:ascii="仿宋_GB2312" w:hAnsi="仿宋_GB2312" w:cs="仿宋_GB2312" w:eastAsia="仿宋_GB2312"/>
                <w:sz w:val="24"/>
                <w:color w:val="0000FF"/>
              </w:rPr>
              <w:t>本项目须完成</w:t>
            </w:r>
            <w:r>
              <w:rPr>
                <w:rFonts w:ascii="仿宋_GB2312" w:hAnsi="仿宋_GB2312" w:cs="仿宋_GB2312" w:eastAsia="仿宋_GB2312"/>
                <w:sz w:val="24"/>
                <w:color w:val="0000FF"/>
              </w:rPr>
              <w:t>1-2、9-13号学生公寓楼内一卡通、智能门锁等业务改迁工作，包含涉及业务的各类弱电线缆、机柜、设备设施等迁移改造、废弃弱电线路及设施清理以及墙面恢复等。同时须完成1-13号公寓楼外围现有的不合规弱电线路整改，包括楼外绿化内部弱电线路以及沿墙面布设的弱电线缆等内容。</w:t>
            </w:r>
          </w:p>
          <w:p>
            <w:pPr>
              <w:pStyle w:val="null3"/>
              <w:jc w:val="both"/>
              <w:outlineLvl w:val="2"/>
            </w:pPr>
            <w:r>
              <w:rPr>
                <w:rFonts w:ascii="仿宋_GB2312" w:hAnsi="仿宋_GB2312" w:cs="仿宋_GB2312" w:eastAsia="仿宋_GB2312"/>
                <w:sz w:val="24"/>
                <w:b/>
                <w:color w:val="0000FF"/>
              </w:rPr>
              <w:t>2.</w:t>
            </w:r>
            <w:r>
              <w:rPr>
                <w:rFonts w:ascii="仿宋_GB2312" w:hAnsi="仿宋_GB2312" w:cs="仿宋_GB2312" w:eastAsia="仿宋_GB2312"/>
                <w:sz w:val="24"/>
                <w:b/>
                <w:color w:val="0000FF"/>
              </w:rPr>
              <w:t>西围墙和行政楼附近弱电线路整改</w:t>
            </w:r>
          </w:p>
          <w:p>
            <w:pPr>
              <w:pStyle w:val="null3"/>
              <w:ind w:firstLine="480"/>
              <w:jc w:val="both"/>
            </w:pPr>
            <w:r>
              <w:rPr>
                <w:rFonts w:ascii="仿宋_GB2312" w:hAnsi="仿宋_GB2312" w:cs="仿宋_GB2312" w:eastAsia="仿宋_GB2312"/>
                <w:sz w:val="24"/>
                <w:color w:val="0000FF"/>
              </w:rPr>
              <w:t>本项目须完成途经西围墙和行政楼周边区域的弱电业务线缆落地整改及无主废弃线缆清理，涉及主要业务包含但不限于以下内容：</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1）行政楼有线网、无线网、一卡通、广播电台、会议转播等业务；</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2）西门门禁闸机、一卡通、车辆管理等业务；</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3）校园西侧家属区门禁闸机、调频电台等业务；</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4）学生二餐厅、特色餐厅无线网业务</w:t>
            </w:r>
            <w:r>
              <w:rPr>
                <w:rFonts w:ascii="仿宋_GB2312" w:hAnsi="仿宋_GB2312" w:cs="仿宋_GB2312" w:eastAsia="仿宋_GB2312"/>
                <w:sz w:val="24"/>
                <w:color w:val="0000FF"/>
              </w:rPr>
              <w:t>；</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5）西围墙沿线安防监控业务；</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6）行政楼前后绿化带及跨路面不规范业务线缆。</w:t>
            </w:r>
          </w:p>
          <w:p>
            <w:pPr>
              <w:pStyle w:val="null3"/>
              <w:jc w:val="both"/>
              <w:outlineLvl w:val="2"/>
            </w:pPr>
            <w:r>
              <w:rPr>
                <w:rFonts w:ascii="仿宋_GB2312" w:hAnsi="仿宋_GB2312" w:cs="仿宋_GB2312" w:eastAsia="仿宋_GB2312"/>
                <w:sz w:val="24"/>
                <w:b/>
                <w:color w:val="0000FF"/>
              </w:rPr>
              <w:t>3.</w:t>
            </w:r>
            <w:r>
              <w:rPr>
                <w:rFonts w:ascii="仿宋_GB2312" w:hAnsi="仿宋_GB2312" w:cs="仿宋_GB2312" w:eastAsia="仿宋_GB2312"/>
                <w:sz w:val="24"/>
                <w:b/>
                <w:color w:val="0000FF"/>
              </w:rPr>
              <w:t>三号教学楼电池间南侧至东侧地沟弱电管道扩容</w:t>
            </w:r>
          </w:p>
          <w:p>
            <w:pPr>
              <w:pStyle w:val="null3"/>
              <w:ind w:firstLine="480"/>
              <w:jc w:val="both"/>
            </w:pPr>
            <w:r>
              <w:rPr>
                <w:rFonts w:ascii="仿宋_GB2312" w:hAnsi="仿宋_GB2312" w:cs="仿宋_GB2312" w:eastAsia="仿宋_GB2312"/>
                <w:sz w:val="24"/>
                <w:color w:val="0000FF"/>
              </w:rPr>
              <w:t>为满足本次整改以及后续业务新建光缆需求，本项目须在三号教学楼电池间南侧至东侧学校地沟之间增建不少于</w:t>
            </w:r>
            <w:r>
              <w:rPr>
                <w:rFonts w:ascii="仿宋_GB2312" w:hAnsi="仿宋_GB2312" w:cs="仿宋_GB2312" w:eastAsia="仿宋_GB2312"/>
                <w:sz w:val="24"/>
                <w:color w:val="0000FF"/>
              </w:rPr>
              <w:t>3条管径110mm地下弱电管道。</w:t>
            </w:r>
          </w:p>
          <w:p>
            <w:pPr>
              <w:pStyle w:val="null3"/>
              <w:jc w:val="both"/>
              <w:outlineLvl w:val="1"/>
            </w:pPr>
            <w:r>
              <w:rPr>
                <w:rFonts w:ascii="仿宋_GB2312" w:hAnsi="仿宋_GB2312" w:cs="仿宋_GB2312" w:eastAsia="仿宋_GB2312"/>
                <w:sz w:val="24"/>
                <w:b/>
                <w:color w:val="0000FF"/>
              </w:rPr>
              <w:t>（三）项目整改要求</w:t>
            </w:r>
          </w:p>
          <w:p>
            <w:pPr>
              <w:pStyle w:val="null3"/>
              <w:ind w:firstLine="480"/>
              <w:jc w:val="both"/>
            </w:pPr>
            <w:r>
              <w:rPr>
                <w:rFonts w:ascii="仿宋_GB2312" w:hAnsi="仿宋_GB2312" w:cs="仿宋_GB2312" w:eastAsia="仿宋_GB2312"/>
                <w:sz w:val="24"/>
                <w:color w:val="0000FF"/>
              </w:rPr>
              <w:t>本项目整改须符合国家弱电工程设计相关标准和规范，符合消防相关要求，确保工程质量和安全，设计应考虑弱电线缆的走向和连接方式，应考虑未来的扩展需求，为后续线缆布设提供便利。全部设备、材料的供应和施工工艺，必须符合国家相关部门所颁发的最新的法规、条例、规范、规格、原则、施工准则和业务条例。</w:t>
            </w:r>
          </w:p>
          <w:p>
            <w:pPr>
              <w:pStyle w:val="null3"/>
              <w:jc w:val="both"/>
              <w:outlineLvl w:val="0"/>
            </w:pPr>
            <w:r>
              <w:rPr>
                <w:rFonts w:ascii="仿宋_GB2312" w:hAnsi="仿宋_GB2312" w:cs="仿宋_GB2312" w:eastAsia="仿宋_GB2312"/>
                <w:sz w:val="24"/>
                <w:b/>
                <w:color w:val="0000FF"/>
              </w:rPr>
              <w:t>二、技术参数要求</w:t>
            </w:r>
          </w:p>
          <w:p>
            <w:pPr>
              <w:pStyle w:val="null3"/>
              <w:ind w:firstLine="480"/>
              <w:jc w:val="both"/>
            </w:pPr>
            <w:r>
              <w:rPr>
                <w:rFonts w:ascii="仿宋_GB2312" w:hAnsi="仿宋_GB2312" w:cs="仿宋_GB2312" w:eastAsia="仿宋_GB2312"/>
                <w:sz w:val="24"/>
                <w:color w:val="0000FF"/>
              </w:rPr>
              <w:t>本项目为交钥匙工程，该技术要求只是陕西中医药大学提出的一些原则性要求，并非详尽的要求，投标人有责任完善对提供实施方案的细化，实际工程量和详细分项由各投标公司实地勘测后，自行设计评估。如有下述内容未列出的必须设备、材料，请自行添加。一旦应标，即表明认可下述技术要求内容可完成整个项目全部所需，后期若需追加任何设备、材料及其他费用均由投标方承担。</w:t>
            </w:r>
          </w:p>
          <w:p>
            <w:pPr>
              <w:pStyle w:val="null3"/>
              <w:ind w:firstLine="482"/>
              <w:jc w:val="both"/>
            </w:pPr>
            <w:r>
              <w:rPr>
                <w:rFonts w:ascii="仿宋_GB2312" w:hAnsi="仿宋_GB2312" w:cs="仿宋_GB2312" w:eastAsia="仿宋_GB2312"/>
                <w:sz w:val="24"/>
                <w:b/>
                <w:color w:val="0000FF"/>
              </w:rPr>
              <w:t>基本要求：</w:t>
            </w:r>
          </w:p>
          <w:p>
            <w:pPr>
              <w:pStyle w:val="null3"/>
              <w:ind w:firstLine="480"/>
              <w:jc w:val="both"/>
            </w:pPr>
            <w:r>
              <w:rPr>
                <w:rFonts w:ascii="仿宋_GB2312" w:hAnsi="仿宋_GB2312" w:cs="仿宋_GB2312" w:eastAsia="仿宋_GB2312"/>
                <w:sz w:val="24"/>
                <w:color w:val="0000FF"/>
              </w:rPr>
              <w:t>1.按照消防规范，公寓楼内每层东、西两侧楼梯间不得存在任何弱电线路及设备设施；楼内各类弱电线缆须整体放入弱电桥架内，线缆进出桥架和在其他区域布线的须采用钢制管或阻燃PVC管，规范走线，确保楼内美观；弱电机柜安装建议参考3-8号公寓模式，选择各公寓楼二层走廊最西侧两个宿舍门之间紧贴弱电桥架下方位置安装，机柜最底部离地面距离不得低于2.15米，须确保行人通行安全；所有施工及材料须符合消防要求，并提供相关材料检测报告，备案留存供消防部门查验；整改过程中，原有弱电设施迁移及废弃弱电设施清理完成后，须对墙面遗留孔洞及墙面、地面损伤进行修补，确保恢复原状。</w:t>
            </w:r>
          </w:p>
          <w:p>
            <w:pPr>
              <w:pStyle w:val="null3"/>
              <w:ind w:firstLine="480"/>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本项目须对途经西围墙（含西门以北部分和西门以南部分）和行政楼周边区域（含绿化区及路面）的弱电业务线缆进行落地整改。将涉及的业务线缆全部迁移至地下管沟，并保障各业务通讯正常。业务线缆迁移整改完成后须对上述区域废弃及无主弱电线路设施进行清理，确保校园美观。</w:t>
            </w:r>
          </w:p>
          <w:p>
            <w:pPr>
              <w:pStyle w:val="null3"/>
              <w:ind w:firstLine="480"/>
              <w:jc w:val="both"/>
            </w:pPr>
            <w:r>
              <w:rPr>
                <w:rFonts w:ascii="仿宋_GB2312" w:hAnsi="仿宋_GB2312" w:cs="仿宋_GB2312" w:eastAsia="仿宋_GB2312"/>
                <w:sz w:val="24"/>
                <w:color w:val="0000FF"/>
              </w:rPr>
              <w:t>3.本项目须在三号教学楼电池间南侧至东侧学校地沟之间增建不少于3条管径110mm地下弱电管道，管道材质应选择抗压、耐腐蚀PE管，埋设深度不低于70cm。须将三号教学楼电池间至学校地沟之间管路打通，便于后续光缆敷设。</w:t>
            </w:r>
          </w:p>
          <w:p>
            <w:pPr>
              <w:pStyle w:val="null3"/>
              <w:ind w:firstLine="480"/>
              <w:jc w:val="both"/>
            </w:pPr>
            <w:r>
              <w:rPr>
                <w:rFonts w:ascii="仿宋_GB2312" w:hAnsi="仿宋_GB2312" w:cs="仿宋_GB2312" w:eastAsia="仿宋_GB2312"/>
                <w:sz w:val="24"/>
                <w:color w:val="0000FF"/>
              </w:rPr>
              <w:t>4.本项目涉及的以太网线缆须采用知名品牌六类网线，符合CAT-6标准，保证至少1000Mbps的传输速率要求；须提供知名品牌不低于原有业务光缆芯数的单模光缆，并与原有光缆做好对接。</w:t>
            </w:r>
            <w:r>
              <w:rPr>
                <w:rFonts w:ascii="仿宋_GB2312" w:hAnsi="仿宋_GB2312" w:cs="仿宋_GB2312" w:eastAsia="仿宋_GB2312"/>
                <w:sz w:val="24"/>
                <w:color w:val="0000FF"/>
                <w:shd w:fill="FFFFFF" w:val="clear"/>
              </w:rPr>
              <w:t>整改完成后应进行线缆导通、衰减等测试，确保系统性能符合要求。</w:t>
            </w:r>
            <w:r>
              <w:rPr>
                <w:rFonts w:ascii="仿宋_GB2312" w:hAnsi="仿宋_GB2312" w:cs="仿宋_GB2312" w:eastAsia="仿宋_GB2312"/>
                <w:sz w:val="24"/>
                <w:color w:val="0000FF"/>
              </w:rPr>
              <w:t>各类线缆（含光缆、网线及其它弱电线路）两端应根据业务类型做好清晰明确的标签标识，同一业务线缆应在铺设中每隔</w:t>
            </w:r>
            <w:r>
              <w:rPr>
                <w:rFonts w:ascii="仿宋_GB2312" w:hAnsi="仿宋_GB2312" w:cs="仿宋_GB2312" w:eastAsia="仿宋_GB2312"/>
                <w:sz w:val="24"/>
                <w:color w:val="0000FF"/>
              </w:rPr>
              <w:t>10米扎在一起，并粘贴标签，注明线缆用途、归属单位等信息，以便识别和维护。</w:t>
            </w:r>
          </w:p>
          <w:p>
            <w:pPr>
              <w:pStyle w:val="null3"/>
              <w:ind w:firstLine="480"/>
              <w:jc w:val="both"/>
            </w:pPr>
            <w:r>
              <w:rPr>
                <w:rFonts w:ascii="仿宋_GB2312" w:hAnsi="仿宋_GB2312" w:cs="仿宋_GB2312" w:eastAsia="仿宋_GB2312"/>
                <w:sz w:val="24"/>
                <w:color w:val="0000FF"/>
              </w:rPr>
              <w:t>5.本项目涉及的各类线缆敷设改造须符合相关施工规范，不得破坏桥架内外、管沟内或地沟内的原有在用业务线缆，如因项目施工造成损坏须及时负责修复。室外路面切割开挖施工处应放置指示牌，施工结束后路面须恢复原状。</w:t>
            </w:r>
            <w:r>
              <w:rPr>
                <w:rFonts w:ascii="仿宋_GB2312" w:hAnsi="仿宋_GB2312" w:cs="仿宋_GB2312" w:eastAsia="仿宋_GB2312"/>
                <w:sz w:val="24"/>
                <w:color w:val="0000FF"/>
                <w:shd w:fill="FFFFFF" w:val="clear"/>
              </w:rPr>
              <w:t>沿墙面布设的弱电线缆</w:t>
            </w:r>
            <w:r>
              <w:rPr>
                <w:rFonts w:ascii="仿宋_GB2312" w:hAnsi="仿宋_GB2312" w:cs="仿宋_GB2312" w:eastAsia="仿宋_GB2312"/>
                <w:sz w:val="24"/>
                <w:color w:val="0000FF"/>
              </w:rPr>
              <w:t>须采用钢制管或阻燃</w:t>
            </w:r>
            <w:r>
              <w:rPr>
                <w:rFonts w:ascii="仿宋_GB2312" w:hAnsi="仿宋_GB2312" w:cs="仿宋_GB2312" w:eastAsia="仿宋_GB2312"/>
                <w:sz w:val="24"/>
                <w:color w:val="0000FF"/>
              </w:rPr>
              <w:t>PVC管，规范布线并不得影响楼体美观。绿化区域内弱电线缆埋设须套线管，埋设深度不得低于50cm，并在弱电线路沿线关键点位安装线路指示桩，有效降低后期绿化施工破坏风险，施工结束后绿化区域须恢复原状。</w:t>
            </w:r>
          </w:p>
          <w:p>
            <w:pPr>
              <w:pStyle w:val="null3"/>
              <w:ind w:firstLine="480"/>
              <w:jc w:val="both"/>
            </w:pPr>
            <w:r>
              <w:rPr>
                <w:rFonts w:ascii="仿宋_GB2312" w:hAnsi="仿宋_GB2312" w:cs="仿宋_GB2312" w:eastAsia="仿宋_GB2312"/>
                <w:sz w:val="24"/>
                <w:color w:val="0000FF"/>
              </w:rPr>
              <w:t>主要施工内容有：</w:t>
            </w:r>
          </w:p>
          <w:tbl>
            <w:tblPr>
              <w:tblBorders>
                <w:top w:val="none" w:color="000000" w:sz="4"/>
                <w:left w:val="none" w:color="000000" w:sz="4"/>
                <w:bottom w:val="none" w:color="000000" w:sz="4"/>
                <w:right w:val="none" w:color="000000" w:sz="4"/>
                <w:insideH w:val="none"/>
                <w:insideV w:val="none"/>
              </w:tblBorders>
            </w:tblPr>
            <w:tblGrid>
              <w:gridCol w:w="216"/>
              <w:gridCol w:w="478"/>
              <w:gridCol w:w="1859"/>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内容</w:t>
                  </w:r>
                </w:p>
              </w:tc>
              <w:tc>
                <w:tcPr>
                  <w:tcW w:type="dxa" w:w="1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技术要求</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7栋公寓楼一卡通业务机柜、线路迁移改造</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-2、9-13号学生公寓楼原一卡通机柜内交换机至所有末端设备的网线重新布线，网线共计98条，含水晶头。将网线主体从一卡通机柜新位置到末端设备线缆放入桥架内铺设，桥架外部分采用钢制管或阻燃PVC管处理，规范布线,所有线缆不得经过楼梯间。</w:t>
                  </w:r>
                </w:p>
                <w:p>
                  <w:pPr>
                    <w:pStyle w:val="null3"/>
                    <w:jc w:val="both"/>
                  </w:pPr>
                  <w:r>
                    <w:rPr>
                      <w:rFonts w:ascii="仿宋_GB2312" w:hAnsi="仿宋_GB2312" w:cs="仿宋_GB2312" w:eastAsia="仿宋_GB2312"/>
                      <w:sz w:val="24"/>
                      <w:color w:val="0000FF"/>
                    </w:rPr>
                    <w:t>(2)迁移1-2、9-13号学生公寓楼共计7个一卡通机柜至每栋二层走廊最西侧两个宿舍门之间紧贴弱电桥架下方位置（含柜内设备），为减少对走廊通行的影响，需为各公寓楼一卡通业务提供1个6U机柜。电源线须从一楼值班室重新接电通过桥架布线至新机柜位置，光缆须从楼外就近位置重新规范布线至新机柜位置，楼内部分须进桥架，楼外部分须套保护管。所有线缆不得经过楼梯间，迁移完成后须确保原有业务正常运行。</w:t>
                  </w:r>
                </w:p>
                <w:p>
                  <w:pPr>
                    <w:pStyle w:val="null3"/>
                    <w:jc w:val="both"/>
                  </w:pPr>
                  <w:r>
                    <w:rPr>
                      <w:rFonts w:ascii="仿宋_GB2312" w:hAnsi="仿宋_GB2312" w:cs="仿宋_GB2312" w:eastAsia="仿宋_GB2312"/>
                      <w:sz w:val="24"/>
                      <w:color w:val="0000FF"/>
                    </w:rPr>
                    <w:t>(3)拆除原有机柜、废弃线缆及相关设施，涉及区域因线路、机柜等拆除造成的墙面、地面损伤须及时修补，恢复原状。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7栋公寓楼宿舍门锁业务机柜、线路迁移改造</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-2、9-13号学生公寓楼智能门锁拓展模块四芯屏蔽线线路，重新布设主线屏蔽线(rvvp4*1.5)共42条，支线屏蔽线(rvvp4*1.0)共378条，均含接线端子。将线路主体从新规划机柜位置到各设备线缆放入桥架内，桥架外部分采用钢制管或阻燃PVC管处理，规范布线，所有线缆不得经过楼梯间。</w:t>
                  </w:r>
                </w:p>
                <w:p>
                  <w:pPr>
                    <w:pStyle w:val="null3"/>
                    <w:jc w:val="both"/>
                  </w:pPr>
                  <w:r>
                    <w:rPr>
                      <w:rFonts w:ascii="仿宋_GB2312" w:hAnsi="仿宋_GB2312" w:cs="仿宋_GB2312" w:eastAsia="仿宋_GB2312"/>
                      <w:sz w:val="24"/>
                      <w:color w:val="0000FF"/>
                    </w:rPr>
                    <w:t>(2)迁移1-2、9-13号学生公寓楼共计14个门锁业务机柜至每栋二层走廊最西侧两个宿舍门之间紧贴弱电桥架下方位置（含柜内设备），为减少对走廊通行的影响，需为各公寓楼门锁业务提供2个6U机柜。电源及光缆接入可与一卡通业务共用。所有线缆不得经过楼梯间，迁移完成后须确保原有业务正常运行。</w:t>
                  </w:r>
                </w:p>
                <w:p>
                  <w:pPr>
                    <w:pStyle w:val="null3"/>
                    <w:jc w:val="both"/>
                  </w:pPr>
                  <w:r>
                    <w:rPr>
                      <w:rFonts w:ascii="仿宋_GB2312" w:hAnsi="仿宋_GB2312" w:cs="仿宋_GB2312" w:eastAsia="仿宋_GB2312"/>
                      <w:sz w:val="24"/>
                      <w:color w:val="0000FF"/>
                    </w:rPr>
                    <w:t>(3) 拆除原有机柜、线缆及相关设施，涉及区域因线路、机柜等拆除造成的墙面、地面损伤须及时修补，恢复原状。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7栋公寓楼无主物及废弃线路设施拆除、墙面修复</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(1)拆除1-2、9-13号公寓楼内弱电相关的废弃及无主设备设施和线路，包含废弃的线缆、线槽、线管、机柜及相关设备、配件、固定机柜的膨胀螺丝、铁钉等内容。</w:t>
                  </w:r>
                </w:p>
                <w:p>
                  <w:pPr>
                    <w:pStyle w:val="null3"/>
                    <w:jc w:val="both"/>
                  </w:pPr>
                  <w:r>
                    <w:rPr>
                      <w:rFonts w:ascii="仿宋_GB2312" w:hAnsi="仿宋_GB2312" w:cs="仿宋_GB2312" w:eastAsia="仿宋_GB2312"/>
                      <w:sz w:val="24"/>
                      <w:color w:val="0000FF"/>
                    </w:rPr>
                    <w:t>(2)修复1-2、9-13号公寓楼内拆除弱电设施后的墙面遗留问题，墙面孔洞用水泥封堵、刷白，恢复原状。</w:t>
                  </w:r>
                </w:p>
                <w:p>
                  <w:pPr>
                    <w:pStyle w:val="null3"/>
                    <w:jc w:val="both"/>
                  </w:pPr>
                  <w:r>
                    <w:rPr>
                      <w:rFonts w:ascii="仿宋_GB2312" w:hAnsi="仿宋_GB2312" w:cs="仿宋_GB2312" w:eastAsia="仿宋_GB2312"/>
                      <w:sz w:val="24"/>
                      <w:color w:val="0000FF"/>
                    </w:rPr>
                    <w:t>(3)线路整改完成后须对弱电桥架过墙孔洞进行防火泥封堵。</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公寓楼外围弱电线路整改</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(1)对1-13号公寓楼外围区域弱电线路进行整改，沿墙面布设的线缆须采用钢制管或阻燃PVC管，规范布线不得影响楼体美观，并保障原业务正常运行。</w:t>
                  </w:r>
                </w:p>
                <w:p>
                  <w:pPr>
                    <w:pStyle w:val="null3"/>
                    <w:jc w:val="both"/>
                  </w:pPr>
                  <w:r>
                    <w:rPr>
                      <w:rFonts w:ascii="仿宋_GB2312" w:hAnsi="仿宋_GB2312" w:cs="仿宋_GB2312" w:eastAsia="仿宋_GB2312"/>
                      <w:sz w:val="24"/>
                      <w:color w:val="0000FF"/>
                    </w:rPr>
                    <w:t>(2)路面及绿化区域内弱电线缆埋设须套线管，埋设深度不得低于50cm，并在弱电线路沿线关键点位安装线路指示桩，有效降低后期绿化施工破坏风险，整改完成须恢复原状，并保障原业务正常运行。</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西围墙和行政楼附近校内业务线缆落地整改</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(1)途经西围墙和行政楼附近的弱电线缆落地整改涉及主要业务包含但不限于以下内容：</w:t>
                  </w:r>
                </w:p>
                <w:p>
                  <w:pPr>
                    <w:pStyle w:val="null3"/>
                    <w:jc w:val="both"/>
                  </w:pPr>
                  <w:r>
                    <w:rPr>
                      <w:rFonts w:ascii="仿宋_GB2312" w:hAnsi="仿宋_GB2312" w:cs="仿宋_GB2312" w:eastAsia="仿宋_GB2312"/>
                      <w:sz w:val="24"/>
                      <w:b/>
                      <w:color w:val="0000FF"/>
                    </w:rPr>
                    <w:t>①</w:t>
                  </w:r>
                  <w:r>
                    <w:rPr>
                      <w:rFonts w:ascii="仿宋_GB2312" w:hAnsi="仿宋_GB2312" w:cs="仿宋_GB2312" w:eastAsia="仿宋_GB2312"/>
                      <w:sz w:val="24"/>
                      <w:b/>
                      <w:color w:val="0000FF"/>
                    </w:rPr>
                    <w:t>行政楼有线网、无线网、一卡通、广播电台、会议转播等业务。有线网业务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1条12芯光缆（3号教学楼机房至行政楼1层西楼梯间，途经行政楼前绿化带和西围墙）；</w:t>
                  </w:r>
                  <w:r>
                    <w:rPr>
                      <w:rFonts w:ascii="仿宋_GB2312" w:hAnsi="仿宋_GB2312" w:cs="仿宋_GB2312" w:eastAsia="仿宋_GB2312"/>
                      <w:sz w:val="24"/>
                      <w:b/>
                      <w:color w:val="0000FF"/>
                    </w:rPr>
                    <w:t>无线网业务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1条12芯光缆（5号教学楼辅楼3层弱电井至行政楼二层西楼梯间，途经行政楼前绿化带和西围墙）；</w:t>
                  </w:r>
                  <w:r>
                    <w:rPr>
                      <w:rFonts w:ascii="仿宋_GB2312" w:hAnsi="仿宋_GB2312" w:cs="仿宋_GB2312" w:eastAsia="仿宋_GB2312"/>
                      <w:sz w:val="24"/>
                      <w:b/>
                      <w:color w:val="0000FF"/>
                    </w:rPr>
                    <w:t>一卡通业务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1条12芯光缆（3号教学楼机房至行政楼3层西楼梯间，途经行政楼前绿化带和西围墙）；</w:t>
                  </w:r>
                  <w:r>
                    <w:rPr>
                      <w:rFonts w:ascii="仿宋_GB2312" w:hAnsi="仿宋_GB2312" w:cs="仿宋_GB2312" w:eastAsia="仿宋_GB2312"/>
                      <w:sz w:val="24"/>
                      <w:b/>
                      <w:color w:val="0000FF"/>
                    </w:rPr>
                    <w:t>广播电台业务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1条12芯光缆（5号教学楼4楼电台室至行政楼6楼广播台，途经行政楼前绿化带和西围墙）；</w:t>
                  </w:r>
                  <w:r>
                    <w:rPr>
                      <w:rFonts w:ascii="仿宋_GB2312" w:hAnsi="仿宋_GB2312" w:cs="仿宋_GB2312" w:eastAsia="仿宋_GB2312"/>
                      <w:sz w:val="24"/>
                      <w:b/>
                      <w:color w:val="0000FF"/>
                    </w:rPr>
                    <w:t>会议转播业务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1条12芯光缆（5号教学楼5515会议室至行政楼6楼东会议室，途经行政楼前绿化带和西围墙）。</w:t>
                  </w:r>
                </w:p>
                <w:p>
                  <w:pPr>
                    <w:pStyle w:val="null3"/>
                    <w:jc w:val="both"/>
                  </w:pPr>
                  <w:r>
                    <w:rPr>
                      <w:rFonts w:ascii="仿宋_GB2312" w:hAnsi="仿宋_GB2312" w:cs="仿宋_GB2312" w:eastAsia="仿宋_GB2312"/>
                      <w:sz w:val="24"/>
                      <w:b/>
                      <w:color w:val="0000FF"/>
                    </w:rPr>
                    <w:t>②</w:t>
                  </w:r>
                  <w:r>
                    <w:rPr>
                      <w:rFonts w:ascii="仿宋_GB2312" w:hAnsi="仿宋_GB2312" w:cs="仿宋_GB2312" w:eastAsia="仿宋_GB2312"/>
                      <w:sz w:val="24"/>
                      <w:b/>
                      <w:color w:val="0000FF"/>
                    </w:rPr>
                    <w:t>西门门禁闸机、一卡通、车辆管理等业务。门禁闸机业务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1条12芯光缆（3号教学楼机房至西门值班室，途经后勤楼西北角绕行西围墙护栏至西门值班室）；</w:t>
                  </w:r>
                  <w:r>
                    <w:rPr>
                      <w:rFonts w:ascii="仿宋_GB2312" w:hAnsi="仿宋_GB2312" w:cs="仿宋_GB2312" w:eastAsia="仿宋_GB2312"/>
                      <w:sz w:val="24"/>
                      <w:b/>
                      <w:color w:val="0000FF"/>
                    </w:rPr>
                    <w:t>一卡通业务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1条12芯光缆（3号教学楼机房至西门值班室，途经行政楼前绿化带和西围墙）；</w:t>
                  </w:r>
                  <w:r>
                    <w:rPr>
                      <w:rFonts w:ascii="仿宋_GB2312" w:hAnsi="仿宋_GB2312" w:cs="仿宋_GB2312" w:eastAsia="仿宋_GB2312"/>
                      <w:sz w:val="24"/>
                      <w:b/>
                      <w:color w:val="0000FF"/>
                    </w:rPr>
                    <w:t>车辆管理业务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1条12芯光缆（3号教学楼机房至西门值班室，途经行政楼前绿化带和西围墙）。</w:t>
                  </w:r>
                </w:p>
                <w:p>
                  <w:pPr>
                    <w:pStyle w:val="null3"/>
                    <w:jc w:val="both"/>
                  </w:pPr>
                  <w:r>
                    <w:rPr>
                      <w:rFonts w:ascii="仿宋_GB2312" w:hAnsi="仿宋_GB2312" w:cs="仿宋_GB2312" w:eastAsia="仿宋_GB2312"/>
                      <w:sz w:val="24"/>
                      <w:b/>
                      <w:color w:val="0000FF"/>
                    </w:rPr>
                    <w:t>③</w:t>
                  </w:r>
                  <w:r>
                    <w:rPr>
                      <w:rFonts w:ascii="仿宋_GB2312" w:hAnsi="仿宋_GB2312" w:cs="仿宋_GB2312" w:eastAsia="仿宋_GB2312"/>
                      <w:sz w:val="24"/>
                      <w:b/>
                      <w:color w:val="0000FF"/>
                    </w:rPr>
                    <w:t>家属区门禁闸机、调频电台等业务。门禁闸机业务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2条12芯光缆（3号教学楼机房至家属区东1门和东2门，途经后勤楼西北角绕行西围墙护栏横跨韩非路至家属院，具体路由需自行勘测）；</w:t>
                  </w:r>
                  <w:r>
                    <w:rPr>
                      <w:rFonts w:ascii="仿宋_GB2312" w:hAnsi="仿宋_GB2312" w:cs="仿宋_GB2312" w:eastAsia="仿宋_GB2312"/>
                      <w:sz w:val="24"/>
                      <w:b/>
                      <w:color w:val="0000FF"/>
                    </w:rPr>
                    <w:t>调频电台业务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1条12芯光缆（5号教学楼4楼电台室至G楼1单元楼顶，途经行政楼前绿化带和西围墙护栏横跨韩非路至家属区，具体路由需自行勘测）。</w:t>
                  </w:r>
                </w:p>
                <w:p>
                  <w:pPr>
                    <w:pStyle w:val="null3"/>
                    <w:jc w:val="both"/>
                  </w:pPr>
                  <w:r>
                    <w:rPr>
                      <w:rFonts w:ascii="仿宋_GB2312" w:hAnsi="仿宋_GB2312" w:cs="仿宋_GB2312" w:eastAsia="仿宋_GB2312"/>
                      <w:sz w:val="24"/>
                      <w:b/>
                      <w:color w:val="0000FF"/>
                    </w:rPr>
                    <w:t>④</w:t>
                  </w:r>
                  <w:r>
                    <w:rPr>
                      <w:rFonts w:ascii="仿宋_GB2312" w:hAnsi="仿宋_GB2312" w:cs="仿宋_GB2312" w:eastAsia="仿宋_GB2312"/>
                      <w:sz w:val="24"/>
                      <w:b/>
                      <w:color w:val="0000FF"/>
                    </w:rPr>
                    <w:t>学生二餐厅、特色餐厅无线网业务。</w:t>
                  </w:r>
                  <w:r>
                    <w:rPr>
                      <w:rFonts w:ascii="仿宋_GB2312" w:hAnsi="仿宋_GB2312" w:cs="仿宋_GB2312" w:eastAsia="仿宋_GB2312"/>
                      <w:sz w:val="24"/>
                      <w:color w:val="0000FF"/>
                    </w:rPr>
                    <w:t>涉及</w:t>
                  </w:r>
                  <w:r>
                    <w:rPr>
                      <w:rFonts w:ascii="仿宋_GB2312" w:hAnsi="仿宋_GB2312" w:cs="仿宋_GB2312" w:eastAsia="仿宋_GB2312"/>
                      <w:sz w:val="24"/>
                      <w:color w:val="0000FF"/>
                    </w:rPr>
                    <w:t>2条4芯光缆</w:t>
                  </w:r>
                  <w:r>
                    <w:rPr>
                      <w:rFonts w:ascii="仿宋_GB2312" w:hAnsi="仿宋_GB2312" w:cs="仿宋_GB2312" w:eastAsia="仿宋_GB2312"/>
                      <w:sz w:val="24"/>
                      <w:b/>
                      <w:color w:val="0000FF"/>
                    </w:rPr>
                    <w:t>（</w:t>
                  </w:r>
                  <w:r>
                    <w:rPr>
                      <w:rFonts w:ascii="仿宋_GB2312" w:hAnsi="仿宋_GB2312" w:cs="仿宋_GB2312" w:eastAsia="仿宋_GB2312"/>
                      <w:sz w:val="24"/>
                      <w:color w:val="0000FF"/>
                    </w:rPr>
                    <w:t>8号公寓楼东北侧光交分别至学生二餐厅东南角机柜、特色餐厅东侧机柜，途经8号公寓北侧绿化带、西围墙南段区域），本次整改要求该2条光缆沿8号公寓东侧弱电地沟重新布设。</w:t>
                  </w:r>
                </w:p>
                <w:p>
                  <w:pPr>
                    <w:pStyle w:val="null3"/>
                    <w:jc w:val="both"/>
                  </w:pPr>
                  <w:r>
                    <w:rPr>
                      <w:rFonts w:ascii="仿宋_GB2312" w:hAnsi="仿宋_GB2312" w:cs="仿宋_GB2312" w:eastAsia="仿宋_GB2312"/>
                      <w:sz w:val="24"/>
                      <w:b/>
                      <w:color w:val="0000FF"/>
                    </w:rPr>
                    <w:t>⑤</w:t>
                  </w:r>
                  <w:r>
                    <w:rPr>
                      <w:rFonts w:ascii="仿宋_GB2312" w:hAnsi="仿宋_GB2312" w:cs="仿宋_GB2312" w:eastAsia="仿宋_GB2312"/>
                      <w:sz w:val="24"/>
                      <w:b/>
                      <w:color w:val="0000FF"/>
                    </w:rPr>
                    <w:t>西围墙沿线安防监控业务。</w:t>
                  </w:r>
                  <w:r>
                    <w:rPr>
                      <w:rFonts w:ascii="仿宋_GB2312" w:hAnsi="仿宋_GB2312" w:cs="仿宋_GB2312" w:eastAsia="仿宋_GB2312"/>
                      <w:sz w:val="24"/>
                      <w:color w:val="0000FF"/>
                    </w:rPr>
                    <w:t>监控业务涉及范围为西围墙全线，线缆须自行勘测，将原有围墙上的线缆迁移至地下弱电管道。</w:t>
                  </w:r>
                </w:p>
                <w:p>
                  <w:pPr>
                    <w:pStyle w:val="null3"/>
                    <w:jc w:val="both"/>
                  </w:pPr>
                  <w:r>
                    <w:rPr>
                      <w:rFonts w:ascii="仿宋_GB2312" w:hAnsi="仿宋_GB2312" w:cs="仿宋_GB2312" w:eastAsia="仿宋_GB2312"/>
                      <w:sz w:val="24"/>
                      <w:b/>
                      <w:color w:val="0000FF"/>
                    </w:rPr>
                    <w:t>⑥</w:t>
                  </w:r>
                  <w:r>
                    <w:rPr>
                      <w:rFonts w:ascii="仿宋_GB2312" w:hAnsi="仿宋_GB2312" w:cs="仿宋_GB2312" w:eastAsia="仿宋_GB2312"/>
                      <w:sz w:val="24"/>
                      <w:b/>
                      <w:color w:val="0000FF"/>
                    </w:rPr>
                    <w:t>行政楼前后绿化带及跨路面不规范业务线缆。</w:t>
                  </w:r>
                  <w:r>
                    <w:rPr>
                      <w:rFonts w:ascii="仿宋_GB2312" w:hAnsi="仿宋_GB2312" w:cs="仿宋_GB2312" w:eastAsia="仿宋_GB2312"/>
                      <w:sz w:val="24"/>
                      <w:color w:val="0000FF"/>
                    </w:rPr>
                    <w:t>含行政楼前后绿化带内裸露线缆、行政楼前绿化带西北角（中国银行门口）沿路面至西围墙的弱电线缆，该区域线缆须自行勘测，将原有围墙上的线缆迁移至地下弱电管道。</w:t>
                  </w:r>
                </w:p>
                <w:p>
                  <w:pPr>
                    <w:pStyle w:val="null3"/>
                    <w:jc w:val="both"/>
                  </w:pPr>
                  <w:r>
                    <w:rPr>
                      <w:rFonts w:ascii="仿宋_GB2312" w:hAnsi="仿宋_GB2312" w:cs="仿宋_GB2312" w:eastAsia="仿宋_GB2312"/>
                      <w:sz w:val="24"/>
                      <w:color w:val="0000FF"/>
                    </w:rPr>
                    <w:t>(2)线缆改迁一律走地下管道，涉及路面或绿化区域内弱电线缆埋设须套线管，埋设深度不得低于50cm，并在弱电线路沿线关键点位安装线路指示桩；其它区域线缆布设须采用钢制管或阻燃PVC管包裹处理，所有线缆不得裸露；迁移完成后须确保原有各项业务正常工作。</w:t>
                  </w:r>
                </w:p>
                <w:p>
                  <w:pPr>
                    <w:pStyle w:val="null3"/>
                    <w:jc w:val="both"/>
                  </w:pPr>
                  <w:r>
                    <w:rPr>
                      <w:rFonts w:ascii="仿宋_GB2312" w:hAnsi="仿宋_GB2312" w:cs="仿宋_GB2312" w:eastAsia="仿宋_GB2312"/>
                      <w:sz w:val="24"/>
                      <w:color w:val="0000FF"/>
                    </w:rPr>
                    <w:t>(3)拆除原有废弃线缆及相关设施，涉及区域因拆除造成的墙面、地面、绿化损伤须及时修补，恢复原状。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西围墙和行政楼周边区域废弃弱电线路设施拆除</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待全部弱电业务线路整改完成后，须拆除清理西围墙及行政楼周边的废弃及无主弱电线路和设施，确保校园美观，并为后续围墙改建做好准备。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三号教学楼电池间南侧至东侧地沟弱电管道扩容</w:t>
                  </w:r>
                </w:p>
              </w:tc>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本项目须在三号教学楼电池间南侧至东侧学校地沟之间增建不少于</w:t>
                  </w:r>
                  <w:r>
                    <w:rPr>
                      <w:rFonts w:ascii="仿宋_GB2312" w:hAnsi="仿宋_GB2312" w:cs="仿宋_GB2312" w:eastAsia="仿宋_GB2312"/>
                      <w:sz w:val="24"/>
                      <w:color w:val="0000FF"/>
                    </w:rPr>
                    <w:t>3条管径110mm地下弱电管道，管道材质应选择抗压、耐腐蚀PE管，埋设深度不低于70cm。埋设区域涉及绿化及水泥路面、总长度约60米，实际工程量需自行勘测。须将三号教学楼电池间至学校地沟之间管路打通，便于后续光缆敷设。</w:t>
                  </w:r>
                </w:p>
              </w:tc>
            </w:tr>
          </w:tbl>
          <w:p>
            <w:pPr>
              <w:pStyle w:val="null3"/>
              <w:jc w:val="both"/>
              <w:outlineLvl w:val="0"/>
            </w:pPr>
            <w:r>
              <w:rPr>
                <w:rFonts w:ascii="仿宋_GB2312" w:hAnsi="仿宋_GB2312" w:cs="仿宋_GB2312" w:eastAsia="仿宋_GB2312"/>
                <w:sz w:val="24"/>
                <w:b/>
                <w:color w:val="0000FF"/>
              </w:rPr>
              <w:t>三、其他要求</w:t>
            </w:r>
          </w:p>
          <w:p>
            <w:pPr>
              <w:pStyle w:val="null3"/>
              <w:jc w:val="both"/>
              <w:outlineLvl w:val="1"/>
            </w:pPr>
            <w:r>
              <w:rPr>
                <w:rFonts w:ascii="仿宋_GB2312" w:hAnsi="仿宋_GB2312" w:cs="仿宋_GB2312" w:eastAsia="仿宋_GB2312"/>
                <w:sz w:val="24"/>
                <w:b/>
                <w:color w:val="0000FF"/>
              </w:rPr>
              <w:t>（一）施工要求</w:t>
            </w:r>
          </w:p>
          <w:p>
            <w:pPr>
              <w:pStyle w:val="null3"/>
              <w:ind w:firstLine="480"/>
              <w:jc w:val="both"/>
            </w:pPr>
            <w:r>
              <w:rPr>
                <w:rFonts w:ascii="仿宋_GB2312" w:hAnsi="仿宋_GB2312" w:cs="仿宋_GB2312" w:eastAsia="仿宋_GB2312"/>
                <w:sz w:val="24"/>
                <w:color w:val="0000FF"/>
              </w:rPr>
              <w:t>项目建设时中标单位须安排项目组项目负责人为对接联系人负责项目相关事宜，施工人员应遵守学校相关规章制度，在不影响学校正常业务的前提下进行，并自行承担施工相应的安全责任。项目的施工、设备和线缆的安装布放必须符合国家相关标准规范的规定和学校需求，包括安装位置、走线方式、设备标签、施工安全、施工垃圾处理等。</w:t>
            </w:r>
          </w:p>
          <w:p>
            <w:pPr>
              <w:pStyle w:val="null3"/>
              <w:jc w:val="both"/>
              <w:outlineLvl w:val="1"/>
            </w:pPr>
            <w:r>
              <w:rPr>
                <w:rFonts w:ascii="仿宋_GB2312" w:hAnsi="仿宋_GB2312" w:cs="仿宋_GB2312" w:eastAsia="仿宋_GB2312"/>
                <w:sz w:val="24"/>
                <w:b/>
                <w:color w:val="0000FF"/>
              </w:rPr>
              <w:t>（二）资料移交</w:t>
            </w:r>
          </w:p>
          <w:p>
            <w:pPr>
              <w:pStyle w:val="null3"/>
              <w:ind w:firstLine="480"/>
              <w:jc w:val="both"/>
            </w:pPr>
            <w:r>
              <w:rPr>
                <w:rFonts w:ascii="仿宋_GB2312" w:hAnsi="仿宋_GB2312" w:cs="仿宋_GB2312" w:eastAsia="仿宋_GB2312"/>
                <w:sz w:val="24"/>
                <w:color w:val="0000FF"/>
              </w:rPr>
              <w:t>整改完成前需提供整改项目的施工图等资料，包含各区域光缆线路整改实施路由图纸、整改业务涉及弱电设备（如交换机、光端盒等）各端口线路明细表等内容。项目完成后提供完整的电子版和纸质版资料。</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满足现行《建筑与市政工程施工质量控制通用规范》、国家、省、市、行业及项目所在地的强制性规范要求，同时满足合同的要求，质量验收合格。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（一）质量保修期：整体工程质保2年，自验收合格之日起计算。 （二）供应商需提供项目所用材料的合格证明、检测报告。 （三）施工过程中需接受校方的质量抽查，不合格部分需无条件返工。 （四）隐蔽工程验收需提供影像资料及检测报告。 （五）质保期内出现质量问题，供应商需在1小时内响应，6小时内到场处理，若超过48小时未解决，校方有权委托第三方维修，费用从质保金中扣除。</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（一）本项目最高投标限价：207194.53元（含税），磋商报价不得超过此金额，否则视为无效投标。 （二）付款方式： 项目竣工并验收合格后30个自然日内，甲方按照审计决算总额的50%支付款项。 项目竣工并验收合格后90个自然日内，甲方按照审计决算总额的47%支付款项。 剩余3%作为质保金，2年质保期满无质量问题后一次性付清余款。 （三）本项目工期：总工期不超过30天。若因校方原因或其它客观因素影响需暂停施工，工期按实际暂停天数顺延。 （四）工程地点：陕西中医药大学南校区。 （五）合同价款形式：固定综合单价合同。 （六）违约责任：逾期每日按合同金额0.05%扣款，累计不超过合同金额的5%，重大质量问题需承担修复费用及赔偿。 （七）解决争议方式：本合同在履行过程中发生的争议，由甲、乙双方当事人协商解决，如协商不成，依法向甲方所在地人民法院起诉。 （八）本项目校内监督部门：陕西中医药大学招标办。 （九）磋商报价要求 1.本项目采用工程量清单计价，签订单价合同。供应商根据《陕西省建设工程费用规则》、2025版《陕西省建设工程工程量清单计价标准》、2025《陕西省房屋建筑与装饰工程工程量计算标准》、2025《陕西省通用安装工程工程量计算标准》、2025《陕西省市政工程工程量计算标准》、2025《陕西省园林绿化工程工程量计算标准》等现行陕西省工程建设标准的要求及磋商文件的有关规定，自主填报已标价工程量清单。所有磋商报价中的单价、合价及磋商总价均以人民币表示。 2.供应商在磋商报价时应仔细对磋商文件进行透彻地分析研究，对图纸进行仔细地阅读和理解，根据磋商文件中的工程量清单和有关要求、施工现场实际情况及拟定的施工方案或施工组织设计进行报价。采购人所发布的工程量清单的工程项目仅表达了主要工程做法，报价时各投标单位应依据图纸用料说明、相关图集，结合图纸、磋商文件、合同条款、技术规范及现场情况进行科学合理组价。所投标的综合单价采购人视为是相应清单项在招标范围内的全部内容价格。 3.供应商在计算报价时须全面考虑磋商文件及拟签订合同中所明示或可能涉及的全部风险，除磋商文件及拟签订合同中允许调整的内容外，供应商所报的综合单价在合同实施期间不予调整。 4.已标价工程量清单中供应商均应按清单项填报综合单价并计算合价；每一项目只允许有一个报价，任何有选择的报价将不予接受；供应商未填综合单价和合价的，均视为此项目费用已包含在其他综合单价和合价中，中标后不予增加。结算时依据采购人审定的工程量，以成交供应商一次磋商报价中的各项单价进行组价×（1-下浮率）据实结算，下浮率=[（一次磋商报价-最后磋商报价）/一次磋商报价]*100%。 5.填报已标价工程量清单时供应商不得更改分部分项工程项目清单。除非本磋商文件对工程量清单编制和报价另有说明。 6.措施项目费在报价时供应商可以按自身编制的施工方案、施工组织设计对措施项目清单进行补充、完善，自主填报金额、风险自负。项目实施过程中除安全文明施工措施项目费及以单价计价的措施项目外不再进行调整。 7.供应商应当按照磋商文件及工程量清单编制说明、最高投标限价编制说明等要求填报暂列金额、材料暂估价、专业工程暂估价，未按照要求的金额或内容填报的，按照无效投标处理。 计日工按照工程量清单及最高投标限价编制说明中列出的项目和数量自主填报综合单价、合价、磋商报价。 总承包服务费按照工程量清单中列出的具体内容和要求自主计算费用。 优质工程增加费等内容按照磋商文件及拟签订合同的内容，综合考虑在磋商报价中，不再另行计取。 8.供应商自行前往工地现场踏勘，以便充分了解工地位置、情况、道路、储存空间、装卸限制及人和其他足以影响承包价的情况，任何因供应商疏忽或误解工地情况而导致的索赔或工期延长申请将不被批准。凡因供应商对磋商文件阅读疏忽或误解，或因对施工现场、施工环境、市场行情等了解不清而造成的后果和风险，均由供应商负责。 9.增值税和安全文明施工措施费属不可竞争费用，按照现行有关规定填报。 10.本工程施工过程中产生的所有建筑垃圾均须运至场外，有关费用在磋商报价中综合考虑，采购人不再另行支付； 11.临时围挡的施工，承包人需按照发包人提供或确认的图纸进行施工，在磋商报价中综合考虑，采购人不再另行支付，且在施工过程中承包人所做围挡应满足现场安全和相关部门的检查等。 12.本项目计价依据及标准详见工程量清单编制说明及最高投标限价编制说明。其他报价需要注意的事项以磋商文件及拟签订合同中的要求为准。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供应商为向采购人提供工程及配套服务的法人或其他组织；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供应商具备建设行政主管部门颁发的电子与智能化工程专业承包二级（含）以上资质；同时具备有效的安全生产许可证，并在人员、设备、资金等方面具备相应的能力；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拟派项目经理应具备机电工程专业二级（含）以上注册建造师执业资格及合法有效的安全生产考核合格证（安全B证），在本单位注册且无在建工程；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供应商需在项目电子化交易系统中按要求填写《响应函》、《报价函》、《法定代表人证明书》、《法定代表人授权书》完成承诺并进行电子签章。</w:t>
            </w:r>
          </w:p>
        </w:tc>
        <w:tc>
          <w:tcPr>
            <w:tcW w:type="dxa" w:w="1661"/>
          </w:tcPr>
          <w:p>
            <w:pPr>
              <w:pStyle w:val="null3"/>
            </w:pPr>
            <w:r>
              <w:rPr>
                <w:rFonts w:ascii="仿宋_GB2312" w:hAnsi="仿宋_GB2312" w:cs="仿宋_GB2312" w:eastAsia="仿宋_GB2312"/>
              </w:rPr>
              <w:t>响应文件封面 报价函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每次报价只能有一个有效报价。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符合本项目工期的要求。</w:t>
            </w:r>
          </w:p>
        </w:tc>
        <w:tc>
          <w:tcPr>
            <w:tcW w:type="dxa" w:w="1661"/>
          </w:tcPr>
          <w:p>
            <w:pPr>
              <w:pStyle w:val="null3"/>
            </w:pPr>
            <w:r>
              <w:rPr>
                <w:rFonts w:ascii="仿宋_GB2312" w:hAnsi="仿宋_GB2312" w:cs="仿宋_GB2312" w:eastAsia="仿宋_GB2312"/>
              </w:rPr>
              <w:t>报价函 响应函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详细评审30.00分</w:t>
            </w:r>
          </w:p>
          <w:p>
            <w:pPr>
              <w:pStyle w:val="null3"/>
            </w:pPr>
            <w:r>
              <w:rPr>
                <w:rFonts w:ascii="仿宋_GB2312" w:hAnsi="仿宋_GB2312" w:cs="仿宋_GB2312" w:eastAsia="仿宋_GB2312"/>
              </w:rPr>
              <w:t>报价得分70.00分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供应商提供2023年1月1日以来至今已承接的类似业绩证明材料，每提供1项得2分，最多得6分。 评审依据：提供类似业绩合同扫描件或复印件（包含合同主要内容及签字盖章等关键信息），时间以合同体现时间为准，未提供或提供不全的不得分。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拟派项目经理的职称（满分3分） 拟派项目经理具备中级（含）以上职称的得3分，初级的得1分；其余情况不得分。 评审依据：评审时以供应商提供的拟派项目经理的职称证扫描件或复印件，提供多个职称证明材料的，以最高职称证书的扫描件或复印件。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具有本科学历及以上得2分，大专学历及以上得1分，其他情况不得分。 评审依据：评审时以供应商提供的拟派项目经理的最高学历证书复印件或扫描件为准。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供应商提供拟派项目经理自2023年4月1日以来至今已完成的类似业绩证明材料，（在该项目中担任项目经理一职）提供1项得1分，最高得3分，未提供不得分。 评审依据：提供类似业绩合同扫描件或复印件（包含合同主要内容及签字盖章等关键信息）及竣工验收证明材料，以合同签订时间所体现的时间为准，合同中应体现的项目经理姓名。拟派项目经理业绩与企业业绩可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w:t>
            </w:r>
          </w:p>
        </w:tc>
      </w:tr>
      <w:tr>
        <w:tc>
          <w:tcPr>
            <w:tcW w:type="dxa" w:w="831"/>
            <w:vMerge/>
          </w:tcPr>
          <w:p/>
        </w:tc>
        <w:tc>
          <w:tcPr>
            <w:tcW w:type="dxa" w:w="1661"/>
          </w:tcPr>
          <w:p>
            <w:pPr>
              <w:pStyle w:val="null3"/>
            </w:pPr>
            <w:r>
              <w:rPr>
                <w:rFonts w:ascii="仿宋_GB2312" w:hAnsi="仿宋_GB2312" w:cs="仿宋_GB2312" w:eastAsia="仿宋_GB2312"/>
              </w:rPr>
              <w:t>施工整体方案</w:t>
            </w:r>
          </w:p>
        </w:tc>
        <w:tc>
          <w:tcPr>
            <w:tcW w:type="dxa" w:w="2492"/>
          </w:tcPr>
          <w:p>
            <w:pPr>
              <w:pStyle w:val="null3"/>
            </w:pPr>
            <w:r>
              <w:rPr>
                <w:rFonts w:ascii="仿宋_GB2312" w:hAnsi="仿宋_GB2312" w:cs="仿宋_GB2312" w:eastAsia="仿宋_GB2312"/>
              </w:rPr>
              <w:t>根据供应商提供的施工整体方案，包括但不限于：①施工组织整体方案；②分部分项施工方案；③方案针对性；④施工段划分，磋商小组根据供应商所提供的内容进行评审： 施工整体方案科学合理、内容表述清晰，各项内容完整、严谨合理、针对性强得1.1-2分； 施工整体方案各项内容简单粗略，基本满足本项目需求得0-1分；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vMerge/>
          </w:tcPr>
          <w:p/>
        </w:tc>
        <w:tc>
          <w:tcPr>
            <w:tcW w:type="dxa" w:w="1661"/>
          </w:tcPr>
          <w:p>
            <w:pPr>
              <w:pStyle w:val="null3"/>
            </w:pPr>
            <w:r>
              <w:rPr>
                <w:rFonts w:ascii="仿宋_GB2312" w:hAnsi="仿宋_GB2312" w:cs="仿宋_GB2312" w:eastAsia="仿宋_GB2312"/>
              </w:rPr>
              <w:t>质量的技术组织措施</w:t>
            </w:r>
          </w:p>
        </w:tc>
        <w:tc>
          <w:tcPr>
            <w:tcW w:type="dxa" w:w="2492"/>
          </w:tcPr>
          <w:p>
            <w:pPr>
              <w:pStyle w:val="null3"/>
            </w:pPr>
            <w:r>
              <w:rPr>
                <w:rFonts w:ascii="仿宋_GB2312" w:hAnsi="仿宋_GB2312" w:cs="仿宋_GB2312" w:eastAsia="仿宋_GB2312"/>
              </w:rPr>
              <w:t>根据供应商提供的确保工程质量的技术组织措施，包括但不限于：①质量体系；②质量保证措施，磋商小组根据供应商所提供的内容进行评审： 工程质量的技术组织措施科学合理、内容表述清晰，各项内容完整、严谨合理、针对性强得1.1-2分； 工程质量的技术组织措施各项内容简单粗略，基本满足本项目需求得0-1分；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根据供应商提供的项目工期的技术组织措施，包括但不限于：①工期进度计划；②进度表；③工程工期保障措施，磋商小组根据供应商所提供的内容进行评审： 项目工期的技术组织措施科学合理、内容表述清晰，各项内容完整、严谨合理、针对性强得1.1-2分； 项目工期的技术组织措施各项内容简单粗略，基本满足本项目需求得0-1分；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vMerge/>
          </w:tcPr>
          <w:p/>
        </w:tc>
        <w:tc>
          <w:tcPr>
            <w:tcW w:type="dxa" w:w="1661"/>
          </w:tcPr>
          <w:p>
            <w:pPr>
              <w:pStyle w:val="null3"/>
            </w:pPr>
            <w:r>
              <w:rPr>
                <w:rFonts w:ascii="仿宋_GB2312" w:hAnsi="仿宋_GB2312" w:cs="仿宋_GB2312" w:eastAsia="仿宋_GB2312"/>
              </w:rPr>
              <w:t>安全文明施工措施及环境保护措施</w:t>
            </w:r>
          </w:p>
        </w:tc>
        <w:tc>
          <w:tcPr>
            <w:tcW w:type="dxa" w:w="2492"/>
          </w:tcPr>
          <w:p>
            <w:pPr>
              <w:pStyle w:val="null3"/>
            </w:pPr>
            <w:r>
              <w:rPr>
                <w:rFonts w:ascii="仿宋_GB2312" w:hAnsi="仿宋_GB2312" w:cs="仿宋_GB2312" w:eastAsia="仿宋_GB2312"/>
              </w:rPr>
              <w:t>根据供应商提供的安全文明施工措施及环境保护措施，包括但不限于：①安全文明施工措施； ②安全文明管理体系；③环境保护措施；④环境保护体系，磋商小组根据供应商所提供的内容进行评审： 安全文明施工措施及环境保护措施内容表述清晰，各项内容完整、措施科学合理、严谨得1.1-2分； 安全文明施工措施及环境保护措施内容简单粗略，基本满足本项目需求得0-1分；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vMerge/>
          </w:tcPr>
          <w:p/>
        </w:tc>
        <w:tc>
          <w:tcPr>
            <w:tcW w:type="dxa" w:w="1661"/>
          </w:tcPr>
          <w:p>
            <w:pPr>
              <w:pStyle w:val="null3"/>
            </w:pPr>
            <w:r>
              <w:rPr>
                <w:rFonts w:ascii="仿宋_GB2312" w:hAnsi="仿宋_GB2312" w:cs="仿宋_GB2312" w:eastAsia="仿宋_GB2312"/>
              </w:rPr>
              <w:t>关键施工技术、工艺及工程实施的重点、难点和解决方案</w:t>
            </w:r>
          </w:p>
        </w:tc>
        <w:tc>
          <w:tcPr>
            <w:tcW w:type="dxa" w:w="2492"/>
          </w:tcPr>
          <w:p>
            <w:pPr>
              <w:pStyle w:val="null3"/>
            </w:pPr>
            <w:r>
              <w:rPr>
                <w:rFonts w:ascii="仿宋_GB2312" w:hAnsi="仿宋_GB2312" w:cs="仿宋_GB2312" w:eastAsia="仿宋_GB2312"/>
              </w:rPr>
              <w:t>根据供应商提供的关键施工技术、工艺及工程实施的重点、难点和解决方案，包括但不限于：①本工程的关键施工技术、工艺；②本工程的重点、难点；③重点、难点解决方案，磋商小组根据供应商所提供的内容进行评审： 关键施工技术、工艺及工程实施的重点、难点和解决方案科学合理、针对性强，各项内容完整得1.1-2分； 关键施工技术、工艺及工程实施的重点、难点和解决方案各项内容简单粗略，基本满足本项目需求得0-1分；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vMerge/>
          </w:tcPr>
          <w:p/>
        </w:tc>
        <w:tc>
          <w:tcPr>
            <w:tcW w:type="dxa" w:w="1661"/>
          </w:tcPr>
          <w:p>
            <w:pPr>
              <w:pStyle w:val="null3"/>
            </w:pPr>
            <w:r>
              <w:rPr>
                <w:rFonts w:ascii="仿宋_GB2312" w:hAnsi="仿宋_GB2312" w:cs="仿宋_GB2312" w:eastAsia="仿宋_GB2312"/>
              </w:rPr>
              <w:t>劳动力、机械设备和材料投入计划及保证措施</w:t>
            </w:r>
          </w:p>
        </w:tc>
        <w:tc>
          <w:tcPr>
            <w:tcW w:type="dxa" w:w="2492"/>
          </w:tcPr>
          <w:p>
            <w:pPr>
              <w:pStyle w:val="null3"/>
            </w:pPr>
            <w:r>
              <w:rPr>
                <w:rFonts w:ascii="仿宋_GB2312" w:hAnsi="仿宋_GB2312" w:cs="仿宋_GB2312" w:eastAsia="仿宋_GB2312"/>
              </w:rPr>
              <w:t>根据供应商提供的针对本项目的劳动力、机械设备和材料投入计划及保证措施，包括但不限于：①劳动力、机械设备和材料投入计划；②保证措施，磋商小组根据供应商所提供的内容进行评审： 劳动力、机械设备和材料投入计划及保证措施内容表述清晰，各项内容完整、措施科学合理、严谨得1.1-2分； 劳动力、机械设备和材料投入计划及保证措施各项内容简单粗略，基本满足本项目需求得0-1分；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p>
            <w:pPr>
              <w:pStyle w:val="null3"/>
            </w:pPr>
            <w:r>
              <w:rPr>
                <w:rFonts w:ascii="仿宋_GB2312" w:hAnsi="仿宋_GB2312" w:cs="仿宋_GB2312" w:eastAsia="仿宋_GB2312"/>
              </w:rPr>
              <w:t>主要材料、设备品牌表</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根据供应商提供的工程验收方案，根据方案的完整性、针对性和可操作性，磋商小组根据供应商所提供的内容进行评审： 工程验收方案科学合理、针对性强，满足本项目需求得1.1-2分； 工程验收方案具有一定的合理性、针对性，基本满足本项目需求得0-1分；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vMerge/>
          </w:tcPr>
          <w:p/>
        </w:tc>
        <w:tc>
          <w:tcPr>
            <w:tcW w:type="dxa" w:w="1661"/>
          </w:tcPr>
          <w:p>
            <w:pPr>
              <w:pStyle w:val="null3"/>
            </w:pPr>
            <w:r>
              <w:rPr>
                <w:rFonts w:ascii="仿宋_GB2312" w:hAnsi="仿宋_GB2312" w:cs="仿宋_GB2312" w:eastAsia="仿宋_GB2312"/>
              </w:rPr>
              <w:t>突发、应急事项处理举措</w:t>
            </w:r>
          </w:p>
        </w:tc>
        <w:tc>
          <w:tcPr>
            <w:tcW w:type="dxa" w:w="2492"/>
          </w:tcPr>
          <w:p>
            <w:pPr>
              <w:pStyle w:val="null3"/>
            </w:pPr>
            <w:r>
              <w:rPr>
                <w:rFonts w:ascii="仿宋_GB2312" w:hAnsi="仿宋_GB2312" w:cs="仿宋_GB2312" w:eastAsia="仿宋_GB2312"/>
              </w:rPr>
              <w:t>根据供应商提供的突发、应急事项处理举措，磋商小组根据供应商所提供的内容进行评审： 突发、应急事项处理举措科学合理、针对性强，满足本项目需求得1.1-2分； 突发、应急事项处理举措的合理性、针对性，基本满足本项目需求得0-1分；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磋商报价采用低价优先法计算，即满足磋商文件要求且最后磋商报价最低的报价为评审基准价，其价格分为满分。其他供应商的价格分统一按照下列公式计算：磋商报价得分=（评标基准价/最后磋商报价×70</w:t>
            </w:r>
          </w:p>
        </w:tc>
        <w:tc>
          <w:tcPr>
            <w:tcW w:type="dxa" w:w="831"/>
          </w:tcPr>
          <w:p>
            <w:pPr>
              <w:pStyle w:val="null3"/>
              <w:jc w:val="right"/>
            </w:pPr>
            <w:r>
              <w:rPr>
                <w:rFonts w:ascii="仿宋_GB2312" w:hAnsi="仿宋_GB2312" w:cs="仿宋_GB2312" w:eastAsia="仿宋_GB2312"/>
              </w:rPr>
              <w:t>70.0000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详见附件：拟派项目经理</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详见附件：施工组织设计方案</w:t>
      </w:r>
    </w:p>
    <w:p>
      <w:pPr>
        <w:pStyle w:val="null3"/>
        <w:ind w:firstLine="960"/>
      </w:pPr>
      <w:r>
        <w:rPr>
          <w:rFonts w:ascii="仿宋_GB2312" w:hAnsi="仿宋_GB2312" w:cs="仿宋_GB2312" w:eastAsia="仿宋_GB2312"/>
        </w:rPr>
        <w:t>详见附件：主要材料、设备品牌表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