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版本号：SXZZCC-2026-820260625001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2026年省级残疾人事业保障专项资金（残疾人职业技能和实用技术培训）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SXZZCC-2026-8</w:t>
      </w:r>
      <w:r>
        <w:br/>
      </w:r>
      <w:r>
        <w:br/>
      </w:r>
      <w:r>
        <w:br/>
      </w:r>
    </w:p>
    <w:p>
      <w:pPr>
        <w:pStyle w:val="null3"/>
        <w:jc w:val="center"/>
        <w:outlineLvl w:val="2"/>
      </w:pPr>
      <w:r>
        <w:rPr>
          <w:rFonts w:ascii="仿宋_GB2312" w:hAnsi="仿宋_GB2312" w:cs="仿宋_GB2312" w:eastAsia="仿宋_GB2312"/>
          <w:sz w:val="28"/>
          <w:b/>
        </w:rPr>
        <w:t>西安市蓝田县残疾人联合会（本级）</w:t>
      </w:r>
    </w:p>
    <w:p>
      <w:pPr>
        <w:pStyle w:val="null3"/>
        <w:jc w:val="center"/>
        <w:outlineLvl w:val="2"/>
      </w:pPr>
      <w:r>
        <w:rPr>
          <w:rFonts w:ascii="仿宋_GB2312" w:hAnsi="仿宋_GB2312" w:cs="仿宋_GB2312" w:eastAsia="仿宋_GB2312"/>
          <w:sz w:val="28"/>
          <w:b/>
        </w:rPr>
        <w:t>陕西中招诚采项目管理有限责任公司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陕西中招诚采项目管理有限责任公司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西安市蓝田县残疾人联合会（本级）</w:t>
      </w:r>
      <w:r>
        <w:rPr>
          <w:rFonts w:ascii="仿宋_GB2312" w:hAnsi="仿宋_GB2312" w:cs="仿宋_GB2312" w:eastAsia="仿宋_GB2312"/>
        </w:rPr>
        <w:t>委托，拟对</w:t>
      </w:r>
      <w:r>
        <w:rPr>
          <w:rFonts w:ascii="仿宋_GB2312" w:hAnsi="仿宋_GB2312" w:cs="仿宋_GB2312" w:eastAsia="仿宋_GB2312"/>
        </w:rPr>
        <w:t>2026年省级残疾人事业保障专项资金（残疾人职业技能和实用技术培训）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SXZZCC-2026-8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2026年省级残疾人事业保障专项资金（残疾人职业技能和实用技术培训）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开展残疾⼈实⽤技术和职业技能培训，帮助残疾⼈掌握 1 ⻔以上实⽤技术和职业技能, ⿎励引导有愿望和培训需求的残疾⼈接受相应的实⽤技术和职业技能培训,⼒争为每⼀位有意愿、有能⼒的残疾⼈提供相应的实⽤技术和职业技能培训，提⾼技术、技能，促进能⼒、实现增收致富的⽬标。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2、法定代表人身份证明书或授权书：法定代表人直接磋商须提交法定代表人身份证明书及其身份证复印件，法定代表人授权代表参加磋商的，须出具授权书及被授权人身份证（复印件）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3、财务状况报告：提供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4、税收缴纳证明：供应商须提供磋商截止时间一年内任意 1 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5、社会保障资金缴纳证明：供应商须提供磋商截止时间一年内任意 1 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信用查询：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p>
      <w:pPr>
        <w:pStyle w:val="null3"/>
      </w:pPr>
      <w:r>
        <w:rPr>
          <w:rFonts w:ascii="仿宋_GB2312" w:hAnsi="仿宋_GB2312" w:cs="仿宋_GB2312" w:eastAsia="仿宋_GB2312"/>
        </w:rPr>
        <w:t>8、单一控股管理关联关系说明：供应商在本项目磋商中，不存在与其它供应商负责人为同一人，有控股、管理等关联关系。</w:t>
      </w:r>
    </w:p>
    <w:p>
      <w:pPr>
        <w:pStyle w:val="null3"/>
      </w:pPr>
      <w:r>
        <w:rPr>
          <w:rFonts w:ascii="仿宋_GB2312" w:hAnsi="仿宋_GB2312" w:cs="仿宋_GB2312" w:eastAsia="仿宋_GB2312"/>
        </w:rPr>
        <w:t>9、非联合体磋商声明：本项目不接受联合体磋商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2、法定代表人身份证明书或授权书：法定代表人直接磋商须提交法定代表人身份证明书及其身份证复印件，法定代表人授权代表参加磋商的，须出具授权书及被授权人身份证（复印件）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3、财务状况报告：提供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4、税收缴纳证明：供应商须提供磋商截止时间一年内任意 1 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5、社会保障资金缴纳证明：供应商须提供磋商截止时间一年内任意 1 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 3 年内在经营活动中没有重大违法记录的书面声明</w:t>
      </w:r>
    </w:p>
    <w:p>
      <w:pPr>
        <w:pStyle w:val="null3"/>
      </w:pPr>
      <w:r>
        <w:rPr>
          <w:rFonts w:ascii="仿宋_GB2312" w:hAnsi="仿宋_GB2312" w:cs="仿宋_GB2312" w:eastAsia="仿宋_GB2312"/>
        </w:rPr>
        <w:t>8、信用查询：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p>
      <w:pPr>
        <w:pStyle w:val="null3"/>
      </w:pPr>
      <w:r>
        <w:rPr>
          <w:rFonts w:ascii="仿宋_GB2312" w:hAnsi="仿宋_GB2312" w:cs="仿宋_GB2312" w:eastAsia="仿宋_GB2312"/>
        </w:rPr>
        <w:t>9、单一控股管理关联关系说明：供应商在本项目磋商中，不存在与其它供应商负责人为同一人，有控股、管理等关联关系。</w:t>
      </w:r>
    </w:p>
    <w:p>
      <w:pPr>
        <w:pStyle w:val="null3"/>
      </w:pPr>
      <w:r>
        <w:rPr>
          <w:rFonts w:ascii="仿宋_GB2312" w:hAnsi="仿宋_GB2312" w:cs="仿宋_GB2312" w:eastAsia="仿宋_GB2312"/>
        </w:rPr>
        <w:t>10、非联合体磋商声明：本项目不接受联合体磋商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029-82722241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陕西中招诚采项目管理有限责任公司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陕西省西安市国际港务区灞渭大道枫林九溪观澜26号楼1单元2902室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许文凯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13309277096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委关于进⼀步放开建设项⽬专业服务价格的通知》（发改价格﹝2015﹞299号）的要求，参照计价格﹝2002﹞1980号、发改价格﹝2011﹞534号⽂件的计费标准，以中标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西安市蓝田县残疾人联合会（本级）</w:t>
      </w:r>
      <w:r>
        <w:rPr>
          <w:rFonts w:ascii="仿宋_GB2312" w:hAnsi="仿宋_GB2312" w:cs="仿宋_GB2312" w:eastAsia="仿宋_GB2312"/>
        </w:rPr>
        <w:t>和</w:t>
      </w:r>
      <w:r>
        <w:rPr>
          <w:rFonts w:ascii="仿宋_GB2312" w:hAnsi="仿宋_GB2312" w:cs="仿宋_GB2312" w:eastAsia="仿宋_GB2312"/>
        </w:rPr>
        <w:t>陕西中招诚采项目管理有限责任公司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陕西中招诚采项目管理有限责任公司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陕西中招诚采项目管理有限责任公司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联系人：许文凯</w:t>
      </w:r>
    </w:p>
    <w:p>
      <w:pPr>
        <w:pStyle w:val="null3"/>
      </w:pPr>
      <w:r>
        <w:rPr>
          <w:rFonts w:ascii="仿宋_GB2312" w:hAnsi="仿宋_GB2312" w:cs="仿宋_GB2312" w:eastAsia="仿宋_GB2312"/>
        </w:rPr>
        <w:t>联系电话：13309277096</w:t>
      </w:r>
    </w:p>
    <w:p>
      <w:pPr>
        <w:pStyle w:val="null3"/>
      </w:pPr>
      <w:r>
        <w:rPr>
          <w:rFonts w:ascii="仿宋_GB2312" w:hAnsi="仿宋_GB2312" w:cs="仿宋_GB2312" w:eastAsia="仿宋_GB2312"/>
        </w:rPr>
        <w:t>地址：陕西省西安市国际港务区灞渭⼤道枫林九溪观澜26号楼1单元2902室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开展残疾人实用技术和职业技能培训，帮助残疾人掌握 1 门以上实用技术和职业技能, 鼓励引导有愿望和培训需求的残疾人接受相应的实用技术和职业技能培训,力争为每一位有意愿、有能力的残疾人提供相应的实用技术和职业技能培训，提高技术、技能，促进能力、实现增收致富的目标。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2026年省级残疾人事业保障专项资金（残疾人职业技能和实用技术培训）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2026年省级残疾人事业保障专项资金（残疾人职业技能和实用技术培训）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标的名称：2026年省级残疾人事业保障专项资金（残疾人职业技能和实用技术培训）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开展残疾人实用技术和职业技能培训，帮助残疾人掌握</w:t>
            </w:r>
            <w:r>
              <w:rPr>
                <w:rFonts w:ascii="仿宋_GB2312" w:hAnsi="仿宋_GB2312" w:cs="仿宋_GB2312" w:eastAsia="仿宋_GB2312"/>
                <w:sz w:val="24"/>
              </w:rPr>
              <w:t>1 门以上实用技术和职业技能, 鼓励引导有愿望和培训需求的残疾人接受相应的实用技术和职业技能培训,力争为每一位有意愿、有能力的残疾人提供相应的实用技术和职业技能培训，提高技术、技能，促进能力、实现增收致富的目标。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二、采购内容</w:t>
            </w:r>
            <w:r>
              <w:rPr>
                <w:rFonts w:ascii="仿宋_GB2312" w:hAnsi="仿宋_GB2312" w:cs="仿宋_GB2312" w:eastAsia="仿宋_GB2312"/>
              </w:rPr>
              <w:t xml:space="preserve"> </w:t>
            </w:r>
          </w:p>
          <w:p>
            <w:pPr>
              <w:pStyle w:val="null3"/>
              <w:ind w:left="285"/>
              <w:jc w:val="both"/>
            </w:pPr>
            <w:r>
              <w:rPr>
                <w:rFonts w:ascii="仿宋_GB2312" w:hAnsi="仿宋_GB2312" w:cs="仿宋_GB2312" w:eastAsia="仿宋_GB2312"/>
                <w:sz w:val="24"/>
              </w:rPr>
              <w:t>（一）培训对象</w:t>
            </w:r>
          </w:p>
          <w:p>
            <w:pPr>
              <w:pStyle w:val="null3"/>
              <w:ind w:left="285" w:firstLine="480"/>
              <w:jc w:val="both"/>
            </w:pPr>
            <w:r>
              <w:rPr>
                <w:rFonts w:ascii="仿宋_GB2312" w:hAnsi="仿宋_GB2312" w:cs="仿宋_GB2312" w:eastAsia="仿宋_GB2312"/>
                <w:sz w:val="24"/>
              </w:rPr>
              <w:t>全县处于就业年龄段内有劳动能力和就业意愿的残疾人，具备前面条件的智力、精神及重度肢体残疾人家庭一名直系亲属亦可作为实施对象。</w:t>
            </w:r>
          </w:p>
          <w:p>
            <w:pPr>
              <w:pStyle w:val="null3"/>
              <w:ind w:left="285"/>
              <w:jc w:val="both"/>
            </w:pPr>
            <w:r>
              <w:rPr>
                <w:rFonts w:ascii="仿宋_GB2312" w:hAnsi="仿宋_GB2312" w:cs="仿宋_GB2312" w:eastAsia="仿宋_GB2312"/>
                <w:sz w:val="24"/>
              </w:rPr>
              <w:t>（二）培训内容及人数</w:t>
            </w:r>
            <w:r>
              <w:rPr>
                <w:rFonts w:ascii="仿宋_GB2312" w:hAnsi="仿宋_GB2312" w:cs="仿宋_GB2312" w:eastAsia="仿宋_GB2312"/>
                <w:sz w:val="24"/>
              </w:rPr>
              <w:t xml:space="preserve">  </w:t>
            </w:r>
          </w:p>
          <w:p>
            <w:pPr>
              <w:pStyle w:val="null3"/>
              <w:ind w:left="285" w:firstLine="480"/>
              <w:jc w:val="both"/>
            </w:pPr>
            <w:r>
              <w:rPr>
                <w:rFonts w:ascii="仿宋_GB2312" w:hAnsi="仿宋_GB2312" w:cs="仿宋_GB2312" w:eastAsia="仿宋_GB2312"/>
                <w:sz w:val="24"/>
              </w:rPr>
              <w:t>残疾人实用技术和职业技能培训共</w:t>
            </w:r>
            <w:r>
              <w:rPr>
                <w:rFonts w:ascii="仿宋_GB2312" w:hAnsi="仿宋_GB2312" w:cs="仿宋_GB2312" w:eastAsia="仿宋_GB2312"/>
                <w:sz w:val="24"/>
              </w:rPr>
              <w:t>200人，1500元/人次 。每天安排5-7个标准学时安排教学。</w:t>
            </w:r>
          </w:p>
          <w:p>
            <w:pPr>
              <w:pStyle w:val="null3"/>
              <w:ind w:left="420" w:firstLine="480"/>
              <w:jc w:val="both"/>
            </w:pPr>
            <w:r>
              <w:rPr>
                <w:rFonts w:ascii="仿宋_GB2312" w:hAnsi="仿宋_GB2312" w:cs="仿宋_GB2312" w:eastAsia="仿宋_GB2312"/>
                <w:sz w:val="24"/>
              </w:rPr>
              <w:t>对就业年龄段的残疾人，开展突出针对性、实用性、通俗性、简便性和灵活性的实用技术培训及手工艺制作、家政服务员（家庭康养照护）、保健按摩、中式烹饪等热门行业的职业技能培训（以上内容包括但不限于），提高残疾人参与市场竞争的能力。</w:t>
            </w:r>
          </w:p>
          <w:p>
            <w:pPr>
              <w:pStyle w:val="null3"/>
              <w:ind w:firstLine="1003"/>
              <w:jc w:val="left"/>
            </w:pPr>
            <w:r>
              <w:rPr>
                <w:rFonts w:ascii="仿宋_GB2312" w:hAnsi="仿宋_GB2312" w:cs="仿宋_GB2312" w:eastAsia="仿宋_GB2312"/>
                <w:sz w:val="24"/>
              </w:rPr>
              <w:t>对农村残疾人，要突出针对性、实用性、通俗性、简便性和灵活性，鼓励扩大农村残疾人</w:t>
            </w:r>
            <w:r>
              <w:rPr>
                <w:rFonts w:ascii="仿宋_GB2312" w:hAnsi="仿宋_GB2312" w:cs="仿宋_GB2312" w:eastAsia="仿宋_GB2312"/>
                <w:sz w:val="24"/>
              </w:rPr>
              <w:t>“种、养、加”实用技术培训规模，提高农村残疾人参与市场竞争的能力。</w:t>
            </w:r>
          </w:p>
          <w:p>
            <w:pPr>
              <w:pStyle w:val="null3"/>
              <w:jc w:val="both"/>
            </w:pPr>
            <w:r>
              <w:rPr>
                <w:rFonts w:ascii="仿宋_GB2312" w:hAnsi="仿宋_GB2312" w:cs="仿宋_GB2312" w:eastAsia="仿宋_GB2312"/>
                <w:sz w:val="24"/>
              </w:rPr>
              <w:t>（三）培训时间</w:t>
            </w:r>
          </w:p>
          <w:p>
            <w:pPr>
              <w:pStyle w:val="null3"/>
              <w:ind w:left="285" w:firstLine="480"/>
              <w:jc w:val="both"/>
            </w:pPr>
            <w:r>
              <w:rPr>
                <w:rFonts w:ascii="仿宋_GB2312" w:hAnsi="仿宋_GB2312" w:cs="仿宋_GB2312" w:eastAsia="仿宋_GB2312"/>
                <w:sz w:val="24"/>
              </w:rPr>
              <w:t>每期培训时间为</w:t>
            </w:r>
            <w:r>
              <w:rPr>
                <w:rFonts w:ascii="仿宋_GB2312" w:hAnsi="仿宋_GB2312" w:cs="仿宋_GB2312" w:eastAsia="仿宋_GB2312"/>
                <w:sz w:val="24"/>
              </w:rPr>
              <w:t>6天，具体期数据实际情况确定。需在90日历日内将所有的人员培训完成。</w:t>
            </w:r>
          </w:p>
          <w:p>
            <w:pPr>
              <w:pStyle w:val="null3"/>
              <w:ind w:left="285"/>
              <w:jc w:val="both"/>
            </w:pPr>
            <w:r>
              <w:rPr>
                <w:rFonts w:ascii="仿宋_GB2312" w:hAnsi="仿宋_GB2312" w:cs="仿宋_GB2312" w:eastAsia="仿宋_GB2312"/>
                <w:sz w:val="24"/>
              </w:rPr>
              <w:t>（四）培训方式</w:t>
            </w:r>
          </w:p>
          <w:p>
            <w:pPr>
              <w:pStyle w:val="null3"/>
              <w:ind w:left="285" w:firstLine="480"/>
              <w:jc w:val="both"/>
            </w:pPr>
            <w:r>
              <w:rPr>
                <w:rFonts w:ascii="仿宋_GB2312" w:hAnsi="仿宋_GB2312" w:cs="仿宋_GB2312" w:eastAsia="仿宋_GB2312"/>
                <w:sz w:val="24"/>
              </w:rPr>
              <w:t>采用理论与实践相结合的培训模式。</w:t>
            </w:r>
          </w:p>
          <w:p>
            <w:pPr>
              <w:pStyle w:val="null3"/>
              <w:ind w:left="285"/>
              <w:jc w:val="both"/>
            </w:pPr>
            <w:r>
              <w:rPr>
                <w:rFonts w:ascii="仿宋_GB2312" w:hAnsi="仿宋_GB2312" w:cs="仿宋_GB2312" w:eastAsia="仿宋_GB2312"/>
                <w:sz w:val="24"/>
              </w:rPr>
              <w:t>三、技术要求</w:t>
            </w:r>
          </w:p>
          <w:p>
            <w:pPr>
              <w:pStyle w:val="null3"/>
              <w:ind w:left="285" w:firstLine="480"/>
              <w:jc w:val="both"/>
            </w:pPr>
            <w:r>
              <w:rPr>
                <w:rFonts w:ascii="仿宋_GB2312" w:hAnsi="仿宋_GB2312" w:cs="仿宋_GB2312" w:eastAsia="仿宋_GB2312"/>
                <w:sz w:val="24"/>
              </w:rPr>
              <w:t>通过科学有效的培训机制（技术传授</w:t>
            </w:r>
            <w:r>
              <w:rPr>
                <w:rFonts w:ascii="仿宋_GB2312" w:hAnsi="仿宋_GB2312" w:cs="仿宋_GB2312" w:eastAsia="仿宋_GB2312"/>
                <w:sz w:val="24"/>
              </w:rPr>
              <w:t>+课堂讨论+现场讲授+咨询答疑），根据实际需要为培训对象提供培训结束后的跟踪服务，培养一批创业成功且能切实带动增收的残疾人带头人队伍，进而带动帮助其他残疾人增收。</w:t>
            </w:r>
          </w:p>
          <w:p>
            <w:pPr>
              <w:pStyle w:val="null3"/>
              <w:ind w:left="285"/>
              <w:jc w:val="both"/>
            </w:pPr>
            <w:r>
              <w:rPr>
                <w:rFonts w:ascii="仿宋_GB2312" w:hAnsi="仿宋_GB2312" w:cs="仿宋_GB2312" w:eastAsia="仿宋_GB2312"/>
                <w:sz w:val="24"/>
              </w:rPr>
              <w:t>四、商务要求（如服务期限、款项结算等）</w:t>
            </w:r>
          </w:p>
          <w:p>
            <w:pPr>
              <w:pStyle w:val="null3"/>
              <w:ind w:left="285"/>
              <w:jc w:val="both"/>
            </w:pPr>
            <w:r>
              <w:rPr>
                <w:rFonts w:ascii="仿宋_GB2312" w:hAnsi="仿宋_GB2312" w:cs="仿宋_GB2312" w:eastAsia="仿宋_GB2312"/>
                <w:sz w:val="24"/>
              </w:rPr>
              <w:t>（一）服务期限</w:t>
            </w:r>
          </w:p>
          <w:p>
            <w:pPr>
              <w:pStyle w:val="null3"/>
              <w:ind w:left="285" w:firstLine="480"/>
              <w:jc w:val="both"/>
            </w:pPr>
            <w:r>
              <w:rPr>
                <w:rFonts w:ascii="仿宋_GB2312" w:hAnsi="仿宋_GB2312" w:cs="仿宋_GB2312" w:eastAsia="仿宋_GB2312"/>
                <w:sz w:val="24"/>
              </w:rPr>
              <w:t>服务期自合同签订后</w:t>
            </w:r>
            <w:r>
              <w:rPr>
                <w:rFonts w:ascii="仿宋_GB2312" w:hAnsi="仿宋_GB2312" w:cs="仿宋_GB2312" w:eastAsia="仿宋_GB2312"/>
                <w:sz w:val="24"/>
              </w:rPr>
              <w:t>90 日历日。</w:t>
            </w:r>
          </w:p>
          <w:p>
            <w:pPr>
              <w:pStyle w:val="null3"/>
              <w:ind w:left="285" w:firstLine="480"/>
              <w:jc w:val="both"/>
            </w:pPr>
            <w:r>
              <w:rPr>
                <w:rFonts w:ascii="仿宋_GB2312" w:hAnsi="仿宋_GB2312" w:cs="仿宋_GB2312" w:eastAsia="仿宋_GB2312"/>
                <w:sz w:val="24"/>
              </w:rPr>
              <w:t>（二）款项结算</w:t>
            </w:r>
          </w:p>
          <w:p>
            <w:pPr>
              <w:pStyle w:val="null3"/>
              <w:ind w:left="285" w:firstLine="480"/>
              <w:jc w:val="both"/>
            </w:pPr>
            <w:r>
              <w:rPr>
                <w:rFonts w:ascii="仿宋_GB2312" w:hAnsi="仿宋_GB2312" w:cs="仿宋_GB2312" w:eastAsia="仿宋_GB2312"/>
                <w:sz w:val="24"/>
              </w:rPr>
              <w:t>1.付款方式：</w:t>
            </w:r>
          </w:p>
          <w:p>
            <w:pPr>
              <w:pStyle w:val="null3"/>
              <w:ind w:left="285" w:firstLine="480"/>
              <w:jc w:val="both"/>
            </w:pPr>
            <w:r>
              <w:rPr>
                <w:rFonts w:ascii="仿宋_GB2312" w:hAnsi="仿宋_GB2312" w:cs="仿宋_GB2312" w:eastAsia="仿宋_GB2312"/>
                <w:sz w:val="24"/>
              </w:rPr>
              <w:t>项目实施结束后，经甲方验收合格一次性付清全部服务费。</w:t>
            </w:r>
          </w:p>
          <w:p>
            <w:pPr>
              <w:pStyle w:val="null3"/>
              <w:ind w:left="285"/>
              <w:jc w:val="both"/>
            </w:pPr>
            <w:r>
              <w:rPr>
                <w:rFonts w:ascii="仿宋_GB2312" w:hAnsi="仿宋_GB2312" w:cs="仿宋_GB2312" w:eastAsia="仿宋_GB2312"/>
                <w:sz w:val="24"/>
              </w:rPr>
              <w:t>乙方向甲方开具正式发票。</w:t>
            </w:r>
          </w:p>
          <w:p>
            <w:pPr>
              <w:pStyle w:val="null3"/>
              <w:ind w:left="285"/>
              <w:jc w:val="both"/>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3、服务地点：采购人指定地点。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标的名称：2026年省级残疾人事业保障专项资金（残疾人职业技能和实用技术培训）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开展残疾人实用技术和职业技能培训，帮助残疾人掌握</w:t>
            </w:r>
            <w:r>
              <w:rPr>
                <w:rFonts w:ascii="仿宋_GB2312" w:hAnsi="仿宋_GB2312" w:cs="仿宋_GB2312" w:eastAsia="仿宋_GB2312"/>
                <w:sz w:val="24"/>
              </w:rPr>
              <w:t>1 门以上实用技术和职业技能, 鼓励引导有愿望和培训需求的残疾人接受相应的实用技术和职业技能培训,力争为每一位有意愿、有能力的残疾人提供相应的实用技术和职业技能培训，提高技术、技能，促进能力、实现增收致富的目标。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二、采购内容</w:t>
            </w:r>
            <w:r>
              <w:rPr>
                <w:rFonts w:ascii="仿宋_GB2312" w:hAnsi="仿宋_GB2312" w:cs="仿宋_GB2312" w:eastAsia="仿宋_GB2312"/>
              </w:rPr>
              <w:t xml:space="preserve"> </w:t>
            </w:r>
          </w:p>
          <w:p>
            <w:pPr>
              <w:pStyle w:val="null3"/>
              <w:ind w:left="285"/>
              <w:jc w:val="both"/>
            </w:pPr>
            <w:r>
              <w:rPr>
                <w:rFonts w:ascii="仿宋_GB2312" w:hAnsi="仿宋_GB2312" w:cs="仿宋_GB2312" w:eastAsia="仿宋_GB2312"/>
                <w:sz w:val="24"/>
              </w:rPr>
              <w:t>（一）培训对象</w:t>
            </w:r>
          </w:p>
          <w:p>
            <w:pPr>
              <w:pStyle w:val="null3"/>
              <w:ind w:left="285" w:firstLine="480"/>
              <w:jc w:val="both"/>
            </w:pPr>
            <w:r>
              <w:rPr>
                <w:rFonts w:ascii="仿宋_GB2312" w:hAnsi="仿宋_GB2312" w:cs="仿宋_GB2312" w:eastAsia="仿宋_GB2312"/>
                <w:sz w:val="24"/>
              </w:rPr>
              <w:t>全县处于就业年龄段内有劳动能力和就业意愿的残疾人，具备前面条件的智力、精神及重度肢体残疾人家庭一名直系亲属亦可作为实施对象。</w:t>
            </w:r>
          </w:p>
          <w:p>
            <w:pPr>
              <w:pStyle w:val="null3"/>
              <w:ind w:left="285"/>
              <w:jc w:val="both"/>
            </w:pPr>
            <w:r>
              <w:rPr>
                <w:rFonts w:ascii="仿宋_GB2312" w:hAnsi="仿宋_GB2312" w:cs="仿宋_GB2312" w:eastAsia="仿宋_GB2312"/>
                <w:sz w:val="24"/>
              </w:rPr>
              <w:t>（二）培训内容及人数</w:t>
            </w:r>
            <w:r>
              <w:rPr>
                <w:rFonts w:ascii="仿宋_GB2312" w:hAnsi="仿宋_GB2312" w:cs="仿宋_GB2312" w:eastAsia="仿宋_GB2312"/>
                <w:sz w:val="24"/>
              </w:rPr>
              <w:t xml:space="preserve">  </w:t>
            </w:r>
          </w:p>
          <w:p>
            <w:pPr>
              <w:pStyle w:val="null3"/>
              <w:ind w:left="285" w:firstLine="480"/>
              <w:jc w:val="both"/>
            </w:pPr>
            <w:r>
              <w:rPr>
                <w:rFonts w:ascii="仿宋_GB2312" w:hAnsi="仿宋_GB2312" w:cs="仿宋_GB2312" w:eastAsia="仿宋_GB2312"/>
                <w:sz w:val="24"/>
              </w:rPr>
              <w:t>残疾人实用技术和职业技能培训共</w:t>
            </w:r>
            <w:r>
              <w:rPr>
                <w:rFonts w:ascii="仿宋_GB2312" w:hAnsi="仿宋_GB2312" w:cs="仿宋_GB2312" w:eastAsia="仿宋_GB2312"/>
                <w:sz w:val="24"/>
              </w:rPr>
              <w:t>200人，1500元/人次 。每天安排5-7个标准学时安排教学。</w:t>
            </w:r>
          </w:p>
          <w:p>
            <w:pPr>
              <w:pStyle w:val="null3"/>
              <w:ind w:left="420" w:firstLine="480"/>
              <w:jc w:val="both"/>
            </w:pPr>
            <w:r>
              <w:rPr>
                <w:rFonts w:ascii="仿宋_GB2312" w:hAnsi="仿宋_GB2312" w:cs="仿宋_GB2312" w:eastAsia="仿宋_GB2312"/>
                <w:sz w:val="24"/>
              </w:rPr>
              <w:t>对就业年龄段的残疾人，开展突出针对性、实用性、通俗性、简便性和灵活性的实用技术培训及手工艺制作、家政服务员（家庭康养照护）、保健按摩、中式烹饪等热门行业的职业技能培训（以上内容包括但不限于），提高残疾人参与市场竞争的能力。</w:t>
            </w:r>
          </w:p>
          <w:p>
            <w:pPr>
              <w:pStyle w:val="null3"/>
              <w:ind w:firstLine="1003"/>
              <w:jc w:val="left"/>
            </w:pPr>
            <w:r>
              <w:rPr>
                <w:rFonts w:ascii="仿宋_GB2312" w:hAnsi="仿宋_GB2312" w:cs="仿宋_GB2312" w:eastAsia="仿宋_GB2312"/>
                <w:sz w:val="24"/>
              </w:rPr>
              <w:t>对农村残疾人，要突出针对性、实用性、通俗性、简便性和灵活性，鼓励扩大农村残疾人</w:t>
            </w:r>
            <w:r>
              <w:rPr>
                <w:rFonts w:ascii="仿宋_GB2312" w:hAnsi="仿宋_GB2312" w:cs="仿宋_GB2312" w:eastAsia="仿宋_GB2312"/>
                <w:sz w:val="24"/>
              </w:rPr>
              <w:t>“种、养、加”实用技术培训规模，提高农村残疾人参与市场竞争的能力。</w:t>
            </w:r>
          </w:p>
          <w:p>
            <w:pPr>
              <w:pStyle w:val="null3"/>
              <w:jc w:val="both"/>
            </w:pPr>
            <w:r>
              <w:rPr>
                <w:rFonts w:ascii="仿宋_GB2312" w:hAnsi="仿宋_GB2312" w:cs="仿宋_GB2312" w:eastAsia="仿宋_GB2312"/>
                <w:sz w:val="24"/>
              </w:rPr>
              <w:t>（三）培训时间</w:t>
            </w:r>
          </w:p>
          <w:p>
            <w:pPr>
              <w:pStyle w:val="null3"/>
              <w:ind w:left="285" w:firstLine="480"/>
              <w:jc w:val="both"/>
            </w:pPr>
            <w:r>
              <w:rPr>
                <w:rFonts w:ascii="仿宋_GB2312" w:hAnsi="仿宋_GB2312" w:cs="仿宋_GB2312" w:eastAsia="仿宋_GB2312"/>
                <w:sz w:val="24"/>
              </w:rPr>
              <w:t>每期培训时间为</w:t>
            </w:r>
            <w:r>
              <w:rPr>
                <w:rFonts w:ascii="仿宋_GB2312" w:hAnsi="仿宋_GB2312" w:cs="仿宋_GB2312" w:eastAsia="仿宋_GB2312"/>
                <w:sz w:val="24"/>
              </w:rPr>
              <w:t>6天，具体期数据实际情况确定。需在90日历日内将所有的人员培训完成。</w:t>
            </w:r>
          </w:p>
          <w:p>
            <w:pPr>
              <w:pStyle w:val="null3"/>
              <w:ind w:left="285"/>
              <w:jc w:val="both"/>
            </w:pPr>
            <w:r>
              <w:rPr>
                <w:rFonts w:ascii="仿宋_GB2312" w:hAnsi="仿宋_GB2312" w:cs="仿宋_GB2312" w:eastAsia="仿宋_GB2312"/>
                <w:sz w:val="24"/>
              </w:rPr>
              <w:t>（四）培训方式</w:t>
            </w:r>
          </w:p>
          <w:p>
            <w:pPr>
              <w:pStyle w:val="null3"/>
              <w:ind w:left="285" w:firstLine="480"/>
              <w:jc w:val="both"/>
            </w:pPr>
            <w:r>
              <w:rPr>
                <w:rFonts w:ascii="仿宋_GB2312" w:hAnsi="仿宋_GB2312" w:cs="仿宋_GB2312" w:eastAsia="仿宋_GB2312"/>
                <w:sz w:val="24"/>
              </w:rPr>
              <w:t>采用理论与实践相结合的培训模式。</w:t>
            </w:r>
          </w:p>
          <w:p>
            <w:pPr>
              <w:pStyle w:val="null3"/>
              <w:ind w:left="285"/>
              <w:jc w:val="both"/>
            </w:pPr>
            <w:r>
              <w:rPr>
                <w:rFonts w:ascii="仿宋_GB2312" w:hAnsi="仿宋_GB2312" w:cs="仿宋_GB2312" w:eastAsia="仿宋_GB2312"/>
                <w:sz w:val="24"/>
              </w:rPr>
              <w:t>三、技术要求</w:t>
            </w:r>
          </w:p>
          <w:p>
            <w:pPr>
              <w:pStyle w:val="null3"/>
              <w:ind w:left="285" w:firstLine="480"/>
              <w:jc w:val="both"/>
            </w:pPr>
            <w:r>
              <w:rPr>
                <w:rFonts w:ascii="仿宋_GB2312" w:hAnsi="仿宋_GB2312" w:cs="仿宋_GB2312" w:eastAsia="仿宋_GB2312"/>
                <w:sz w:val="24"/>
              </w:rPr>
              <w:t>通过科学有效的培训机制（技术传授</w:t>
            </w:r>
            <w:r>
              <w:rPr>
                <w:rFonts w:ascii="仿宋_GB2312" w:hAnsi="仿宋_GB2312" w:cs="仿宋_GB2312" w:eastAsia="仿宋_GB2312"/>
                <w:sz w:val="24"/>
              </w:rPr>
              <w:t>+课堂讨论+现场讲授+咨询答疑），根据实际需要为培训对象提供培训结束后的跟踪服务，培养一批创业成功且能切实带动增收的残疾人带头人队伍，进而带动帮助其他残疾人增收。</w:t>
            </w:r>
          </w:p>
          <w:p>
            <w:pPr>
              <w:pStyle w:val="null3"/>
              <w:ind w:left="285"/>
              <w:jc w:val="both"/>
            </w:pPr>
            <w:r>
              <w:rPr>
                <w:rFonts w:ascii="仿宋_GB2312" w:hAnsi="仿宋_GB2312" w:cs="仿宋_GB2312" w:eastAsia="仿宋_GB2312"/>
                <w:sz w:val="24"/>
              </w:rPr>
              <w:t>四、商务要求（如服务期限、款项结算等）</w:t>
            </w:r>
          </w:p>
          <w:p>
            <w:pPr>
              <w:pStyle w:val="null3"/>
              <w:ind w:left="285"/>
              <w:jc w:val="both"/>
            </w:pPr>
            <w:r>
              <w:rPr>
                <w:rFonts w:ascii="仿宋_GB2312" w:hAnsi="仿宋_GB2312" w:cs="仿宋_GB2312" w:eastAsia="仿宋_GB2312"/>
                <w:sz w:val="24"/>
              </w:rPr>
              <w:t>（一）服务期限</w:t>
            </w:r>
          </w:p>
          <w:p>
            <w:pPr>
              <w:pStyle w:val="null3"/>
              <w:ind w:left="285" w:firstLine="480"/>
              <w:jc w:val="both"/>
            </w:pPr>
            <w:r>
              <w:rPr>
                <w:rFonts w:ascii="仿宋_GB2312" w:hAnsi="仿宋_GB2312" w:cs="仿宋_GB2312" w:eastAsia="仿宋_GB2312"/>
                <w:sz w:val="24"/>
              </w:rPr>
              <w:t>服务期自合同签订后</w:t>
            </w:r>
            <w:r>
              <w:rPr>
                <w:rFonts w:ascii="仿宋_GB2312" w:hAnsi="仿宋_GB2312" w:cs="仿宋_GB2312" w:eastAsia="仿宋_GB2312"/>
                <w:sz w:val="24"/>
              </w:rPr>
              <w:t>90 日历日。</w:t>
            </w:r>
          </w:p>
          <w:p>
            <w:pPr>
              <w:pStyle w:val="null3"/>
              <w:ind w:left="285" w:firstLine="480"/>
              <w:jc w:val="both"/>
            </w:pPr>
            <w:r>
              <w:rPr>
                <w:rFonts w:ascii="仿宋_GB2312" w:hAnsi="仿宋_GB2312" w:cs="仿宋_GB2312" w:eastAsia="仿宋_GB2312"/>
                <w:sz w:val="24"/>
              </w:rPr>
              <w:t>（二）款项结算</w:t>
            </w:r>
          </w:p>
          <w:p>
            <w:pPr>
              <w:pStyle w:val="null3"/>
              <w:ind w:left="285" w:firstLine="480"/>
              <w:jc w:val="both"/>
            </w:pPr>
            <w:r>
              <w:rPr>
                <w:rFonts w:ascii="仿宋_GB2312" w:hAnsi="仿宋_GB2312" w:cs="仿宋_GB2312" w:eastAsia="仿宋_GB2312"/>
                <w:sz w:val="24"/>
              </w:rPr>
              <w:t>1.付款方式：</w:t>
            </w:r>
          </w:p>
          <w:p>
            <w:pPr>
              <w:pStyle w:val="null3"/>
              <w:ind w:left="285" w:firstLine="480"/>
              <w:jc w:val="both"/>
            </w:pPr>
            <w:r>
              <w:rPr>
                <w:rFonts w:ascii="仿宋_GB2312" w:hAnsi="仿宋_GB2312" w:cs="仿宋_GB2312" w:eastAsia="仿宋_GB2312"/>
                <w:sz w:val="24"/>
              </w:rPr>
              <w:t>项目实施结束后，经甲方验收合格一次性付清全部服务费。</w:t>
            </w:r>
          </w:p>
          <w:p>
            <w:pPr>
              <w:pStyle w:val="null3"/>
              <w:ind w:left="285"/>
              <w:jc w:val="both"/>
            </w:pPr>
            <w:r>
              <w:rPr>
                <w:rFonts w:ascii="仿宋_GB2312" w:hAnsi="仿宋_GB2312" w:cs="仿宋_GB2312" w:eastAsia="仿宋_GB2312"/>
                <w:sz w:val="24"/>
              </w:rPr>
              <w:t>乙方向甲方开具正式发票。</w:t>
            </w:r>
          </w:p>
          <w:p>
            <w:pPr>
              <w:pStyle w:val="null3"/>
              <w:ind w:left="285"/>
              <w:jc w:val="both"/>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3、服务地点：采购人指定地点。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服务期自合同签订后90日历日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服务期自合同签订后90日历日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进度款，项目实施结束后，经甲方验收合格，达到付款条件起7个工作日内，支付合同总金额的100.0%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进度款，项目实施结束后，经甲方验收合格，达到付款条件起7个工作日内，支付合同总金额的100.0%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供应商须提供磋商截止时间一年内任意 1 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供应商须提供磋商截止时间一年内任意 1 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单一控股管理关联关系说明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供应商须提供磋商截止时间一年内任意 1 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供应商须提供磋商截止时间一年内任意 1 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单一控股管理关联关系说明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对磋商⽂件响应程度</w:t>
            </w:r>
          </w:p>
        </w:tc>
        <w:tc>
          <w:tcPr>
            <w:tcW w:type="dxa" w:w="3322"/>
          </w:tcPr>
          <w:p>
            <w:pPr>
              <w:pStyle w:val="null3"/>
            </w:pPr>
            <w:r>
              <w:rPr>
                <w:rFonts w:ascii="仿宋_GB2312" w:hAnsi="仿宋_GB2312" w:cs="仿宋_GB2312" w:eastAsia="仿宋_GB2312"/>
              </w:rPr>
              <w:t>要求全⾯响应，不能有任何采购⼈不能接受的 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付款⽅式</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对磋商⽂件响应程度</w:t>
            </w:r>
          </w:p>
        </w:tc>
        <w:tc>
          <w:tcPr>
            <w:tcW w:type="dxa" w:w="3322"/>
          </w:tcPr>
          <w:p>
            <w:pPr>
              <w:pStyle w:val="null3"/>
            </w:pPr>
            <w:r>
              <w:rPr>
                <w:rFonts w:ascii="仿宋_GB2312" w:hAnsi="仿宋_GB2312" w:cs="仿宋_GB2312" w:eastAsia="仿宋_GB2312"/>
              </w:rPr>
              <w:t>要求全⾯响应，不能有任何采购⼈不能接受的 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付款⽅式</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1.方案完整性（8分）：完整涵盖学员摸排、课程规划、课时排布、分期实施、实操教学、安全管理、台账归档全流程，贴合残疾人培训专项要求得8分；基本完整、少量环节缺失得5分；内容简陋、关键流程缺失得2分；无有效方案不得分。 2.方案针对性（7分）：精准适配残疾人身心特点、学习能力与就业创业需求，差异化设计城镇职业技能、农村种养加专项培训内容，贴合本地市场与乡村创收需求得7分；基本适配、无差异化设计得4分；通用模板、未结合项目需求得1分及以下。 3.可行性与创新性（5分）：90日历日完成200人次培训的分期计划科学合理，多元化教学模式落地性强，具备残疾人带头人培育思路得5分；计划可行、模式常规得3分；计划不合理、落地性弱得1分及以下。</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师资配置与教学能力</w:t>
            </w:r>
          </w:p>
        </w:tc>
        <w:tc>
          <w:tcPr>
            <w:tcW w:type="dxa" w:w="2492"/>
          </w:tcPr>
          <w:p>
            <w:pPr>
              <w:pStyle w:val="null3"/>
            </w:pPr>
            <w:r>
              <w:rPr>
                <w:rFonts w:ascii="仿宋_GB2312" w:hAnsi="仿宋_GB2312" w:cs="仿宋_GB2312" w:eastAsia="仿宋_GB2312"/>
              </w:rPr>
              <w:t>1.师资资质（10分）：配备对应工种专职授课师资，全部具备相关职业资质证书及教学经验，且具备残疾人培训授课经验得10分；资质齐全、部分无残疾人培训经验得7分；资质基本齐全、教学经验不足得4分；师资资质不全不得分。 2.师资配置合理性（8分）：按中式烹饪、康养照护、保健按摩、手工艺、种养加工等课程专项配置师资，专人专岗、配比充足得8分；师资基本匹配、无专项细分配置得5分；师资混用、配置不合理得2分。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培训实施管理与过程规范</w:t>
            </w:r>
          </w:p>
        </w:tc>
        <w:tc>
          <w:tcPr>
            <w:tcW w:type="dxa" w:w="2492"/>
          </w:tcPr>
          <w:p>
            <w:pPr>
              <w:pStyle w:val="null3"/>
            </w:pPr>
            <w:r>
              <w:rPr>
                <w:rFonts w:ascii="仿宋_GB2312" w:hAnsi="仿宋_GB2312" w:cs="仿宋_GB2312" w:eastAsia="仿宋_GB2312"/>
              </w:rPr>
              <w:t>1.课时与周期管控（8分）：严格落实每日5-7个标准学时、单期6天培训标准，制定详细课时计划表，可保障90日历日内完成全部200人次培训，管控机制完善得8分；课时达标、周期计划基本合理得5分；课时不规范、周期计划模糊得2分。 2.培训模式落地（6分）：严格落实理论讲授+现场实操+课堂互动+咨询答疑教学模式，实操课时占比不低于60%，适配残疾人学习特点得6分；实操占比40%-60%得4分；重理论、轻实操得1分及以下。 3.现场管理规范（4分）：具备学员签到、课堂管理、安全防护、物资管理、台账记录等完善管理制度，适配特殊群体培训需求得4分；制度基本齐全得2分；制度缺失、管理松散不得分。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后续跟踪服务与赋能培育</w:t>
            </w:r>
          </w:p>
        </w:tc>
        <w:tc>
          <w:tcPr>
            <w:tcW w:type="dxa" w:w="2492"/>
          </w:tcPr>
          <w:p>
            <w:pPr>
              <w:pStyle w:val="null3"/>
            </w:pPr>
            <w:r>
              <w:rPr>
                <w:rFonts w:ascii="仿宋_GB2312" w:hAnsi="仿宋_GB2312" w:cs="仿宋_GB2312" w:eastAsia="仿宋_GB2312"/>
              </w:rPr>
              <w:t>1. 长效跟踪服务（5分）：培训结业后提供不少于3个月的技术答疑、就业指导、创业帮扶跟踪服务，建立完整学员帮扶台账得5分；提供基础跟踪服务1-3个月得3分；无后续服务不得分。 2. 带头人培育（3分）：制定残疾人创业就业带头人培育方案，可依托优秀学员搭建示范带动队伍，助力群体增收得3分；有初步思路得1分；无方案不得分。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履约保障与应急预案</w:t>
            </w:r>
          </w:p>
        </w:tc>
        <w:tc>
          <w:tcPr>
            <w:tcW w:type="dxa" w:w="2492"/>
          </w:tcPr>
          <w:p>
            <w:pPr>
              <w:pStyle w:val="null3"/>
            </w:pPr>
            <w:r>
              <w:rPr>
                <w:rFonts w:ascii="仿宋_GB2312" w:hAnsi="仿宋_GB2312" w:cs="仿宋_GB2312" w:eastAsia="仿宋_GB2312"/>
              </w:rPr>
              <w:t>1. 综合履约保障（5分）：具备完善的人员配置、物资耗材、后勤保障、课堂安全、学员管理全套保障方案，充分结合残疾人身心特点，配套专属帮扶、无障碍适配、贴心陪护等专项措施，体系完整、落地性极强得5分；保障方案齐全、含有基础残疾人适配措施得3分；仅有基础保障、无残疾人专属措施得1分；无履约保障方案不得分。 2.应急处置预案（3分）：针对参训残疾人突发身体不适、课堂安全、天气等各类突发状况，制定详细、可落地的专项应急预案，分工明确、处置流程清晰、保障到位得3分；有通用应急预案、未针对残疾人专项场景优化得1分；无任何应急预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培训质量与成效指标</w:t>
            </w:r>
          </w:p>
        </w:tc>
        <w:tc>
          <w:tcPr>
            <w:tcW w:type="dxa" w:w="2492"/>
          </w:tcPr>
          <w:p>
            <w:pPr>
              <w:pStyle w:val="null3"/>
            </w:pPr>
            <w:r>
              <w:rPr>
                <w:rFonts w:ascii="仿宋_GB2312" w:hAnsi="仿宋_GB2312" w:cs="仿宋_GB2312" w:eastAsia="仿宋_GB2312"/>
              </w:rPr>
              <w:t>1.就业创业跟踪帮扶（5分）：针对参训残疾人建立一人一档结业帮扶台账，提供就业推荐、创业指导、技术回访、问题答疑等全周期服务，帮扶机制健全、举措详实、可长期落地得5分；帮扶措施较齐全、有明确服务流程得3分；仅有简单帮扶承诺、无具体落地措施得1分；无后续帮扶方案不得分。 2.示范带动与提质赋能（3分）：结合培训成果建立优秀学员储备库，常态化开展技能复训、经验交流、资源对接活动，培育残疾人创业就业示范骨干，以点带面助力残疾人群体增收致富得3分；有初步赋能计划但内容简单得1分；无相关提质赋能及示范带动举措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2023年6月1日起至今，供应商承接类似服务项目的业绩，每提供一 份有效业绩得2分 ，最多得10分。（ 合同扫描件或中标通知书）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以最终磋商总报价进行评审。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1.方案完整性（8分）：完整涵盖学员摸排、课程规划、课时排布、分期实施、实操教学、安全管理、台账归档全流程，贴合残疾人培训专项要求得8分；基本完整、少量环节缺失得5分；内容简陋、关键流程缺失得2分；无有效方案不得分。 2.方案针对性（7分）：精准适配残疾人身心特点、学习能力与就业创业需求，差异化设计城镇职业技能、农村种养加专项培训内容，贴合本地市场与乡村创收需求得7分；基本适配、无差异化设计得4分；通用模板、未结合项目需求得1分及以下。 3.可行性与创新性（5分）：90日历日完成200人次培训的分期计划科学合理，多元化教学模式落地性强，具备残疾人带头人培育思路得5分；计划可行、模式常规得3分；计划不合理、落地性弱得1分及以下。</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师资配置与教学能力</w:t>
            </w:r>
          </w:p>
        </w:tc>
        <w:tc>
          <w:tcPr>
            <w:tcW w:type="dxa" w:w="2492"/>
          </w:tcPr>
          <w:p>
            <w:pPr>
              <w:pStyle w:val="null3"/>
            </w:pPr>
            <w:r>
              <w:rPr>
                <w:rFonts w:ascii="仿宋_GB2312" w:hAnsi="仿宋_GB2312" w:cs="仿宋_GB2312" w:eastAsia="仿宋_GB2312"/>
              </w:rPr>
              <w:t>1.师资资质（10分）：配备对应工种专职授课师资，全部具备相关职业资质证书及教学经验，且具备残疾人培训授课经验得10分；资质齐全、部分无残疾人培训经验得7分；资质基本齐全、教学经验不足得4分；师资资质不全不得分。 2.师资配置合理性（8分）：按中式烹饪、康养照护、保健按摩、手工艺、种养加工等课程专项配置师资，专人专岗、配比充足得8分；师资基本匹配、无专项细分配置得5分；师资混用、配置不合理得2分。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培训实施管理与过程规范</w:t>
            </w:r>
          </w:p>
        </w:tc>
        <w:tc>
          <w:tcPr>
            <w:tcW w:type="dxa" w:w="2492"/>
          </w:tcPr>
          <w:p>
            <w:pPr>
              <w:pStyle w:val="null3"/>
            </w:pPr>
            <w:r>
              <w:rPr>
                <w:rFonts w:ascii="仿宋_GB2312" w:hAnsi="仿宋_GB2312" w:cs="仿宋_GB2312" w:eastAsia="仿宋_GB2312"/>
              </w:rPr>
              <w:t>1.课时与周期管控（8分）：严格落实每日5-7个标准学时、单期6天培训标准，制定详细课时计划表，可保障90日历日内完成全部200人次培训，管控机制完善得8分；课时达标、周期计划基本合理得5分；课时不规范、周期计划模糊得2分。 2.培训模式落地（6分）：严格落实理论讲授+现场实操+课堂互动+咨询答疑教学模式，实操课时占比不低于60%，适配残疾人学习特点得6分；实操占比40%-60%得4分；重理论、轻实操得1分及以下。 3.现场管理规范（4分）：具备学员签到、课堂管理、安全防护、物资管理、台账记录等完善管理制度，适配特殊群体培训需求得4分；制度基本齐全得2分；制度缺失、管理松散不得分。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后续跟踪服务与赋能培育</w:t>
            </w:r>
          </w:p>
        </w:tc>
        <w:tc>
          <w:tcPr>
            <w:tcW w:type="dxa" w:w="2492"/>
          </w:tcPr>
          <w:p>
            <w:pPr>
              <w:pStyle w:val="null3"/>
            </w:pPr>
            <w:r>
              <w:rPr>
                <w:rFonts w:ascii="仿宋_GB2312" w:hAnsi="仿宋_GB2312" w:cs="仿宋_GB2312" w:eastAsia="仿宋_GB2312"/>
              </w:rPr>
              <w:t>1. 长效跟踪服务（5分）：培训结业后提供不少于3个月的技术答疑、就业指导、创业帮扶跟踪服务，建立完整学员帮扶台账得5分；提供基础跟踪服务1-3个月得3分；无后续服务不得分。 2. 带头人培育（3分）：制定残疾人创业就业带头人培育方案，可依托优秀学员搭建示范带动队伍，助力群体增收得3分；有初步思路得1分；无方案不得分。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履约保障与应急预案</w:t>
            </w:r>
          </w:p>
        </w:tc>
        <w:tc>
          <w:tcPr>
            <w:tcW w:type="dxa" w:w="2492"/>
          </w:tcPr>
          <w:p>
            <w:pPr>
              <w:pStyle w:val="null3"/>
            </w:pPr>
            <w:r>
              <w:rPr>
                <w:rFonts w:ascii="仿宋_GB2312" w:hAnsi="仿宋_GB2312" w:cs="仿宋_GB2312" w:eastAsia="仿宋_GB2312"/>
              </w:rPr>
              <w:t>1. 综合履约保障（5分）：具备完善的人员配置、物资耗材、后勤保障、课堂安全、学员管理全套保障方案，充分结合残疾人身心特点，配套专属帮扶、无障碍适配、贴心陪护等专项措施，体系完整、落地性极强得5分；保障方案齐全、含有基础残疾人适配措施得3分；仅有基础保障、无残疾人专属措施得1分；无履约保障方案不得分。 2.应急处置预案（3分）：针对参训残疾人突发身体不适、课堂安全、天气等各类突发状况，制定详细、可落地的专项应急预案，分工明确、处置流程清晰、保障到位得3分；有通用应急预案、未针对残疾人专项场景优化得1分；无任何应急预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培训质量与成效指标</w:t>
            </w:r>
          </w:p>
        </w:tc>
        <w:tc>
          <w:tcPr>
            <w:tcW w:type="dxa" w:w="2492"/>
          </w:tcPr>
          <w:p>
            <w:pPr>
              <w:pStyle w:val="null3"/>
            </w:pPr>
            <w:r>
              <w:rPr>
                <w:rFonts w:ascii="仿宋_GB2312" w:hAnsi="仿宋_GB2312" w:cs="仿宋_GB2312" w:eastAsia="仿宋_GB2312"/>
              </w:rPr>
              <w:t>1.就业创业跟踪帮扶（5分）：针对参训残疾人建立一人一档结业帮扶台账，提供就业推荐、创业指导、技术回访、问题答疑等全周期服务，帮扶机制健全、举措详实、可长期落地得5分；帮扶措施较齐全、有明确服务流程得3分；仅有简单帮扶承诺、无具体落地措施得1分；无后续帮扶方案不得分。 2.示范带动与提质赋能（3分）：结合培训成果建立优秀学员储备库，常态化开展技能复训、经验交流、资源对接活动，培育残疾人创业就业示范骨干，以点带面助力残疾人群体增收致富得3分；有初步赋能计划但内容简单得1分；无相关提质赋能及示范带动举措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2023年6月1日起至今，供应商承接类似服务项目的业绩，每提供一 份有效业绩得2分 ，最多得10分。（ 合同扫描件或中标通知书）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以最终磋商总报价进行评审。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