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版本号：HRC-ZBDL-2026-0054620260624001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北人高端环保装备制造项目建筑垃圾清运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HRC-ZBDL-2026-00546</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北人高端环保装备制造项目建筑垃圾清运</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HRC-ZBDL-2026-00546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北人高端环保装备制造项目建筑垃圾清运</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为保障北人高端环保装备制造项目顺利推进，需对项目净用地内的垃圾进行清运。经对项目地块范围内建筑垃圾总量测量，建筑垃圾占地总面积6167.4㎡，建筑垃圾挖方量约为4257.6m³。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采购包1（北人高端环保装备制造项目建筑垃圾清运）：属于专门面向中小企业采购。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w:t>
      </w:r>
    </w:p>
    <w:p>
      <w:pPr>
        <w:pStyle w:val="null3"/>
      </w:pPr>
      <w:r>
        <w:rPr>
          <w:rFonts w:ascii="仿宋_GB2312" w:hAnsi="仿宋_GB2312" w:cs="仿宋_GB2312" w:eastAsia="仿宋_GB2312"/>
        </w:rPr>
        <w:t>2、企业资质：供应商具有建设行政主管部门颁发的市政公用工程施工总承包三级及以上资质或建筑工程施工总承包三级及以上资质，且具备有效的安全生产许可证；</w:t>
      </w:r>
    </w:p>
    <w:p>
      <w:pPr>
        <w:pStyle w:val="null3"/>
      </w:pPr>
      <w:r>
        <w:rPr>
          <w:rFonts w:ascii="仿宋_GB2312" w:hAnsi="仿宋_GB2312" w:cs="仿宋_GB2312" w:eastAsia="仿宋_GB2312"/>
        </w:rPr>
        <w:t>3、项目经理资质：拟派项目经理具备市政公用工程或建筑工程专业二级及以上注册建造师证书和安全生产考核合格证（B证），且无在建项目（提供承诺书）；</w:t>
      </w:r>
    </w:p>
    <w:p>
      <w:pPr>
        <w:pStyle w:val="null3"/>
      </w:pPr>
      <w:r>
        <w:rPr>
          <w:rFonts w:ascii="仿宋_GB2312" w:hAnsi="仿宋_GB2312" w:cs="仿宋_GB2312" w:eastAsia="仿宋_GB2312"/>
        </w:rPr>
        <w:t>4、信用记录：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5、控股管理关系：单位负责人为同一人或者存在直接控股、管理关系的不同供应商，不得参加同一合同包下的政府采购活动；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6、联合体：本项目不接受联合体磋商。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临潼区北田街道办事处经办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采购包1：361,896.00元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报价为基数，参考《国家计委关于印发〈招标代理服务费管理暂行办法〉的通知》（计价格【2002】1980号）、《国家发展和改革委员会办公厅关于招标代理服务收费有关问题的通知》（发改办价格〔2003〕857号）规定计取，不足陆仟按陆仟元收取。 2、成交供应商在领取中标通知书前，须向采购代理机构一次性支付招标代理服务费。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联系电话：13227022154</w:t>
      </w:r>
    </w:p>
    <w:p>
      <w:pPr>
        <w:pStyle w:val="null3"/>
      </w:pPr>
      <w:r>
        <w:rPr>
          <w:rFonts w:ascii="仿宋_GB2312" w:hAnsi="仿宋_GB2312" w:cs="仿宋_GB2312" w:eastAsia="仿宋_GB2312"/>
        </w:rPr>
        <w:t>地址：陕西省西安市曲江新区雁翔路3269号旺座曲江E座29层2901号</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为保障北人高端环保装备制造项目顺利推进，需对项目净用地内的垃圾进行清运。经对项目地块范围内建筑垃圾总量测量，建筑垃圾占地总面积6167.4㎡，建筑垃圾挖方量约为4257.6m³。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361,896.00</w:t>
      </w:r>
    </w:p>
    <w:p>
      <w:pPr>
        <w:pStyle w:val="null3"/>
      </w:pPr>
      <w:r>
        <w:rPr>
          <w:rFonts w:ascii="仿宋_GB2312" w:hAnsi="仿宋_GB2312" w:cs="仿宋_GB2312" w:eastAsia="仿宋_GB2312"/>
        </w:rPr>
        <w:t>采购包最高限价（元）: 361,896.00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北人高端环保装备制造项目建筑垃圾清运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361,896.00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标的名称：北人高端环保装备制造项目建筑垃圾清运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0"/>
            </w:pPr>
            <w:r>
              <w:rPr>
                <w:rFonts w:ascii="仿宋_GB2312" w:hAnsi="仿宋_GB2312" w:cs="仿宋_GB2312" w:eastAsia="仿宋_GB2312"/>
                <w:sz w:val="18"/>
                <w:shd w:fill="FFFFFF" w:val="clear"/>
              </w:rPr>
              <w:t>一、项目背景</w:t>
            </w:r>
          </w:p>
          <w:p>
            <w:pPr>
              <w:pStyle w:val="null3"/>
              <w:ind w:firstLine="360"/>
              <w:jc w:val="left"/>
            </w:pPr>
            <w:r>
              <w:rPr>
                <w:rFonts w:ascii="仿宋_GB2312" w:hAnsi="仿宋_GB2312" w:cs="仿宋_GB2312" w:eastAsia="仿宋_GB2312"/>
                <w:sz w:val="18"/>
                <w:shd w:fill="FFFFFF" w:val="clear"/>
              </w:rPr>
              <w:t>北人高端环保装备制造项目已完成前期选址及用地界定，现需对项目净用地内的建筑垃圾进行清运，保障北人高端环保装备制造项目顺利推进。</w:t>
            </w:r>
          </w:p>
          <w:p>
            <w:pPr>
              <w:pStyle w:val="null3"/>
              <w:ind w:firstLine="360"/>
              <w:jc w:val="left"/>
            </w:pPr>
            <w:r>
              <w:rPr>
                <w:rFonts w:ascii="仿宋_GB2312" w:hAnsi="仿宋_GB2312" w:cs="仿宋_GB2312" w:eastAsia="仿宋_GB2312"/>
                <w:sz w:val="18"/>
                <w:shd w:fill="FFFFFF" w:val="clear"/>
              </w:rPr>
              <w:t>二、</w:t>
            </w:r>
            <w:r>
              <w:rPr>
                <w:rFonts w:ascii="仿宋_GB2312" w:hAnsi="仿宋_GB2312" w:cs="仿宋_GB2312" w:eastAsia="仿宋_GB2312"/>
                <w:sz w:val="18"/>
                <w:shd w:fill="FFFFFF" w:val="clear"/>
              </w:rPr>
              <w:t>垃圾清理量：</w:t>
            </w:r>
            <w:r>
              <w:rPr>
                <w:rFonts w:ascii="仿宋_GB2312" w:hAnsi="仿宋_GB2312" w:cs="仿宋_GB2312" w:eastAsia="仿宋_GB2312"/>
                <w:sz w:val="18"/>
                <w:shd w:fill="FFFFFF" w:val="clear"/>
              </w:rPr>
              <w:t>经测量：</w:t>
            </w:r>
            <w:r>
              <w:rPr>
                <w:rFonts w:ascii="仿宋_GB2312" w:hAnsi="仿宋_GB2312" w:cs="仿宋_GB2312" w:eastAsia="仿宋_GB2312"/>
                <w:sz w:val="18"/>
                <w:shd w:fill="FFFFFF" w:val="clear"/>
              </w:rPr>
              <w:t>建筑垃圾占地总面积</w:t>
            </w:r>
            <w:r>
              <w:rPr>
                <w:rFonts w:ascii="仿宋_GB2312" w:hAnsi="仿宋_GB2312" w:cs="仿宋_GB2312" w:eastAsia="仿宋_GB2312"/>
                <w:sz w:val="18"/>
                <w:shd w:fill="FFFFFF" w:val="clear"/>
              </w:rPr>
              <w:t>6167.4</w:t>
            </w:r>
            <w:r>
              <w:rPr>
                <w:rFonts w:ascii="仿宋_GB2312" w:hAnsi="仿宋_GB2312" w:cs="仿宋_GB2312" w:eastAsia="仿宋_GB2312"/>
                <w:sz w:val="18"/>
                <w:shd w:fill="FFFFFF" w:val="clear"/>
              </w:rPr>
              <w:t>㎡</w:t>
            </w:r>
            <w:r>
              <w:rPr>
                <w:rFonts w:ascii="仿宋_GB2312" w:hAnsi="仿宋_GB2312" w:cs="仿宋_GB2312" w:eastAsia="仿宋_GB2312"/>
                <w:sz w:val="18"/>
                <w:shd w:fill="FFFFFF" w:val="clear"/>
              </w:rPr>
              <w:t>，</w:t>
            </w:r>
            <w:r>
              <w:rPr>
                <w:rFonts w:ascii="仿宋_GB2312" w:hAnsi="仿宋_GB2312" w:cs="仿宋_GB2312" w:eastAsia="仿宋_GB2312"/>
                <w:sz w:val="18"/>
                <w:shd w:fill="FFFFFF" w:val="clear"/>
              </w:rPr>
              <w:t>建筑垃圾挖方量约为</w:t>
            </w:r>
            <w:r>
              <w:rPr>
                <w:rFonts w:ascii="仿宋_GB2312" w:hAnsi="仿宋_GB2312" w:cs="仿宋_GB2312" w:eastAsia="仿宋_GB2312"/>
                <w:sz w:val="18"/>
                <w:shd w:fill="FFFFFF" w:val="clear"/>
              </w:rPr>
              <w:t>4257.6m³</w:t>
            </w:r>
            <w:r>
              <w:rPr>
                <w:rFonts w:ascii="仿宋_GB2312" w:hAnsi="仿宋_GB2312" w:cs="仿宋_GB2312" w:eastAsia="仿宋_GB2312"/>
                <w:sz w:val="18"/>
                <w:shd w:fill="FFFFFF" w:val="clear"/>
              </w:rPr>
              <w:t>，全费用综合单价最高限价</w:t>
            </w:r>
            <w:r>
              <w:rPr>
                <w:rFonts w:ascii="仿宋_GB2312" w:hAnsi="仿宋_GB2312" w:cs="仿宋_GB2312" w:eastAsia="仿宋_GB2312"/>
                <w:sz w:val="18"/>
                <w:shd w:fill="FFFFFF" w:val="clear"/>
              </w:rPr>
              <w:t>为</w:t>
            </w:r>
            <w:r>
              <w:rPr>
                <w:rFonts w:ascii="仿宋_GB2312" w:hAnsi="仿宋_GB2312" w:cs="仿宋_GB2312" w:eastAsia="仿宋_GB2312"/>
                <w:sz w:val="18"/>
                <w:shd w:fill="FFFFFF" w:val="clear"/>
              </w:rPr>
              <w:t>85元/</w:t>
            </w:r>
            <w:r>
              <w:rPr>
                <w:rFonts w:ascii="仿宋_GB2312" w:hAnsi="仿宋_GB2312" w:cs="仿宋_GB2312" w:eastAsia="仿宋_GB2312"/>
                <w:sz w:val="18"/>
                <w:shd w:fill="FFFFFF" w:val="clear"/>
              </w:rPr>
              <w:t>m³</w:t>
            </w:r>
            <w:r>
              <w:rPr>
                <w:rFonts w:ascii="仿宋_GB2312" w:hAnsi="仿宋_GB2312" w:cs="仿宋_GB2312" w:eastAsia="仿宋_GB2312"/>
                <w:sz w:val="18"/>
                <w:shd w:fill="FFFFFF" w:val="clear"/>
              </w:rPr>
              <w:t>。</w:t>
            </w:r>
          </w:p>
          <w:p>
            <w:pPr>
              <w:pStyle w:val="null3"/>
              <w:ind w:firstLine="400"/>
              <w:jc w:val="left"/>
            </w:pPr>
            <w:r>
              <w:rPr>
                <w:rFonts w:ascii="仿宋_GB2312" w:hAnsi="仿宋_GB2312" w:cs="仿宋_GB2312" w:eastAsia="仿宋_GB2312"/>
              </w:rPr>
              <w:t>三、</w:t>
            </w:r>
            <w:r>
              <w:rPr>
                <w:rFonts w:ascii="仿宋_GB2312" w:hAnsi="仿宋_GB2312" w:cs="仿宋_GB2312" w:eastAsia="仿宋_GB2312"/>
                <w:sz w:val="18"/>
                <w:b/>
              </w:rPr>
              <w:t>报价要求：</w:t>
            </w:r>
            <w:r>
              <w:rPr>
                <w:rFonts w:ascii="仿宋_GB2312" w:hAnsi="仿宋_GB2312" w:cs="仿宋_GB2312" w:eastAsia="仿宋_GB2312"/>
                <w:sz w:val="18"/>
                <w:b/>
              </w:rPr>
              <w:t>本项目报价方式为全费用综合单价</w:t>
            </w:r>
            <w:r>
              <w:rPr>
                <w:rFonts w:ascii="仿宋_GB2312" w:hAnsi="仿宋_GB2312" w:cs="仿宋_GB2312" w:eastAsia="仿宋_GB2312"/>
                <w:sz w:val="18"/>
                <w:b/>
              </w:rPr>
              <w:t>，</w:t>
            </w:r>
            <w:r>
              <w:rPr>
                <w:rFonts w:ascii="仿宋_GB2312" w:hAnsi="仿宋_GB2312" w:cs="仿宋_GB2312" w:eastAsia="仿宋_GB2312"/>
                <w:sz w:val="18"/>
                <w:b/>
              </w:rPr>
              <w:t>据实结算；最终合同结算价</w:t>
            </w:r>
            <w:r>
              <w:rPr>
                <w:rFonts w:ascii="仿宋_GB2312" w:hAnsi="仿宋_GB2312" w:cs="仿宋_GB2312" w:eastAsia="仿宋_GB2312"/>
                <w:sz w:val="18"/>
                <w:b/>
              </w:rPr>
              <w:t>=成交单价（</w:t>
            </w:r>
            <w:r>
              <w:rPr>
                <w:rFonts w:ascii="仿宋_GB2312" w:hAnsi="仿宋_GB2312" w:cs="仿宋_GB2312" w:eastAsia="仿宋_GB2312"/>
                <w:sz w:val="18"/>
                <w:b/>
              </w:rPr>
              <w:t>全费用综合单价</w:t>
            </w:r>
            <w:r>
              <w:rPr>
                <w:rFonts w:ascii="仿宋_GB2312" w:hAnsi="仿宋_GB2312" w:cs="仿宋_GB2312" w:eastAsia="仿宋_GB2312"/>
                <w:sz w:val="18"/>
                <w:b/>
              </w:rPr>
              <w:t>）</w:t>
            </w:r>
            <w:r>
              <w:rPr>
                <w:rFonts w:ascii="仿宋_GB2312" w:hAnsi="仿宋_GB2312" w:cs="仿宋_GB2312" w:eastAsia="仿宋_GB2312"/>
                <w:sz w:val="18"/>
                <w:b/>
              </w:rPr>
              <w:t>*</w:t>
            </w:r>
            <w:r>
              <w:rPr>
                <w:rFonts w:ascii="仿宋_GB2312" w:hAnsi="仿宋_GB2312" w:cs="仿宋_GB2312" w:eastAsia="仿宋_GB2312"/>
                <w:sz w:val="18"/>
                <w:b/>
              </w:rPr>
              <w:t>最终实际</w:t>
            </w:r>
            <w:r>
              <w:rPr>
                <w:rFonts w:ascii="仿宋_GB2312" w:hAnsi="仿宋_GB2312" w:cs="仿宋_GB2312" w:eastAsia="仿宋_GB2312"/>
                <w:sz w:val="18"/>
                <w:b/>
              </w:rPr>
              <w:t>清运</w:t>
            </w:r>
            <w:r>
              <w:rPr>
                <w:rFonts w:ascii="仿宋_GB2312" w:hAnsi="仿宋_GB2312" w:cs="仿宋_GB2312" w:eastAsia="仿宋_GB2312"/>
                <w:sz w:val="18"/>
                <w:b/>
              </w:rPr>
              <w:t>工程量。</w:t>
            </w:r>
          </w:p>
          <w:p>
            <w:pPr>
              <w:pStyle w:val="null3"/>
              <w:ind w:firstLine="360"/>
              <w:jc w:val="left"/>
            </w:pPr>
            <w:r>
              <w:rPr>
                <w:rFonts w:ascii="仿宋_GB2312" w:hAnsi="仿宋_GB2312" w:cs="仿宋_GB2312" w:eastAsia="仿宋_GB2312"/>
                <w:sz w:val="18"/>
                <w:color w:val="000000"/>
              </w:rPr>
              <w:t>四</w:t>
            </w:r>
            <w:r>
              <w:rPr>
                <w:rFonts w:ascii="仿宋_GB2312" w:hAnsi="仿宋_GB2312" w:cs="仿宋_GB2312" w:eastAsia="仿宋_GB2312"/>
                <w:sz w:val="18"/>
                <w:color w:val="000000"/>
              </w:rPr>
              <w:t>、服务期限：</w:t>
            </w:r>
            <w:r>
              <w:rPr>
                <w:rFonts w:ascii="仿宋_GB2312" w:hAnsi="仿宋_GB2312" w:cs="仿宋_GB2312" w:eastAsia="仿宋_GB2312"/>
                <w:sz w:val="18"/>
                <w:shd w:fill="FFFFFF" w:val="clear"/>
              </w:rPr>
              <w:t>自合同签订之日</w:t>
            </w:r>
            <w:r>
              <w:rPr>
                <w:rFonts w:ascii="仿宋_GB2312" w:hAnsi="仿宋_GB2312" w:cs="仿宋_GB2312" w:eastAsia="仿宋_GB2312"/>
                <w:sz w:val="18"/>
                <w:u w:val="single"/>
                <w:shd w:fill="FFFFFF" w:val="clear"/>
              </w:rPr>
              <w:t>起</w:t>
            </w:r>
            <w:r>
              <w:rPr>
                <w:rFonts w:ascii="仿宋_GB2312" w:hAnsi="仿宋_GB2312" w:cs="仿宋_GB2312" w:eastAsia="仿宋_GB2312"/>
                <w:sz w:val="18"/>
                <w:u w:val="single"/>
                <w:shd w:fill="FFFFFF" w:val="clear"/>
              </w:rPr>
              <w:t>15日</w:t>
            </w:r>
            <w:r>
              <w:rPr>
                <w:rFonts w:ascii="仿宋_GB2312" w:hAnsi="仿宋_GB2312" w:cs="仿宋_GB2312" w:eastAsia="仿宋_GB2312"/>
                <w:sz w:val="18"/>
                <w:shd w:fill="FFFFFF" w:val="clear"/>
              </w:rPr>
              <w:t>内完成工程范围内全部清运工程。</w:t>
            </w:r>
          </w:p>
          <w:p>
            <w:pPr>
              <w:pStyle w:val="null3"/>
              <w:ind w:firstLine="360"/>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、质量标准：符合国家现行有关施工质量验收规范</w:t>
            </w:r>
            <w:r>
              <w:rPr>
                <w:rFonts w:ascii="仿宋_GB2312" w:hAnsi="仿宋_GB2312" w:cs="仿宋_GB2312" w:eastAsia="仿宋_GB2312"/>
                <w:sz w:val="18"/>
                <w:color w:val="000000"/>
              </w:rPr>
              <w:t>“合格”要求。</w:t>
            </w:r>
          </w:p>
          <w:p>
            <w:pPr>
              <w:pStyle w:val="null3"/>
              <w:ind w:firstLine="360"/>
              <w:jc w:val="left"/>
            </w:pPr>
            <w:r>
              <w:rPr>
                <w:rFonts w:ascii="仿宋_GB2312" w:hAnsi="仿宋_GB2312" w:cs="仿宋_GB2312" w:eastAsia="仿宋_GB2312"/>
                <w:sz w:val="18"/>
                <w:color w:val="000000"/>
              </w:rPr>
              <w:t>六</w:t>
            </w:r>
            <w:r>
              <w:rPr>
                <w:rFonts w:ascii="仿宋_GB2312" w:hAnsi="仿宋_GB2312" w:cs="仿宋_GB2312" w:eastAsia="仿宋_GB2312"/>
                <w:sz w:val="18"/>
                <w:color w:val="000000"/>
              </w:rPr>
              <w:t>、服务要求</w:t>
            </w:r>
          </w:p>
          <w:p>
            <w:pPr>
              <w:pStyle w:val="null3"/>
              <w:ind w:firstLine="480"/>
              <w:jc w:val="left"/>
            </w:pPr>
            <w:r>
              <w:rPr>
                <w:rFonts w:ascii="仿宋_GB2312" w:hAnsi="仿宋_GB2312" w:cs="仿宋_GB2312" w:eastAsia="仿宋_GB2312"/>
                <w:sz w:val="18"/>
                <w:color w:val="000000"/>
              </w:rPr>
              <w:t>1、供应商负责所有垃圾的运输，需做好现场其他设施维护工作；</w:t>
            </w:r>
          </w:p>
          <w:p>
            <w:pPr>
              <w:pStyle w:val="null3"/>
              <w:ind w:firstLine="480"/>
              <w:jc w:val="left"/>
            </w:pPr>
            <w:r>
              <w:rPr>
                <w:rFonts w:ascii="仿宋_GB2312" w:hAnsi="仿宋_GB2312" w:cs="仿宋_GB2312" w:eastAsia="仿宋_GB2312"/>
                <w:sz w:val="18"/>
                <w:color w:val="000000"/>
              </w:rPr>
              <w:t>2、安全责任：所有清扫运输工具均自备，维护费由成交供应商自行承担；清扫运输期间发生一切事故由成交供应商自负；</w:t>
            </w:r>
          </w:p>
          <w:p>
            <w:pPr>
              <w:pStyle w:val="null3"/>
              <w:ind w:firstLine="480"/>
              <w:jc w:val="left"/>
            </w:pPr>
            <w:r>
              <w:rPr>
                <w:rFonts w:ascii="仿宋_GB2312" w:hAnsi="仿宋_GB2312" w:cs="仿宋_GB2312" w:eastAsia="仿宋_GB2312"/>
                <w:sz w:val="18"/>
                <w:color w:val="000000"/>
              </w:rPr>
              <w:t>3、清运权限：成交供应商必须由其本人参加清理垃圾，不得转包或分包给他人清运，否则采购人有权终止清运期限；</w:t>
            </w:r>
          </w:p>
          <w:p>
            <w:pPr>
              <w:pStyle w:val="null3"/>
              <w:ind w:firstLine="480"/>
              <w:jc w:val="left"/>
            </w:pPr>
            <w:r>
              <w:rPr>
                <w:rFonts w:ascii="仿宋_GB2312" w:hAnsi="仿宋_GB2312" w:cs="仿宋_GB2312" w:eastAsia="仿宋_GB2312"/>
                <w:sz w:val="18"/>
                <w:color w:val="000000"/>
              </w:rPr>
              <w:t>4、成交供应商须服从管理，依规合理利用场地及设施，不能从事有损于采购人利益和违反安全生产管理活动的行为。</w:t>
            </w:r>
          </w:p>
          <w:p>
            <w:pPr>
              <w:pStyle w:val="null3"/>
              <w:ind w:firstLine="360"/>
              <w:jc w:val="left"/>
            </w:pPr>
            <w:r>
              <w:rPr>
                <w:rFonts w:ascii="仿宋_GB2312" w:hAnsi="仿宋_GB2312" w:cs="仿宋_GB2312" w:eastAsia="仿宋_GB2312"/>
                <w:sz w:val="18"/>
                <w:color w:val="000000"/>
              </w:rPr>
              <w:t>七</w:t>
            </w:r>
            <w:r>
              <w:rPr>
                <w:rFonts w:ascii="仿宋_GB2312" w:hAnsi="仿宋_GB2312" w:cs="仿宋_GB2312" w:eastAsia="仿宋_GB2312"/>
                <w:sz w:val="18"/>
                <w:color w:val="000000"/>
              </w:rPr>
              <w:t>、其他</w:t>
            </w:r>
          </w:p>
          <w:p>
            <w:pPr>
              <w:pStyle w:val="null3"/>
              <w:ind w:firstLine="480"/>
              <w:jc w:val="left"/>
            </w:pPr>
            <w:r>
              <w:rPr>
                <w:rFonts w:ascii="仿宋_GB2312" w:hAnsi="仿宋_GB2312" w:cs="仿宋_GB2312" w:eastAsia="仿宋_GB2312"/>
                <w:sz w:val="18"/>
                <w:color w:val="000000"/>
              </w:rPr>
              <w:t>1、垃圾清运倾倒点按国家相关规定执行，不得随意乱倒，倾运过程中垃圾不得外遗、抛洒，必须倾倒至指定垃圾分检中心。</w:t>
            </w:r>
          </w:p>
          <w:p>
            <w:pPr>
              <w:pStyle w:val="null3"/>
              <w:ind w:firstLine="360"/>
            </w:pPr>
            <w:r>
              <w:rPr>
                <w:rFonts w:ascii="仿宋_GB2312" w:hAnsi="仿宋_GB2312" w:cs="仿宋_GB2312" w:eastAsia="仿宋_GB2312"/>
              </w:rPr>
              <w:t xml:space="preserve">   </w:t>
            </w:r>
            <w:r>
              <w:rPr>
                <w:rFonts w:ascii="仿宋_GB2312" w:hAnsi="仿宋_GB2312" w:cs="仿宋_GB2312" w:eastAsia="仿宋_GB2312"/>
                <w:sz w:val="18"/>
                <w:color w:val="000000"/>
              </w:rPr>
              <w:t>2、与街办、村组沟通协调能力强、环境保障能力强的单位。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详见服务要求，供应商自行配置。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详见服务要求，供应商自行配置。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1、全费用综合单价上限价：85元/m³。 注：供应商所报全费用综合单价不得超过全费用综合单价上限价，否则按废标处理。 2、磋商最终报价，在采购需求无实质性变更下，不得高于首次磋商报价。最终分项报价，按最终报价相对首次报价的同比例进行下浮，计算结果四舍五入后保留两位小数。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北人高端环保装备制造项目范围内，具体以采购人指定地点为准。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进度款，项目结束并经采购人验收合格后，成交供应商提交结算申请，采购人审核后按照实际发生工程量据实结算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（2）提交响应文件截止时间六个月内其基本账户开户银行出具的资信证明（附基本存款账户信息）。 （3）信用担保机构出具的投标担保函。 3、社会保障资金缴纳证明：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证明文件，证明其依法不需要缴纳社会保障资金） 4、税收缴纳证明：提交响应文件截止时间前六个月内至少一个月的纳税证明或完税证明（增值税、企业所得税至少提供一种），纳税证明或完税证明上应有代收机构或税务机关的公章或业务专用章。（依法免税的供应商，应提供相应证明文件，证明其依法免税） 5、提供具有履行合同所必需的设备和专业技术能力的承诺。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2）提交响应文件截止时间六个月内其基本账户开户银行出具的资信证明（附基本存款账户信息）。（3）信用担保机构出具的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供应商具有建设行政主管部门颁发的市政公用工程施工总承包三级及以上资质或建筑工程施工总承包三级及以上资质，且具备有效的安全生产许可证；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拟派项目经理具备市政公用工程或建筑工程专业二级及以上注册建造师证书和安全生产考核合格证（B证），且无在建项目（提供承诺书）；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附表：分项报价明细表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商务要求偏离表 资格证明文件 采购需求偏离表 中小企业声明函 残疾人福利性单位声明函 附表：分项报价明细表 服务方案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 商务要求偏离表 资格证明文件 采购需求偏离表 中小企业声明函 残疾人福利性单位声明函 附表：分项报价明细表 服务方案 标的清单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附表：分项报价明细表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应符合磋商文件规定的其他实质性要求的</w:t>
            </w:r>
          </w:p>
        </w:tc>
        <w:tc>
          <w:tcPr>
            <w:tcW w:type="dxa" w:w="1661"/>
          </w:tcPr>
          <w:p>
            <w:pPr>
              <w:pStyle w:val="null3"/>
            </w:pPr>
            <w:r>
              <w:rPr>
                <w:rFonts w:ascii="仿宋_GB2312" w:hAnsi="仿宋_GB2312" w:cs="仿宋_GB2312" w:eastAsia="仿宋_GB2312"/>
              </w:rPr>
              <w:t>商务要求偏离表 采购需求偏离表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方法;③重点难点工程分析及解决措施;④影响正常施工外在因素分析及对应预案；⑤车辆、设备、工具配置明细等。以上内容专门针对本项目且阐述明晰、全面、合理得15分，每缺一项内容扣3分 , 若上述内容存在瑕疵，每出现一处瑕疵扣0.5分，扣完为止。“瑕疵” 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施工组织和项目管理机构内容至少包括①项目管理机构组成;②岗位安排及职责（配备项目技术负责人，施工员、安全员、测量员、资料员）;③管理制度及相应的协调措施等。以上内容专门针对本项目且符合本项目实际需求的得9分，每缺一项内容扣3分，若上述内容存在瑕疵，每存在1处瑕疵扣0.5分，扣完为止。“瑕疵” 指内容明显错误，或内容不完整或 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内容至少包括①恶劣天气影响应急预案；②设施设备应急预案；③重大检查、临检应急预案等；④应急响应流程。以上内容专门针对本项目且阐述明晰、全面、合理得8分，每缺一项内容扣2分 , 若上述内容存在瑕疵，每出现一处瑕疵扣0.5分，扣完为止。“瑕疵”指内容明显错误，或内容不完整或 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内容至少包括①人员安全保障措施；②设备、车辆安全保障措施；③安全隐患排查、整改制度；④安全事故的应对措施等。 以上内容专门针对本项目且阐述明晰、全面、合理得8分，每缺一项内容扣2分 , 若上述内容存在瑕疵，每出现一处瑕疵扣0.5分，扣完为止。“瑕疵”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①拟派项目负责人具有工程类中级及以上职称得5分；初级职称得3分，不提供或职称不符，不得分。 ②拟派项目负责人自2022年1月1日至投标截止时间前，担任项目负责人的类似项目业绩，每提供一项有效业绩得2.5分，最高不超过5分 。 注：工作证明材料不限于中标（成交）通知书或业绩合同，业绩证明材料须体现项目负责人姓名。（上述材料中未体现项目负责人姓名及任职情况的，须补充提供业主单位出具的加盖公章的证明文件）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配备项目技术负责人，施工员、安全员、测量员具备工程类中级及以上职称得每提供一个得2.5分，初级职称得得1.5分，不提供或职称不符，不得分。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拟投入的施工机械设备</w:t>
            </w:r>
          </w:p>
        </w:tc>
        <w:tc>
          <w:tcPr>
            <w:tcW w:type="dxa" w:w="2492"/>
          </w:tcPr>
          <w:p>
            <w:pPr>
              <w:pStyle w:val="null3"/>
            </w:pPr>
            <w:r>
              <w:rPr>
                <w:rFonts w:ascii="仿宋_GB2312" w:hAnsi="仿宋_GB2312" w:cs="仿宋_GB2312" w:eastAsia="仿宋_GB2312"/>
              </w:rPr>
              <w:t>针对本项目投入的施工机械设备有：①开挖破碎设备②场内倒运装载设备③外运清运设备④场地平整压实设备⑤辅助配套机械设备。拟提供的机械设备满足本项目的使用需求，提供拟投入设备清单及购买凭证或租赁协议，每提供一项设备得3分，未提供或提供的设备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投诉处理时效承诺</w:t>
            </w:r>
          </w:p>
        </w:tc>
        <w:tc>
          <w:tcPr>
            <w:tcW w:type="dxa" w:w="2492"/>
          </w:tcPr>
          <w:p>
            <w:pPr>
              <w:pStyle w:val="null3"/>
            </w:pPr>
            <w:r>
              <w:rPr>
                <w:rFonts w:ascii="仿宋_GB2312" w:hAnsi="仿宋_GB2312" w:cs="仿宋_GB2312" w:eastAsia="仿宋_GB2312"/>
              </w:rPr>
              <w:t>供应商承诺因施工原因接到居民投诉或相关部门提出整改时，1小时内响应并到达现场处理的得5分；2小时内响应的得3分；未提供或提供的不符合要求不得分。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供应商2022年1月以来类似项目业绩；每提供1份计2.5分，最高得10分。注：需提供合同首页、内容页和双方盖章页。以合同为准，内容不清晰，或者资料不全的，不得分。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1、评审基准价：满足磋商文件要求且最后磋商报价最低的投标报价为评标基准价。 2、供应商报价得分：报价得分=（评审基准价／最后报价）×10 注：最低报价不是成交的唯一依据。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附表：分项报价明细表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详见附件：附表：分项报价明细表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