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EE5B19">
      <w:pPr>
        <w:widowControl/>
        <w:kinsoku w:val="0"/>
        <w:autoSpaceDE w:val="0"/>
        <w:autoSpaceDN w:val="0"/>
        <w:adjustRightInd w:val="0"/>
        <w:snapToGrid w:val="0"/>
        <w:spacing w:line="360" w:lineRule="auto"/>
        <w:ind w:firstLine="482" w:firstLineChars="200"/>
        <w:jc w:val="both"/>
        <w:textAlignment w:val="baseline"/>
        <w:outlineLvl w:val="1"/>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附表：</w:t>
      </w:r>
    </w:p>
    <w:p w14:paraId="7C4CF59F">
      <w:pPr>
        <w:widowControl/>
        <w:kinsoku w:val="0"/>
        <w:autoSpaceDE w:val="0"/>
        <w:autoSpaceDN w:val="0"/>
        <w:adjustRightInd w:val="0"/>
        <w:snapToGrid w:val="0"/>
        <w:spacing w:line="360" w:lineRule="auto"/>
        <w:ind w:firstLine="482" w:firstLineChars="200"/>
        <w:jc w:val="center"/>
        <w:textAlignment w:val="baseline"/>
        <w:outlineLvl w:val="2"/>
        <w:rPr>
          <w:rFonts w:hint="eastAsia" w:ascii="仿宋" w:hAnsi="仿宋" w:eastAsia="仿宋" w:cs="仿宋"/>
          <w:sz w:val="24"/>
          <w:szCs w:val="24"/>
          <w:highlight w:val="none"/>
          <w:lang w:eastAsia="zh-CN"/>
        </w:rPr>
      </w:pPr>
      <w:bookmarkStart w:id="0" w:name="_GoBack"/>
      <w:r>
        <w:rPr>
          <w:rFonts w:hint="eastAsia" w:ascii="仿宋" w:hAnsi="仿宋" w:eastAsia="仿宋" w:cs="仿宋"/>
          <w:b/>
          <w:bCs/>
          <w:sz w:val="24"/>
          <w:szCs w:val="24"/>
          <w:highlight w:val="none"/>
        </w:rPr>
        <w:t>分项报价</w:t>
      </w:r>
      <w:r>
        <w:rPr>
          <w:rFonts w:hint="eastAsia" w:ascii="仿宋" w:hAnsi="仿宋" w:eastAsia="仿宋" w:cs="仿宋"/>
          <w:b/>
          <w:bCs/>
          <w:sz w:val="24"/>
          <w:szCs w:val="24"/>
          <w:highlight w:val="none"/>
          <w:lang w:val="en-US" w:eastAsia="zh-CN"/>
        </w:rPr>
        <w:t>明细表</w:t>
      </w:r>
    </w:p>
    <w:bookmarkEnd w:id="0"/>
    <w:p w14:paraId="68FE8DAC">
      <w:pPr>
        <w:widowControl/>
        <w:kinsoku w:val="0"/>
        <w:autoSpaceDE w:val="0"/>
        <w:autoSpaceDN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采购编号：</w:t>
      </w:r>
    </w:p>
    <w:p w14:paraId="2BCE3C65">
      <w:pPr>
        <w:widowControl/>
        <w:kinsoku w:val="0"/>
        <w:autoSpaceDE w:val="0"/>
        <w:autoSpaceDN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项目名称： </w:t>
      </w:r>
    </w:p>
    <w:p w14:paraId="2B608B62">
      <w:pPr>
        <w:widowControl/>
        <w:kinsoku w:val="0"/>
        <w:autoSpaceDE w:val="0"/>
        <w:autoSpaceDN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包号：</w:t>
      </w:r>
    </w:p>
    <w:p w14:paraId="43C208BF">
      <w:pPr>
        <w:widowControl/>
        <w:kinsoku w:val="0"/>
        <w:autoSpaceDE w:val="0"/>
        <w:autoSpaceDN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p>
    <w:p w14:paraId="4F040FDB">
      <w:pPr>
        <w:pStyle w:val="4"/>
        <w:rPr>
          <w:rFonts w:hint="eastAsia" w:ascii="仿宋" w:hAnsi="仿宋" w:eastAsia="仿宋" w:cs="仿宋"/>
          <w:lang w:val="en-US" w:eastAsia="en-US"/>
        </w:rPr>
      </w:pPr>
    </w:p>
    <w:tbl>
      <w:tblPr>
        <w:tblStyle w:val="5"/>
        <w:tblW w:w="103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0"/>
        <w:gridCol w:w="2389"/>
        <w:gridCol w:w="1569"/>
        <w:gridCol w:w="4369"/>
      </w:tblGrid>
      <w:tr w14:paraId="71E5F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1" w:hRule="atLeast"/>
          <w:jc w:val="center"/>
        </w:trPr>
        <w:tc>
          <w:tcPr>
            <w:tcW w:w="2050" w:type="dxa"/>
            <w:tcBorders>
              <w:tl2br w:val="single" w:color="auto" w:sz="4" w:space="0"/>
            </w:tcBorders>
            <w:noWrap w:val="0"/>
            <w:vAlign w:val="center"/>
          </w:tcPr>
          <w:p w14:paraId="089EF6E0">
            <w:pPr>
              <w:keepNext w:val="0"/>
              <w:keepLines w:val="0"/>
              <w:pageBreakBefore w:val="0"/>
              <w:widowControl w:val="0"/>
              <w:kinsoku/>
              <w:wordWrap/>
              <w:overflowPunct/>
              <w:topLinePunct w:val="0"/>
              <w:bidi w:val="0"/>
              <w:snapToGrid/>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内容</w:t>
            </w:r>
          </w:p>
          <w:p w14:paraId="330437CC">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项目名称</w:t>
            </w:r>
          </w:p>
        </w:tc>
        <w:tc>
          <w:tcPr>
            <w:tcW w:w="2389" w:type="dxa"/>
            <w:noWrap w:val="0"/>
            <w:vAlign w:val="center"/>
          </w:tcPr>
          <w:p w14:paraId="7BE3DD6E">
            <w:pPr>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leftChars="0" w:right="0" w:right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响应全费用综合单价（</w:t>
            </w:r>
            <w:r>
              <w:rPr>
                <w:rFonts w:hint="eastAsia" w:ascii="仿宋" w:hAnsi="仿宋" w:eastAsia="仿宋" w:cs="仿宋"/>
                <w:color w:val="auto"/>
                <w:kern w:val="2"/>
                <w:sz w:val="24"/>
                <w:szCs w:val="24"/>
                <w:highlight w:val="none"/>
                <w:lang w:val="en-US" w:eastAsia="zh-CN" w:bidi="ar-SA"/>
              </w:rPr>
              <w:t>元/m³</w:t>
            </w:r>
            <w:r>
              <w:rPr>
                <w:rFonts w:hint="eastAsia" w:ascii="仿宋" w:hAnsi="仿宋" w:eastAsia="仿宋" w:cs="仿宋"/>
                <w:sz w:val="24"/>
                <w:szCs w:val="24"/>
                <w:highlight w:val="none"/>
                <w:lang w:val="en-US" w:eastAsia="zh-CN"/>
              </w:rPr>
              <w:t>）</w:t>
            </w:r>
          </w:p>
        </w:tc>
        <w:tc>
          <w:tcPr>
            <w:tcW w:w="1569" w:type="dxa"/>
            <w:noWrap w:val="0"/>
            <w:vAlign w:val="center"/>
          </w:tcPr>
          <w:p w14:paraId="7EF58052">
            <w:pPr>
              <w:keepNext w:val="0"/>
              <w:keepLines w:val="0"/>
              <w:pageBreakBefore w:val="0"/>
              <w:widowControl w:val="0"/>
              <w:kinsoku/>
              <w:wordWrap/>
              <w:overflowPunct/>
              <w:topLinePunct w:val="0"/>
              <w:bidi w:val="0"/>
              <w:snapToGrid/>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数量（暂定）（m³）</w:t>
            </w:r>
          </w:p>
        </w:tc>
        <w:tc>
          <w:tcPr>
            <w:tcW w:w="4369" w:type="dxa"/>
            <w:noWrap w:val="0"/>
            <w:vAlign w:val="center"/>
          </w:tcPr>
          <w:p w14:paraId="2E56C247">
            <w:pPr>
              <w:keepNext w:val="0"/>
              <w:keepLines w:val="0"/>
              <w:pageBreakBefore w:val="0"/>
              <w:widowControl w:val="0"/>
              <w:kinsoku/>
              <w:wordWrap/>
              <w:overflowPunct/>
              <w:topLinePunct w:val="0"/>
              <w:bidi w:val="0"/>
              <w:snapToGrid/>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响应</w:t>
            </w:r>
            <w:r>
              <w:rPr>
                <w:rFonts w:hint="eastAsia" w:ascii="仿宋" w:hAnsi="仿宋" w:eastAsia="仿宋" w:cs="仿宋"/>
                <w:sz w:val="24"/>
                <w:szCs w:val="24"/>
                <w:highlight w:val="none"/>
              </w:rPr>
              <w:t>总报价（元）</w:t>
            </w:r>
          </w:p>
        </w:tc>
      </w:tr>
      <w:tr w14:paraId="262D9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6" w:hRule="atLeast"/>
          <w:jc w:val="center"/>
        </w:trPr>
        <w:tc>
          <w:tcPr>
            <w:tcW w:w="2050" w:type="dxa"/>
            <w:noWrap w:val="0"/>
            <w:vAlign w:val="center"/>
          </w:tcPr>
          <w:p w14:paraId="67B1789D">
            <w:pPr>
              <w:keepNext w:val="0"/>
              <w:keepLines w:val="0"/>
              <w:pageBreakBefore w:val="0"/>
              <w:widowControl w:val="0"/>
              <w:kinsoku/>
              <w:wordWrap/>
              <w:overflowPunct/>
              <w:topLinePunct w:val="0"/>
              <w:bidi w:val="0"/>
              <w:snapToGrid/>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北人高端环保装备制造项目建筑垃圾清运</w:t>
            </w:r>
          </w:p>
        </w:tc>
        <w:tc>
          <w:tcPr>
            <w:tcW w:w="2389" w:type="dxa"/>
            <w:noWrap w:val="0"/>
            <w:vAlign w:val="center"/>
          </w:tcPr>
          <w:p w14:paraId="4EBAAB07">
            <w:pPr>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leftChars="0" w:right="0" w:rightChars="0"/>
              <w:jc w:val="both"/>
              <w:textAlignment w:val="auto"/>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u w:val="single"/>
                <w:lang w:val="en-US" w:eastAsia="zh-CN"/>
              </w:rPr>
              <w:t xml:space="preserve">                  </w:t>
            </w:r>
          </w:p>
        </w:tc>
        <w:tc>
          <w:tcPr>
            <w:tcW w:w="1569" w:type="dxa"/>
            <w:noWrap w:val="0"/>
            <w:vAlign w:val="center"/>
          </w:tcPr>
          <w:p w14:paraId="2A644671">
            <w:pPr>
              <w:keepNext w:val="0"/>
              <w:keepLines w:val="0"/>
              <w:pageBreakBefore w:val="0"/>
              <w:widowControl w:val="0"/>
              <w:kinsoku/>
              <w:wordWrap/>
              <w:overflowPunct/>
              <w:topLinePunct w:val="0"/>
              <w:bidi w:val="0"/>
              <w:snapToGrid/>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4257.6</w:t>
            </w:r>
          </w:p>
        </w:tc>
        <w:tc>
          <w:tcPr>
            <w:tcW w:w="4369" w:type="dxa"/>
            <w:noWrap w:val="0"/>
            <w:vAlign w:val="center"/>
          </w:tcPr>
          <w:p w14:paraId="6D1C523B">
            <w:pPr>
              <w:keepNext w:val="0"/>
              <w:keepLines w:val="0"/>
              <w:pageBreakBefore w:val="0"/>
              <w:widowControl w:val="0"/>
              <w:kinsoku/>
              <w:wordWrap/>
              <w:overflowPunct/>
              <w:topLinePunct w:val="0"/>
              <w:bidi w:val="0"/>
              <w:snapToGrid/>
              <w:spacing w:line="360" w:lineRule="auto"/>
              <w:jc w:val="left"/>
              <w:textAlignment w:val="auto"/>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大写</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u w:val="single"/>
                <w:lang w:val="en-US" w:eastAsia="zh-CN"/>
              </w:rPr>
              <w:t xml:space="preserve">                        </w:t>
            </w:r>
          </w:p>
          <w:p w14:paraId="1860D04A">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sz w:val="24"/>
                <w:szCs w:val="24"/>
                <w:highlight w:val="none"/>
              </w:rPr>
            </w:pPr>
          </w:p>
          <w:p w14:paraId="5C297F5D">
            <w:pPr>
              <w:keepNext w:val="0"/>
              <w:keepLines w:val="0"/>
              <w:pageBreakBefore w:val="0"/>
              <w:widowControl w:val="0"/>
              <w:kinsoku/>
              <w:wordWrap/>
              <w:overflowPunct/>
              <w:topLinePunct w:val="0"/>
              <w:bidi w:val="0"/>
              <w:snapToGrid/>
              <w:spacing w:line="360" w:lineRule="auto"/>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小写：</w:t>
            </w:r>
            <w:r>
              <w:rPr>
                <w:rFonts w:hint="eastAsia" w:ascii="仿宋" w:hAnsi="仿宋" w:eastAsia="仿宋" w:cs="仿宋"/>
                <w:sz w:val="24"/>
                <w:szCs w:val="24"/>
                <w:highlight w:val="none"/>
                <w:u w:val="single"/>
                <w:lang w:val="en-US" w:eastAsia="zh-CN"/>
              </w:rPr>
              <w:t xml:space="preserve">                        </w:t>
            </w:r>
          </w:p>
        </w:tc>
      </w:tr>
    </w:tbl>
    <w:p w14:paraId="1A4CE98E">
      <w:pPr>
        <w:pStyle w:val="3"/>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说明：</w:t>
      </w:r>
    </w:p>
    <w:p w14:paraId="083E9EEB">
      <w:pPr>
        <w:pStyle w:val="3"/>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1.响应总报价（元）=响应全费用综合单价（元/m³）*暂定数量（4257.6m³）。</w:t>
      </w:r>
    </w:p>
    <w:p w14:paraId="46194002">
      <w:pPr>
        <w:pStyle w:val="3"/>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2.报价以元为单位，大小写不一致时，以大写为准；报价精确到小数点后两位。</w:t>
      </w:r>
    </w:p>
    <w:p w14:paraId="5B07F235">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3.本表所列各项数据与磋商文件其他地方表述不一致时，以本表为准；</w:t>
      </w:r>
    </w:p>
    <w:p w14:paraId="3506D247">
      <w:pPr>
        <w:keepNext w:val="0"/>
        <w:keepLines w:val="0"/>
        <w:pageBreakBefore w:val="0"/>
        <w:kinsoku/>
        <w:wordWrap/>
        <w:overflowPunct/>
        <w:topLinePunct w:val="0"/>
        <w:bidi w:val="0"/>
        <w:snapToGrid/>
        <w:spacing w:line="360" w:lineRule="auto"/>
        <w:ind w:firstLine="0" w:firstLineChars="0"/>
        <w:textAlignment w:val="auto"/>
        <w:rPr>
          <w:rFonts w:hint="eastAsia" w:ascii="仿宋" w:hAnsi="仿宋" w:eastAsia="仿宋" w:cs="仿宋"/>
          <w:b/>
          <w:bCs/>
          <w:snapToGrid w:val="0"/>
          <w:color w:val="auto"/>
          <w:kern w:val="2"/>
          <w:sz w:val="28"/>
          <w:szCs w:val="28"/>
          <w:highlight w:val="none"/>
          <w:lang w:val="en-US" w:eastAsia="zh-CN" w:bidi="ar-SA"/>
        </w:rPr>
      </w:pPr>
      <w:r>
        <w:rPr>
          <w:rFonts w:hint="eastAsia" w:ascii="仿宋" w:hAnsi="仿宋" w:eastAsia="仿宋" w:cs="仿宋"/>
          <w:color w:val="auto"/>
          <w:kern w:val="2"/>
          <w:sz w:val="24"/>
          <w:szCs w:val="24"/>
          <w:highlight w:val="none"/>
          <w:lang w:val="en-US" w:eastAsia="zh-CN" w:bidi="ar-SA"/>
        </w:rPr>
        <w:t>4.</w:t>
      </w:r>
      <w:r>
        <w:rPr>
          <w:rFonts w:hint="eastAsia" w:ascii="仿宋" w:hAnsi="仿宋" w:eastAsia="仿宋" w:cs="仿宋"/>
          <w:sz w:val="24"/>
          <w:szCs w:val="24"/>
          <w:highlight w:val="none"/>
          <w:lang w:val="en-US" w:eastAsia="zh-CN"/>
        </w:rPr>
        <w:t>全费用综合单价</w:t>
      </w:r>
      <w:r>
        <w:rPr>
          <w:rFonts w:hint="eastAsia" w:ascii="仿宋" w:hAnsi="仿宋" w:eastAsia="仿宋" w:cs="仿宋"/>
          <w:color w:val="auto"/>
          <w:kern w:val="2"/>
          <w:sz w:val="24"/>
          <w:szCs w:val="24"/>
          <w:highlight w:val="none"/>
          <w:lang w:val="en-US" w:eastAsia="zh-CN" w:bidi="ar-SA"/>
        </w:rPr>
        <w:t>上限价为85元/m³，总价上限价为36.1896万元。</w:t>
      </w:r>
    </w:p>
    <w:p w14:paraId="09819EE4">
      <w:pPr>
        <w:pStyle w:val="9"/>
        <w:keepNext w:val="0"/>
        <w:keepLines w:val="0"/>
        <w:pageBreakBefore w:val="0"/>
        <w:shd w:val="clear" w:color="auto" w:fill="auto"/>
        <w:kinsoku/>
        <w:wordWrap/>
        <w:overflowPunct/>
        <w:topLinePunct w:val="0"/>
        <w:autoSpaceDE w:val="0"/>
        <w:autoSpaceDN w:val="0"/>
        <w:bidi w:val="0"/>
        <w:adjustRightInd w:val="0"/>
        <w:snapToGrid/>
        <w:spacing w:line="360" w:lineRule="auto"/>
        <w:ind w:firstLine="0" w:firstLineChars="0"/>
        <w:jc w:val="both"/>
        <w:textAlignment w:val="auto"/>
        <w:rPr>
          <w:rFonts w:hint="eastAsia" w:ascii="仿宋" w:hAnsi="仿宋" w:eastAsia="仿宋" w:cs="仿宋"/>
          <w:b w:val="0"/>
          <w:color w:val="auto"/>
          <w:spacing w:val="0"/>
          <w:position w:val="0"/>
          <w:sz w:val="24"/>
          <w:szCs w:val="24"/>
          <w:highlight w:val="none"/>
        </w:rPr>
      </w:pPr>
      <w:r>
        <w:rPr>
          <w:rFonts w:hint="eastAsia" w:ascii="仿宋" w:hAnsi="仿宋" w:eastAsia="仿宋" w:cs="仿宋"/>
          <w:b/>
          <w:bCs/>
          <w:color w:val="auto"/>
          <w:kern w:val="2"/>
          <w:sz w:val="24"/>
          <w:szCs w:val="24"/>
          <w:highlight w:val="none"/>
          <w:lang w:val="en-US" w:eastAsia="zh-CN" w:bidi="ar-SA"/>
        </w:rPr>
        <w:t>5.</w:t>
      </w:r>
      <w:r>
        <w:rPr>
          <w:rFonts w:hint="eastAsia" w:ascii="仿宋" w:hAnsi="仿宋" w:eastAsia="仿宋" w:cs="仿宋"/>
          <w:b/>
          <w:bCs/>
          <w:color w:val="auto"/>
          <w:sz w:val="24"/>
          <w:szCs w:val="24"/>
          <w:highlight w:val="none"/>
          <w:lang w:val="en-US" w:eastAsia="zh-CN"/>
        </w:rPr>
        <w:t>各供应商响应总报价和响应全费用综合单价如超过采购预算和采购单价上限价，按废标处理。</w:t>
      </w:r>
      <w:r>
        <w:rPr>
          <w:rFonts w:hint="eastAsia" w:ascii="仿宋" w:hAnsi="仿宋" w:eastAsia="仿宋" w:cs="仿宋"/>
          <w:b w:val="0"/>
          <w:color w:val="auto"/>
          <w:spacing w:val="0"/>
          <w:position w:val="0"/>
          <w:sz w:val="24"/>
          <w:szCs w:val="24"/>
          <w:highlight w:val="none"/>
        </w:rPr>
        <w:t xml:space="preserve">  </w:t>
      </w:r>
    </w:p>
    <w:p w14:paraId="52D7754F">
      <w:pPr>
        <w:pStyle w:val="9"/>
        <w:shd w:val="clear" w:color="auto" w:fill="auto"/>
        <w:spacing w:line="360" w:lineRule="auto"/>
        <w:ind w:firstLine="480" w:firstLineChars="200"/>
        <w:rPr>
          <w:rFonts w:hint="eastAsia" w:ascii="仿宋" w:hAnsi="仿宋" w:eastAsia="仿宋" w:cs="仿宋"/>
          <w:b w:val="0"/>
          <w:color w:val="auto"/>
          <w:spacing w:val="0"/>
          <w:position w:val="0"/>
          <w:sz w:val="24"/>
          <w:szCs w:val="24"/>
          <w:highlight w:val="none"/>
          <w:lang w:val="en-US" w:eastAsia="zh-CN"/>
        </w:rPr>
      </w:pPr>
      <w:r>
        <w:rPr>
          <w:rFonts w:hint="eastAsia" w:ascii="仿宋" w:hAnsi="仿宋" w:eastAsia="仿宋" w:cs="仿宋"/>
          <w:b w:val="0"/>
          <w:color w:val="auto"/>
          <w:spacing w:val="0"/>
          <w:position w:val="0"/>
          <w:sz w:val="24"/>
          <w:szCs w:val="24"/>
          <w:highlight w:val="none"/>
          <w:lang w:val="en-US" w:eastAsia="zh-CN"/>
        </w:rPr>
        <w:t xml:space="preserve">               </w:t>
      </w:r>
    </w:p>
    <w:p w14:paraId="58E53816">
      <w:pPr>
        <w:pStyle w:val="9"/>
        <w:shd w:val="clear" w:color="auto" w:fill="auto"/>
        <w:spacing w:line="360" w:lineRule="auto"/>
        <w:ind w:firstLine="480" w:firstLineChars="200"/>
        <w:rPr>
          <w:rFonts w:hint="eastAsia" w:ascii="仿宋" w:hAnsi="仿宋" w:eastAsia="仿宋" w:cs="仿宋"/>
          <w:b w:val="0"/>
          <w:color w:val="auto"/>
          <w:spacing w:val="0"/>
          <w:position w:val="0"/>
          <w:sz w:val="24"/>
          <w:szCs w:val="24"/>
          <w:highlight w:val="none"/>
          <w:lang w:val="en-US" w:eastAsia="zh-CN"/>
        </w:rPr>
      </w:pPr>
      <w:r>
        <w:rPr>
          <w:rFonts w:hint="eastAsia" w:ascii="仿宋" w:hAnsi="仿宋" w:eastAsia="仿宋" w:cs="仿宋"/>
          <w:b w:val="0"/>
          <w:color w:val="auto"/>
          <w:spacing w:val="0"/>
          <w:position w:val="0"/>
          <w:sz w:val="24"/>
          <w:szCs w:val="24"/>
          <w:highlight w:val="none"/>
          <w:lang w:val="en-US" w:eastAsia="zh-CN"/>
        </w:rPr>
        <w:t xml:space="preserve">             </w:t>
      </w:r>
    </w:p>
    <w:p w14:paraId="2EE3B7E1">
      <w:pPr>
        <w:pStyle w:val="9"/>
        <w:shd w:val="clear" w:color="auto" w:fill="auto"/>
        <w:spacing w:line="360" w:lineRule="auto"/>
        <w:ind w:firstLine="480" w:firstLineChars="200"/>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lang w:val="en-US" w:eastAsia="zh-CN"/>
        </w:rPr>
        <w:t xml:space="preserve">            </w:t>
      </w:r>
      <w:r>
        <w:rPr>
          <w:rFonts w:hint="eastAsia" w:ascii="仿宋" w:hAnsi="仿宋" w:eastAsia="仿宋" w:cs="仿宋"/>
          <w:b w:val="0"/>
          <w:color w:val="auto"/>
          <w:spacing w:val="0"/>
          <w:position w:val="0"/>
          <w:sz w:val="24"/>
          <w:szCs w:val="24"/>
          <w:highlight w:val="none"/>
        </w:rPr>
        <w:t>供 应 商：</w:t>
      </w:r>
      <w:r>
        <w:rPr>
          <w:rFonts w:hint="eastAsia" w:ascii="仿宋" w:hAnsi="仿宋" w:eastAsia="仿宋" w:cs="仿宋"/>
          <w:b w:val="0"/>
          <w:color w:val="auto"/>
          <w:spacing w:val="0"/>
          <w:position w:val="0"/>
          <w:sz w:val="24"/>
          <w:szCs w:val="24"/>
          <w:highlight w:val="none"/>
          <w:u w:val="single"/>
        </w:rPr>
        <w:t xml:space="preserve">                      </w:t>
      </w:r>
      <w:r>
        <w:rPr>
          <w:rFonts w:hint="eastAsia" w:ascii="仿宋" w:hAnsi="仿宋" w:eastAsia="仿宋" w:cs="仿宋"/>
          <w:b w:val="0"/>
          <w:color w:val="auto"/>
          <w:spacing w:val="0"/>
          <w:position w:val="0"/>
          <w:sz w:val="24"/>
          <w:szCs w:val="24"/>
          <w:highlight w:val="none"/>
        </w:rPr>
        <w:t>（盖章）</w:t>
      </w:r>
    </w:p>
    <w:p w14:paraId="1676481E">
      <w:pPr>
        <w:pStyle w:val="9"/>
        <w:shd w:val="clear" w:color="auto" w:fill="auto"/>
        <w:spacing w:line="360" w:lineRule="auto"/>
        <w:ind w:firstLine="2640" w:firstLineChars="1100"/>
        <w:jc w:val="both"/>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法定代表人（单位负责人）</w:t>
      </w:r>
    </w:p>
    <w:p w14:paraId="60CFDF0C">
      <w:pPr>
        <w:pStyle w:val="9"/>
        <w:shd w:val="clear" w:color="auto" w:fill="auto"/>
        <w:spacing w:line="360" w:lineRule="auto"/>
        <w:ind w:firstLine="2880" w:firstLineChars="1200"/>
        <w:jc w:val="both"/>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或授权委托人：</w:t>
      </w:r>
      <w:r>
        <w:rPr>
          <w:rFonts w:hint="eastAsia" w:ascii="仿宋" w:hAnsi="仿宋" w:eastAsia="仿宋" w:cs="仿宋"/>
          <w:b w:val="0"/>
          <w:color w:val="auto"/>
          <w:spacing w:val="0"/>
          <w:position w:val="0"/>
          <w:sz w:val="24"/>
          <w:szCs w:val="24"/>
          <w:highlight w:val="none"/>
          <w:u w:val="single"/>
        </w:rPr>
        <w:t xml:space="preserve">            </w:t>
      </w:r>
      <w:r>
        <w:rPr>
          <w:rFonts w:hint="eastAsia" w:ascii="仿宋" w:hAnsi="仿宋" w:eastAsia="仿宋" w:cs="仿宋"/>
          <w:b w:val="0"/>
          <w:color w:val="auto"/>
          <w:spacing w:val="0"/>
          <w:position w:val="0"/>
          <w:sz w:val="24"/>
          <w:szCs w:val="24"/>
          <w:highlight w:val="none"/>
        </w:rPr>
        <w:t>（盖章或签字）</w:t>
      </w:r>
    </w:p>
    <w:p w14:paraId="25C74B86">
      <w:pPr>
        <w:shd w:val="clear" w:color="auto" w:fill="auto"/>
        <w:spacing w:line="360" w:lineRule="auto"/>
        <w:ind w:firstLine="480" w:firstLineChars="200"/>
        <w:jc w:val="center"/>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 xml:space="preserve">     </w:t>
      </w:r>
      <w:r>
        <w:rPr>
          <w:rFonts w:hint="eastAsia" w:ascii="仿宋" w:hAnsi="仿宋" w:eastAsia="仿宋" w:cs="仿宋"/>
          <w:color w:val="auto"/>
          <w:spacing w:val="0"/>
          <w:position w:val="0"/>
          <w:sz w:val="24"/>
          <w:szCs w:val="24"/>
          <w:highlight w:val="none"/>
          <w:lang w:val="en-US" w:eastAsia="zh-CN"/>
        </w:rPr>
        <w:t xml:space="preserve"> </w:t>
      </w:r>
      <w:r>
        <w:rPr>
          <w:rFonts w:hint="eastAsia" w:ascii="仿宋" w:hAnsi="仿宋" w:eastAsia="仿宋" w:cs="仿宋"/>
          <w:color w:val="auto"/>
          <w:spacing w:val="0"/>
          <w:position w:val="0"/>
          <w:sz w:val="24"/>
          <w:szCs w:val="24"/>
          <w:highlight w:val="none"/>
        </w:rPr>
        <w:t>日    期：</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年</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月</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日</w:t>
      </w:r>
    </w:p>
    <w:p w14:paraId="2742D60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8F758A"/>
    <w:rsid w:val="0E8F758A"/>
    <w:rsid w:val="60F40441"/>
    <w:rsid w:val="79242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annotation text"/>
    <w:basedOn w:val="1"/>
    <w:qFormat/>
    <w:uiPriority w:val="0"/>
    <w:pPr>
      <w:jc w:val="left"/>
    </w:p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customStyle="1" w:styleId="7">
    <w:name w:val="仿宋正文"/>
    <w:basedOn w:val="1"/>
    <w:qFormat/>
    <w:uiPriority w:val="0"/>
    <w:rPr>
      <w:rFonts w:eastAsia="仿宋" w:asciiTheme="minorAscii" w:hAnsiTheme="minorAscii"/>
      <w:sz w:val="30"/>
    </w:rPr>
  </w:style>
  <w:style w:type="paragraph" w:customStyle="1" w:styleId="8">
    <w:name w:val="宋体正文"/>
    <w:basedOn w:val="1"/>
    <w:qFormat/>
    <w:uiPriority w:val="0"/>
    <w:rPr>
      <w:rFonts w:asciiTheme="minorAscii" w:hAnsiTheme="minorAscii"/>
      <w:sz w:val="28"/>
    </w:rPr>
  </w:style>
  <w:style w:type="paragraph" w:customStyle="1" w:styleId="9">
    <w:name w:val="目录"/>
    <w:basedOn w:val="1"/>
    <w:autoRedefine/>
    <w:qFormat/>
    <w:uiPriority w:val="0"/>
    <w:pPr>
      <w:widowControl/>
      <w:jc w:val="center"/>
    </w:pPr>
    <w:rPr>
      <w:rFonts w:hAnsi="Times New Roman"/>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2026-06-24T02:04:00Z</dcterms:created>
  <dc:creator>NANO259</dc:creator>
  <cp:lastModifiedBy>NANO259</cp:lastModifiedBy>
  <dcterms:modified xsi:type="dcterms:W3CDTF">2026-06-24T02:04:31Z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E3CA2E9C33B643BB9CB7524C6E9EC97A_11</vt:lpwstr>
  </property>
  <property fmtid="{D5CDD505-2E9C-101B-9397-08002B2CF9AE}" pid="4" name="KSOTemplateDocerSaveRecord">
    <vt:lpwstr>eyJoZGlkIjoiOTNlODE0YjMzMDE0OTA1NTUxYzk0ODBhOTU4NGEwMWYiLCJ1c2VySWQiOiIxMjI2NDQzMzM3In0=</vt:lpwstr>
  </property>
</Properties>
</file>