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版本号：DS2026-CS-03020260604001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兴隆街道莱特二期（GX3-27-19）项目清表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DS2026-CS-030</w:t>
      </w:r>
      <w:r>
        <w:br/>
      </w:r>
      <w:r>
        <w:br/>
      </w:r>
      <w:r>
        <w:br/>
      </w:r>
    </w:p>
    <w:p>
      <w:pPr>
        <w:pStyle w:val="null3"/>
        <w:jc w:val="center"/>
        <w:outlineLvl w:val="2"/>
      </w:pPr>
      <w:r>
        <w:rPr>
          <w:rFonts w:ascii="仿宋_GB2312" w:hAnsi="仿宋_GB2312" w:cs="仿宋_GB2312" w:eastAsia="仿宋_GB2312"/>
          <w:sz w:val="28"/>
          <w:b/>
        </w:rPr>
        <w:t>西安市长安区兴隆街道办事处</w:t>
      </w:r>
    </w:p>
    <w:p>
      <w:pPr>
        <w:pStyle w:val="null3"/>
        <w:jc w:val="center"/>
        <w:outlineLvl w:val="2"/>
      </w:pPr>
      <w:r>
        <w:rPr>
          <w:rFonts w:ascii="仿宋_GB2312" w:hAnsi="仿宋_GB2312" w:cs="仿宋_GB2312" w:eastAsia="仿宋_GB2312"/>
          <w:sz w:val="28"/>
          <w:b/>
        </w:rPr>
        <w:t>陕西顶晟招标代理服务有限公司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陕西顶晟招标代理服务有限公司</w:t>
      </w:r>
      <w:r>
        <w:rPr>
          <w:rFonts w:ascii="仿宋_GB2312" w:hAnsi="仿宋_GB2312" w:cs="仿宋_GB2312" w:eastAsia="仿宋_GB2312"/>
        </w:rPr>
        <w:t>（以下简称“代理机构”）受</w:t>
      </w:r>
      <w:r>
        <w:rPr>
          <w:rFonts w:ascii="仿宋_GB2312" w:hAnsi="仿宋_GB2312" w:cs="仿宋_GB2312" w:eastAsia="仿宋_GB2312"/>
        </w:rPr>
        <w:t>西安市长安区兴隆街道办事处</w:t>
      </w:r>
      <w:r>
        <w:rPr>
          <w:rFonts w:ascii="仿宋_GB2312" w:hAnsi="仿宋_GB2312" w:cs="仿宋_GB2312" w:eastAsia="仿宋_GB2312"/>
        </w:rPr>
        <w:t>委托，拟对</w:t>
      </w:r>
      <w:r>
        <w:rPr>
          <w:rFonts w:ascii="仿宋_GB2312" w:hAnsi="仿宋_GB2312" w:cs="仿宋_GB2312" w:eastAsia="仿宋_GB2312"/>
        </w:rPr>
        <w:t>兴隆街道莱特二期（GX3-27-19）项目清表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DS2026-CS-030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兴隆街道莱特二期（GX3-27-19）项目清表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该项目位于西安市高新区兴隆街道三堰路以南、堰渡大道以西，清理地块区域内项目用地上的建筑垃圾、堆积垃圾、苗木等地面附着物。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采购包1（兴隆街道莱特二期(GX3-27-19)项目清表）：属于专门面向中小企业采购。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1、法定代表人授权书：法定代表人直接参加磋商的提供法定代表人证明及其身份证；授权代表参与磋商的提供法定代表人授权书（附法定代表人及授权代表身份证）；非法人单位参照执行。</w:t>
      </w:r>
    </w:p>
    <w:p>
      <w:pPr>
        <w:pStyle w:val="null3"/>
      </w:pPr>
      <w:r>
        <w:rPr>
          <w:rFonts w:ascii="仿宋_GB2312" w:hAnsi="仿宋_GB2312" w:cs="仿宋_GB2312" w:eastAsia="仿宋_GB2312"/>
        </w:rPr>
        <w:t>2、信用中国截图：未被列入“信用中国”及“中国政府采购网”失信行为记录。</w:t>
      </w:r>
    </w:p>
    <w:p>
      <w:pPr>
        <w:pStyle w:val="null3"/>
      </w:pPr>
      <w:r>
        <w:rPr>
          <w:rFonts w:ascii="仿宋_GB2312" w:hAnsi="仿宋_GB2312" w:cs="仿宋_GB2312" w:eastAsia="仿宋_GB2312"/>
        </w:rPr>
        <w:t>3、企业资质：供应商具备建设行政主管部门颁发的建筑工程施工总承包三级及以上资质，同时具有合格有效的安全生产许可证。</w:t>
      </w:r>
    </w:p>
    <w:p>
      <w:pPr>
        <w:pStyle w:val="null3"/>
      </w:pPr>
      <w:r>
        <w:rPr>
          <w:rFonts w:ascii="仿宋_GB2312" w:hAnsi="仿宋_GB2312" w:cs="仿宋_GB2312" w:eastAsia="仿宋_GB2312"/>
        </w:rPr>
        <w:t>4、项目经理要求：拟派项目经理须具有建筑工程专业二级及以上注册建造师证书和有效的安全生产考核证书（B证）在本单位注册且无在建工程（提供无在建承诺）。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西安市长安区兴隆街道办事处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西安市高新区兴隆街道西太路与南横线交叉口西北角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029-81130800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陕西顶晟招标代理服务有限公司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陕西省西安市雁塔区科技西路2825号绿地鸿海大厦7幢20704室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刘姣姣、秦刚、权玉洁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17309277028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采购包1：1,653,350.81元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国家发展和改革委员会办公厅关于招标代理服务收费有关问题的通知》（发改办价格〔2003〕857号）及（发改办价格〔2011〕534号）规定工程类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西安市长安区兴隆街道办事处</w:t>
      </w:r>
      <w:r>
        <w:rPr>
          <w:rFonts w:ascii="仿宋_GB2312" w:hAnsi="仿宋_GB2312" w:cs="仿宋_GB2312" w:eastAsia="仿宋_GB2312"/>
        </w:rPr>
        <w:t>和</w:t>
      </w:r>
      <w:r>
        <w:rPr>
          <w:rFonts w:ascii="仿宋_GB2312" w:hAnsi="仿宋_GB2312" w:cs="仿宋_GB2312" w:eastAsia="仿宋_GB2312"/>
        </w:rPr>
        <w:t>陕西顶晟招标代理服务有限公司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西安市长安区兴隆街道办事处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陕西顶晟招标代理服务有限公司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西安市长安区兴隆街道办事处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陕西顶晟招标代理服务有限公司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完工后，供应商向采购人提交验收申请。2）采购人收到验收申请后组织验收，验收时供应商应无条件予以配合并提供及移交项目所需的全部资料；若供应商不配合或者未在规定工期内完工的，采购人将拒绝验收。3）验收依据：磋商文件、响应文件、合同文本、国内相应的标准、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联系人：刘姣姣</w:t>
      </w:r>
    </w:p>
    <w:p>
      <w:pPr>
        <w:pStyle w:val="null3"/>
      </w:pPr>
      <w:r>
        <w:rPr>
          <w:rFonts w:ascii="仿宋_GB2312" w:hAnsi="仿宋_GB2312" w:cs="仿宋_GB2312" w:eastAsia="仿宋_GB2312"/>
        </w:rPr>
        <w:t>联系电话：17309277028</w:t>
      </w:r>
    </w:p>
    <w:p>
      <w:pPr>
        <w:pStyle w:val="null3"/>
      </w:pPr>
      <w:r>
        <w:rPr>
          <w:rFonts w:ascii="仿宋_GB2312" w:hAnsi="仿宋_GB2312" w:cs="仿宋_GB2312" w:eastAsia="仿宋_GB2312"/>
        </w:rPr>
        <w:t>地址：陕西省西安市雁塔区科技西路2825号绿地鸿海大厦7幢20704室</w:t>
      </w:r>
    </w:p>
    <w:p>
      <w:pPr>
        <w:pStyle w:val="null3"/>
      </w:pPr>
      <w:r>
        <w:rPr>
          <w:rFonts w:ascii="仿宋_GB2312" w:hAnsi="仿宋_GB2312" w:cs="仿宋_GB2312" w:eastAsia="仿宋_GB2312"/>
        </w:rPr>
        <w:t>邮编：710086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1,653,350.81</w:t>
      </w:r>
    </w:p>
    <w:p>
      <w:pPr>
        <w:pStyle w:val="null3"/>
      </w:pPr>
      <w:r>
        <w:rPr>
          <w:rFonts w:ascii="仿宋_GB2312" w:hAnsi="仿宋_GB2312" w:cs="仿宋_GB2312" w:eastAsia="仿宋_GB2312"/>
        </w:rPr>
        <w:t>采购包最高限价（元）: 1,653,350.81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工地平整和清理</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1,653,350.81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标的名称：工地平整和清理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16"/>
                <w:b/>
              </w:rPr>
              <w:t>一、项目概况</w:t>
            </w:r>
          </w:p>
          <w:p>
            <w:pPr>
              <w:pStyle w:val="null3"/>
              <w:ind w:firstLine="440"/>
              <w:jc w:val="both"/>
            </w:pPr>
            <w:r>
              <w:rPr>
                <w:rFonts w:ascii="仿宋_GB2312" w:hAnsi="仿宋_GB2312" w:cs="仿宋_GB2312" w:eastAsia="仿宋_GB2312"/>
                <w:sz w:val="16"/>
              </w:rPr>
              <w:t>该项目位于西安市高新区兴隆街道三堰路以南、堰渡大道以西。</w:t>
            </w:r>
          </w:p>
          <w:p>
            <w:pPr>
              <w:pStyle w:val="null3"/>
              <w:jc w:val="both"/>
            </w:pPr>
            <w:r>
              <w:rPr>
                <w:rFonts w:ascii="仿宋_GB2312" w:hAnsi="仿宋_GB2312" w:cs="仿宋_GB2312" w:eastAsia="仿宋_GB2312"/>
                <w:sz w:val="16"/>
              </w:rPr>
              <w:t>因响应政府治污减霾要求，对施工现场环境整治和扬尘污染治理工作常抓不懈，故对本工程施工要求：符合现行《安全生产管理条例》的标准；符合西安市建筑工地创卫达标条件和高新区环卫部门要求。</w:t>
            </w:r>
          </w:p>
          <w:p>
            <w:pPr>
              <w:pStyle w:val="null3"/>
              <w:jc w:val="both"/>
            </w:pPr>
            <w:r>
              <w:rPr>
                <w:rFonts w:ascii="仿宋_GB2312" w:hAnsi="仿宋_GB2312" w:cs="仿宋_GB2312" w:eastAsia="仿宋_GB2312"/>
                <w:sz w:val="16"/>
                <w:b/>
              </w:rPr>
              <w:t>二、工程内容</w:t>
            </w:r>
          </w:p>
          <w:p>
            <w:pPr>
              <w:pStyle w:val="null3"/>
              <w:ind w:firstLine="440"/>
              <w:jc w:val="both"/>
            </w:pPr>
            <w:r>
              <w:rPr>
                <w:rFonts w:ascii="仿宋_GB2312" w:hAnsi="仿宋_GB2312" w:cs="仿宋_GB2312" w:eastAsia="仿宋_GB2312"/>
                <w:sz w:val="16"/>
              </w:rPr>
              <w:t>清理地块区域内项目用地上的建筑垃圾、堆积垃圾、苗木等地面附着物，并按照测量报告及建设单位要求清理挖至所需高程，将场平后的相应垃圾清运至城管执法局指定的垃圾消纳场，使项目用地达到自然平整。垃圾清运距离暂时按照80KM计算。清运完成状态应达到甲方要求的验收标准，验收不合格的不予结算工程款。本工程施工期内伤人及伤物等问题由乙方负责并承担相关责任及费用且报价时应充分考虑回收费用。</w:t>
            </w:r>
          </w:p>
          <w:p>
            <w:pPr>
              <w:pStyle w:val="null3"/>
              <w:jc w:val="both"/>
            </w:pPr>
            <w:r>
              <w:rPr>
                <w:rFonts w:ascii="仿宋_GB2312" w:hAnsi="仿宋_GB2312" w:cs="仿宋_GB2312" w:eastAsia="仿宋_GB2312"/>
                <w:sz w:val="16"/>
                <w:b/>
              </w:rPr>
              <w:t>三、工程量清单</w:t>
            </w:r>
          </w:p>
          <w:tbl>
            <w:tblPr>
              <w:tblInd w:type="dxa" w:w="120"/>
              <w:tblBorders>
                <w:top w:val="none" w:color="000000" w:sz="4"/>
                <w:left w:val="none" w:color="000000" w:sz="4"/>
                <w:bottom w:val="none" w:color="000000" w:sz="4"/>
                <w:right w:val="none" w:color="000000" w:sz="4"/>
                <w:insideH w:val="none"/>
                <w:insideV w:val="none"/>
              </w:tblBorders>
            </w:tblPr>
            <w:tblGrid>
              <w:gridCol w:w="333"/>
              <w:gridCol w:w="333"/>
              <w:gridCol w:w="333"/>
              <w:gridCol w:w="563"/>
              <w:gridCol w:w="966"/>
            </w:tblGrid>
            <w:tr>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序号</w:t>
                  </w:r>
                </w:p>
              </w:tc>
              <w:tc>
                <w:tcPr>
                  <w:tcW w:type="dxa" w:w="3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清单项目</w:t>
                  </w:r>
                </w:p>
              </w:tc>
              <w:tc>
                <w:tcPr>
                  <w:tcW w:type="dxa" w:w="3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单位</w:t>
                  </w:r>
                </w:p>
              </w:tc>
              <w:tc>
                <w:tcPr>
                  <w:tcW w:type="dxa" w:w="5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工程量</w:t>
                  </w:r>
                </w:p>
              </w:tc>
              <w:tc>
                <w:tcPr>
                  <w:tcW w:type="dxa" w:w="9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备注</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硬化地面破碎</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18700.82</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下挖深度≥0.4m至黄土裸露</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2</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垃圾清运</w:t>
                  </w:r>
                </w:p>
              </w:tc>
              <w:tc>
                <w:tcPr>
                  <w:tcW w:type="dxa" w:w="3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m³</w:t>
                  </w:r>
                </w:p>
              </w:tc>
              <w:tc>
                <w:tcPr>
                  <w:tcW w:type="dxa" w:w="5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12048.83</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rPr>
                    <w:t>清表垃圾(含破除地面垃圾)</w:t>
                  </w:r>
                </w:p>
              </w:tc>
            </w:tr>
          </w:tbl>
          <w:p>
            <w:pPr>
              <w:pStyle w:val="null3"/>
            </w:pPr>
            <w:r>
              <w:rPr>
                <w:rFonts w:ascii="仿宋_GB2312" w:hAnsi="仿宋_GB2312" w:cs="仿宋_GB2312" w:eastAsia="仿宋_GB2312"/>
                <w:sz w:val="16"/>
              </w:rPr>
              <w:t>注：本工程量为拟定数量，最终以实际工程量为准结算。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在本项⽬实施过程中涉及的商品包装和快递包装，均应符合《商品包装政府采购需求标准（试⾏）》《快递包装政府采购 需求标准（试⾏）》的要求，确保货物安全运抵服务地点。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施工范围：工程量清单及图纸全部内容。2.工期：10日历天。3.质量标准：合格。4.付款方式：1、预付款，人员、机械进场后，达到付款条件起10个工作日内，支付合同总金额的40.0%；2、进度款，项目竣工后，达到付款条件起10个工作日内，支付合同总金额的40.0%；3、其他，项目进行财政投资结算评审后，甲方依据结算评审审定金额支付剩余合同款项，达到付款条件起10个工作日内，支付合同总金额的20.0%。5.售后要求：接到采购人售后要求后，6小时内远程响应，24小时内给出解决方案，若远程无法解决问题72小时内安排专人到达现场。6.供应商负责完成本项目建设相关工作，凡涉及与本项目相关的施工、设备安装、人员保险、税金、验收等，所有费用一次性计入投标总价，合同履约过程中采购人不再支付其他额外费用。7.知识产权归属和处理方式：供应商应保证所建工程及所投的货物及服务不会出现因第三方提出侵犯其专利权、商标权或其它知识产权而引发法律或经济纠纷，否则由供应商承担全部责任。8.验收：1）项目完工后，供应商向采购人提交验收申请。2）采购人收到验收申请后组织验收，验收时供应商应无条件予以配合并提供及移交项目所需的全部资料；若供应商不配合或者未在规定工期内完工的，采购人将拒绝验收。3）验收依据：磋商文件、响应文件、合同文本、国内相应的标准、规范。9.违约责任与解决争议的方法：1）按照《中华人民共和国民法典》中的相关条款执行。2）供应商提供的工程及服务未达到合同约定标准，或未在约定的工期内完工的，采购人有权终止合同，由此对采购人造成经济损失的，采购人有权要求供应商进行赔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单位参照执行，自然人提供身份证明）；2）具有履行合同所必需的设备和专业技术能力；3）有依法缴纳税收和社会保障资金的良好记录税收缴纳证明；4）参加政府采购活动前三年内，在经营活动中没有重大违法记录；5）法律、行政法规规定的其他条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本采购包是专门面向中小企业预留，参与供应商由符合政策要求的中小企业承接；监狱企业及残疾人福利性单位，视同小、微型企业。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法定代表人直接参加磋商的提供法定代表人证明及其身份证；授权代表参与磋商的提供法定代表人授权书（附法定代表人及授权代表身份证）；非法人单位参照执行。</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信用中国截图</w:t>
            </w:r>
          </w:p>
        </w:tc>
        <w:tc>
          <w:tcPr>
            <w:tcW w:type="dxa" w:w="3322"/>
          </w:tcPr>
          <w:p>
            <w:pPr>
              <w:pStyle w:val="null3"/>
            </w:pPr>
            <w:r>
              <w:rPr>
                <w:rFonts w:ascii="仿宋_GB2312" w:hAnsi="仿宋_GB2312" w:cs="仿宋_GB2312" w:eastAsia="仿宋_GB2312"/>
              </w:rPr>
              <w:t>未被列入“信用中国”及“中国政府采购网”失信行为记录。</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拟派项目经理须具有建筑工程专业二级及以上注册建造师证书和有效的安全生产考核证书（B证）在本单位注册且无在建工程（提供无在建承诺）。</w:t>
            </w:r>
          </w:p>
        </w:tc>
        <w:tc>
          <w:tcPr>
            <w:tcW w:type="dxa" w:w="1661"/>
          </w:tcPr>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按磋商文件要求编制响应文件，满足磋商文件第二章实质性要求条款。</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响应报价唯一，且不高于最高限价。</w:t>
            </w:r>
          </w:p>
        </w:tc>
        <w:tc>
          <w:tcPr>
            <w:tcW w:type="dxa" w:w="1661"/>
          </w:tcPr>
          <w:p>
            <w:pPr>
              <w:pStyle w:val="null3"/>
            </w:pPr>
            <w:r>
              <w:rPr>
                <w:rFonts w:ascii="仿宋_GB2312" w:hAnsi="仿宋_GB2312" w:cs="仿宋_GB2312" w:eastAsia="仿宋_GB2312"/>
              </w:rPr>
              <w:t>响应文件（格式） 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投标方案</w:t>
            </w:r>
          </w:p>
        </w:tc>
        <w:tc>
          <w:tcPr>
            <w:tcW w:type="dxa" w:w="3322"/>
          </w:tcPr>
          <w:p>
            <w:pPr>
              <w:pStyle w:val="null3"/>
            </w:pPr>
            <w:r>
              <w:rPr>
                <w:rFonts w:ascii="仿宋_GB2312" w:hAnsi="仿宋_GB2312" w:cs="仿宋_GB2312" w:eastAsia="仿宋_GB2312"/>
              </w:rPr>
              <w:t>投标方案唯一，不接受备选方案。</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施工总体方案内容至少包括：①项目理解；②施工准备;③施工方法；④重点难点工程分析及解决措施；⑤影响正常施工外在因素分析及对应预案等。此项共5项。1.各条方案内容完全满足采购需求计3分，最高15分；2.方案内容基本满足但不完善计2分；3.方案内容不详尽或不适用于本项目计1分；满分15分，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工程质量的技术组织措施内容至少包括：①质量管理工作流程；②工程质量保障方案；③工程质量控制体系；④材料和构配件的质量控制等；⑤施工检测及工序交验方案等。此项共5项。1.各条方案内容完全满足采购需求计2分，最高10分；2.方案内容基本满足但不完善计1分；3.方案内容不详尽或不适用于本项目计0.5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安全生产技术组织措施内容至少包括：①安全管理制度；②配置安全组织机构；③安全隐患排查、整改制度；④人员行为规范；⑤应急救援机制等。此项共5项。1.各条方案内容完全满足采购需求计2分，最高10分；2.方案内容基本满足但不完善计1分；3.方案内容不详尽或不适用于本项目计0.5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文明施工及环境保护组织措施内容至少包括：①文明及环境保护管理制度；②防尘降噪措施；③节能减排措施；④文明及环境保护施工监督检查机制等。此项共4项。1.投标人提供的方案及措施内容完全满足采购需求，每项计2分，最高8分；2.投标人提供的方案及措施基本满足需求，每项计1分；3.投标人提供的方案及措施内容不详尽或不适用于本项目每项计0.5分；满分8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施工组织和项目管理机构内容至少包括：①项目管理机构图;②岗位安排及职责（配备施工员、安全员、资料员、材料员、质量员）；③管理制度；④相应的协调措施等。此项共4项。1.各条方案内容完全满足采购需求计2分，最高8分；2.方案内容基本满足但不完善计1分；3.方案内容不详尽或不适用于本项目计0.5分；满分8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施工部署与进度计划内容至少包括：①施工总平面布置；②施工进度安排；③工期目标控制和保证措施；④材料供应措施。此项共4项。1.投标人提供的方案及措施内容完全满足采购需求，每项计2分，最高8分；2.投标人提供的方案及措施基本满足需求，每项计1分；3.投标人提供的方案及措施内容不详尽或不适用于本项目每项计0.5分；满分8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施工机械配置和材料投入计划内容至少包括：①施工机械配置计划；②施工材料投入计划；③施工机械的维护保养和材料的贮存；④施工机械、材料的监督和检查等。此项共4项。1.各条方案内容完全满足采购需求计2分，最高8分；2.方案内容基本满足但不完善计1分；3.方案内容不详尽或不适用于本项目计0.5分；满分8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以合同复印件形式提供供应商2021年1月1日至磋商前类似业绩，每份计1.5分，计满3分为止。注：供应商需提供施工合同（含首页、施工内容页、签字盖章页）复印件，否则业绩不予认可。</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响应文件（格式）</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30×（磋商基准价/最后磋商报价）价格分计算：四舍五入，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