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版本号：SXLX26-02-075Z（G）20260518001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永乐小区等8个“已交楼未验收”项目消防整改工程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SXLX26-02-075Z（G）</w:t>
      </w:r>
      <w:r>
        <w:br/>
      </w:r>
      <w:r>
        <w:br/>
      </w:r>
      <w:r>
        <w:br/>
      </w:r>
    </w:p>
    <w:p>
      <w:pPr>
        <w:pStyle w:val="null3"/>
        <w:jc w:val="center"/>
        <w:outlineLvl w:val="2"/>
      </w:pPr>
      <w:r>
        <w:rPr>
          <w:rFonts w:ascii="仿宋_GB2312" w:hAnsi="仿宋_GB2312" w:cs="仿宋_GB2312" w:eastAsia="仿宋_GB2312"/>
          <w:sz w:val="28"/>
          <w:b/>
        </w:rPr>
        <w:t>西安市碑林区住房和城市建设局（本级）</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西安市碑林区住房和城市建设局（本级）</w:t>
      </w:r>
      <w:r>
        <w:rPr>
          <w:rFonts w:ascii="仿宋_GB2312" w:hAnsi="仿宋_GB2312" w:cs="仿宋_GB2312" w:eastAsia="仿宋_GB2312"/>
        </w:rPr>
        <w:t>委托，拟对</w:t>
      </w:r>
      <w:r>
        <w:rPr>
          <w:rFonts w:ascii="仿宋_GB2312" w:hAnsi="仿宋_GB2312" w:cs="仿宋_GB2312" w:eastAsia="仿宋_GB2312"/>
        </w:rPr>
        <w:t>永乐小区等8个“已交楼未验收”项目消防整改工程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SXLX26-02-075Z（G）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永乐小区等8个“已交楼未验收”项目消防整改工程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永乐小区等8个“已交楼未验收”项目消防整改工程，本项目主要包安装微型消防站、应急照明系统、火灾自动报警系统，桥架安装及防火封堵，通风排烟系统；防火门更换及公区防火门加设闭门器、顺序器，防火分隔墙的砌筑及粉刷、标识牌的制作安装，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部门颁发的消防设施工程专业承包二级（及以上）资质，并具备有效的安全生产许可证；（2）具备机电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西安市碑林区住房和城市建设局（本级）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西安市碑林区仁厚庄北路15号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白耀辉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029-87363511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任甜、王小琼、梁嘉峰、魏晴霏、杜航、罗晓妮、李亚男、郑婧婧、王真、周晓青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LED灯具</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室内照明灯具</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请将采购代理服务费汇至下列指定账户： 开户名称：陕西隆信项目管理有限公司 开 户 行：招商银行股份有限公司西安土门支行 账 号：129904064810902 财务部电话：029-88489979-8501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西安市碑林区住房和城市建设局（本级）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西安市碑林区住房和城市建设局（本级）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西安市碑林区住房和城市建设局（本级）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采购人和用地单位现场验收合格为准；1.4供应商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采购人负责配合供应商开展验收工作，提供必要的相关资料，协助协调现场验收相关事宜，验收过程中，供应商需严格遵守西安市消防验收相关规定，配合验收部门及采购人的检查工作。 （2）本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小区消防日常运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联系人：任甜、王小琼、梁嘉峰</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地址：陕西省西安市雁塔区雁翔路111号赛格·中京坊6幢1单元2层10201室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3,605,000.00</w:t>
      </w:r>
    </w:p>
    <w:p>
      <w:pPr>
        <w:pStyle w:val="null3"/>
      </w:pPr>
      <w:r>
        <w:rPr>
          <w:rFonts w:ascii="仿宋_GB2312" w:hAnsi="仿宋_GB2312" w:cs="仿宋_GB2312" w:eastAsia="仿宋_GB2312"/>
        </w:rPr>
        <w:t>采购包最高限价（元）: 3,554,073.62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3,605,000.00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color w:val="0000FF"/>
              </w:rPr>
              <w:t>、项目概况</w:t>
            </w:r>
          </w:p>
          <w:p>
            <w:pPr>
              <w:pStyle w:val="null3"/>
              <w:ind w:firstLine="420"/>
            </w:pPr>
            <w:r>
              <w:rPr>
                <w:rFonts w:ascii="仿宋_GB2312" w:hAnsi="仿宋_GB2312" w:cs="仿宋_GB2312" w:eastAsia="仿宋_GB2312"/>
                <w:sz w:val="21"/>
                <w:color w:val="0000FF"/>
              </w:rPr>
              <w:t>永乐小区等</w:t>
            </w:r>
            <w:r>
              <w:rPr>
                <w:rFonts w:ascii="仿宋_GB2312" w:hAnsi="仿宋_GB2312" w:cs="仿宋_GB2312" w:eastAsia="仿宋_GB2312"/>
                <w:sz w:val="21"/>
                <w:color w:val="0000FF"/>
              </w:rPr>
              <w:t>8个“已交楼未验收”项目消防整改工程，本项目主要包安装微型消防站、应急照明系统、火灾自动报警系统，桥架安装及防火封堵，通风排烟系统；防火门更换及公区防火门加设闭门器、顺序器，防火分隔墙的砌筑及粉刷、标识牌的制作安装，具体以工程量清单为准</w:t>
            </w:r>
            <w:r>
              <w:rPr>
                <w:rFonts w:ascii="仿宋_GB2312" w:hAnsi="仿宋_GB2312" w:cs="仿宋_GB2312" w:eastAsia="仿宋_GB2312"/>
                <w:sz w:val="21"/>
                <w:color w:val="0000FF"/>
              </w:rPr>
              <w:t>。</w:t>
            </w:r>
          </w:p>
          <w:p>
            <w:pPr>
              <w:pStyle w:val="null3"/>
              <w:ind w:firstLine="422"/>
            </w:pPr>
            <w:r>
              <w:rPr>
                <w:rFonts w:ascii="仿宋_GB2312" w:hAnsi="仿宋_GB2312" w:cs="仿宋_GB2312" w:eastAsia="仿宋_GB2312"/>
                <w:sz w:val="21"/>
                <w:b/>
                <w:color w:val="0000FF"/>
              </w:rPr>
              <w:t>本项目所属行业为建筑业。</w:t>
            </w:r>
            <w:r>
              <w:rPr>
                <w:rFonts w:ascii="仿宋_GB2312" w:hAnsi="仿宋_GB2312" w:cs="仿宋_GB2312" w:eastAsia="仿宋_GB2312"/>
                <w:sz w:val="21"/>
                <w:color w:val="0000FF"/>
              </w:rPr>
              <w:t>（营业收入</w:t>
            </w:r>
            <w:r>
              <w:rPr>
                <w:rFonts w:ascii="仿宋_GB2312" w:hAnsi="仿宋_GB2312" w:cs="仿宋_GB2312" w:eastAsia="仿宋_GB2312"/>
                <w:sz w:val="21"/>
                <w:color w:val="0000FF"/>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1"/>
                <w:b/>
                <w:color w:val="0000FF"/>
              </w:rPr>
              <w:t>二、工程内容和施工地点、计划工期、缺陷责任期、质量保修期</w:t>
            </w:r>
          </w:p>
          <w:p>
            <w:pPr>
              <w:pStyle w:val="null3"/>
              <w:jc w:val="both"/>
            </w:pPr>
            <w:r>
              <w:rPr>
                <w:rFonts w:ascii="仿宋_GB2312" w:hAnsi="仿宋_GB2312" w:cs="仿宋_GB2312" w:eastAsia="仿宋_GB2312"/>
                <w:sz w:val="21"/>
                <w:color w:val="0000FF"/>
              </w:rPr>
              <w:t>（一）工程内容：本项目主要包安装微型消防站、应急照明系统、火灾自动报警系统，桥架安装及防火封堵，通风排烟系统；防火门更换及公区防火门加设闭门器、顺序器，防火分隔墙的砌筑及粉刷、标识牌的制作安装，具体以工程量清单为准。</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二</w:t>
            </w:r>
            <w:r>
              <w:rPr>
                <w:rFonts w:ascii="仿宋_GB2312" w:hAnsi="仿宋_GB2312" w:cs="仿宋_GB2312" w:eastAsia="仿宋_GB2312"/>
                <w:sz w:val="21"/>
                <w:color w:val="0000FF"/>
              </w:rPr>
              <w:t>）工程地点：西安市碑林区</w:t>
            </w:r>
            <w:r>
              <w:rPr>
                <w:rFonts w:ascii="仿宋_GB2312" w:hAnsi="仿宋_GB2312" w:cs="仿宋_GB2312" w:eastAsia="仿宋_GB2312"/>
                <w:sz w:val="21"/>
                <w:color w:val="0000FF"/>
              </w:rPr>
              <w:t>：</w:t>
            </w:r>
            <w:r>
              <w:rPr>
                <w:rFonts w:ascii="仿宋_GB2312" w:hAnsi="仿宋_GB2312" w:cs="仿宋_GB2312" w:eastAsia="仿宋_GB2312"/>
                <w:sz w:val="21"/>
                <w:color w:val="0000FF"/>
              </w:rPr>
              <w:t>第一公寓</w:t>
            </w:r>
            <w:r>
              <w:rPr>
                <w:rFonts w:ascii="仿宋_GB2312" w:hAnsi="仿宋_GB2312" w:cs="仿宋_GB2312" w:eastAsia="仿宋_GB2312"/>
                <w:sz w:val="21"/>
                <w:color w:val="0000FF"/>
              </w:rPr>
              <w:t>D座、东三道巷21号安置楼、鸡市拐阳光家园、纪检委监察厅家属院、索罗巷安顺安置楼、咸宁广场、永乐小区1#~4#楼、公安五处。</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三</w:t>
            </w:r>
            <w:r>
              <w:rPr>
                <w:rFonts w:ascii="仿宋_GB2312" w:hAnsi="仿宋_GB2312" w:cs="仿宋_GB2312" w:eastAsia="仿宋_GB2312"/>
                <w:sz w:val="21"/>
                <w:color w:val="0000FF"/>
              </w:rPr>
              <w:t>）计划工期：自进场之日起</w:t>
            </w:r>
            <w:r>
              <w:rPr>
                <w:rFonts w:ascii="仿宋_GB2312" w:hAnsi="仿宋_GB2312" w:cs="仿宋_GB2312" w:eastAsia="仿宋_GB2312"/>
                <w:sz w:val="21"/>
                <w:color w:val="0000FF"/>
              </w:rPr>
              <w:t>60</w:t>
            </w:r>
            <w:r>
              <w:rPr>
                <w:rFonts w:ascii="仿宋_GB2312" w:hAnsi="仿宋_GB2312" w:cs="仿宋_GB2312" w:eastAsia="仿宋_GB2312"/>
                <w:sz w:val="21"/>
                <w:color w:val="0000FF"/>
              </w:rPr>
              <w:t>个日历日内竣工。</w:t>
            </w:r>
          </w:p>
          <w:p>
            <w:pPr>
              <w:pStyle w:val="null3"/>
              <w:spacing w:before="90" w:after="9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四</w:t>
            </w:r>
            <w:r>
              <w:rPr>
                <w:rFonts w:ascii="仿宋_GB2312" w:hAnsi="仿宋_GB2312" w:cs="仿宋_GB2312" w:eastAsia="仿宋_GB2312"/>
                <w:sz w:val="21"/>
                <w:color w:val="0000FF"/>
              </w:rPr>
              <w:t>）缺陷责任期：本工程缺陷责任期为</w:t>
            </w:r>
            <w:r>
              <w:rPr>
                <w:rFonts w:ascii="仿宋_GB2312" w:hAnsi="仿宋_GB2312" w:cs="仿宋_GB2312" w:eastAsia="仿宋_GB2312"/>
                <w:sz w:val="21"/>
                <w:color w:val="0000FF"/>
              </w:rPr>
              <w:t>2年，缺陷责任期自工程竣工验收合格之日起计算。</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五</w:t>
            </w:r>
            <w:r>
              <w:rPr>
                <w:rFonts w:ascii="仿宋_GB2312" w:hAnsi="仿宋_GB2312" w:cs="仿宋_GB2312" w:eastAsia="仿宋_GB2312"/>
                <w:sz w:val="21"/>
                <w:color w:val="0000FF"/>
              </w:rPr>
              <w:t>）质量保修期：</w:t>
            </w:r>
            <w:r>
              <w:rPr>
                <w:rFonts w:ascii="仿宋_GB2312" w:hAnsi="仿宋_GB2312" w:cs="仿宋_GB2312" w:eastAsia="仿宋_GB2312"/>
                <w:sz w:val="21"/>
                <w:color w:val="0000FF"/>
              </w:rPr>
              <w:t>自验收合格之日起</w:t>
            </w:r>
            <w:r>
              <w:rPr>
                <w:rFonts w:ascii="仿宋_GB2312" w:hAnsi="仿宋_GB2312" w:cs="仿宋_GB2312" w:eastAsia="仿宋_GB2312"/>
                <w:sz w:val="21"/>
                <w:color w:val="0000FF"/>
                <w:u w:val="single"/>
              </w:rPr>
              <w:t>2</w:t>
            </w:r>
            <w:r>
              <w:rPr>
                <w:rFonts w:ascii="仿宋_GB2312" w:hAnsi="仿宋_GB2312" w:cs="仿宋_GB2312" w:eastAsia="仿宋_GB2312"/>
                <w:sz w:val="21"/>
                <w:color w:val="0000FF"/>
              </w:rPr>
              <w:t>年</w:t>
            </w:r>
            <w:r>
              <w:rPr>
                <w:rFonts w:ascii="仿宋_GB2312" w:hAnsi="仿宋_GB2312" w:cs="仿宋_GB2312" w:eastAsia="仿宋_GB2312"/>
                <w:sz w:val="21"/>
                <w:color w:val="0000FF"/>
              </w:rPr>
              <w:t>。</w:t>
            </w:r>
          </w:p>
          <w:p>
            <w:pPr>
              <w:pStyle w:val="null3"/>
              <w:spacing w:before="90" w:after="90"/>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六</w:t>
            </w:r>
            <w:r>
              <w:rPr>
                <w:rFonts w:ascii="仿宋_GB2312" w:hAnsi="仿宋_GB2312" w:cs="仿宋_GB2312" w:eastAsia="仿宋_GB2312"/>
                <w:sz w:val="21"/>
                <w:color w:val="0000FF"/>
              </w:rPr>
              <w:t>）质量要求：合格。</w:t>
            </w:r>
          </w:p>
          <w:p>
            <w:pPr>
              <w:pStyle w:val="null3"/>
              <w:jc w:val="both"/>
            </w:pPr>
            <w:r>
              <w:rPr>
                <w:rFonts w:ascii="仿宋_GB2312" w:hAnsi="仿宋_GB2312" w:cs="仿宋_GB2312" w:eastAsia="仿宋_GB2312"/>
                <w:sz w:val="21"/>
                <w:b/>
                <w:color w:val="0000FF"/>
              </w:rPr>
              <w:t>三、工程量清单和计价依据</w:t>
            </w:r>
          </w:p>
          <w:p>
            <w:pPr>
              <w:pStyle w:val="null3"/>
              <w:jc w:val="both"/>
            </w:pPr>
            <w:r>
              <w:rPr>
                <w:rFonts w:ascii="仿宋_GB2312" w:hAnsi="仿宋_GB2312" w:cs="仿宋_GB2312" w:eastAsia="仿宋_GB2312"/>
                <w:sz w:val="21"/>
                <w:color w:val="0000FF"/>
              </w:rPr>
              <w:t>1．施工图纸。</w:t>
            </w:r>
          </w:p>
          <w:p>
            <w:pPr>
              <w:pStyle w:val="null3"/>
              <w:jc w:val="both"/>
            </w:pPr>
            <w:r>
              <w:rPr>
                <w:rFonts w:ascii="仿宋_GB2312" w:hAnsi="仿宋_GB2312" w:cs="仿宋_GB2312" w:eastAsia="仿宋_GB2312"/>
                <w:sz w:val="21"/>
                <w:color w:val="0000FF"/>
              </w:rPr>
              <w:t>2．图纸答疑。</w:t>
            </w:r>
          </w:p>
          <w:p>
            <w:pPr>
              <w:pStyle w:val="null3"/>
              <w:jc w:val="both"/>
            </w:pPr>
            <w:r>
              <w:rPr>
                <w:rFonts w:ascii="仿宋_GB2312" w:hAnsi="仿宋_GB2312" w:cs="仿宋_GB2312" w:eastAsia="仿宋_GB2312"/>
                <w:sz w:val="21"/>
                <w:color w:val="0000FF"/>
              </w:rPr>
              <w:t>3．《陕西省建设工程工程量清单计价规则》（2025版）、《陕西省建筑、装饰、安装工程消耗量定额》（2025版）、及其配套的有关省市文件。</w:t>
            </w:r>
          </w:p>
          <w:p>
            <w:pPr>
              <w:pStyle w:val="null3"/>
              <w:jc w:val="both"/>
            </w:pPr>
            <w:r>
              <w:rPr>
                <w:rFonts w:ascii="仿宋_GB2312" w:hAnsi="仿宋_GB2312" w:cs="仿宋_GB2312" w:eastAsia="仿宋_GB2312"/>
                <w:sz w:val="21"/>
                <w:color w:val="0000FF"/>
              </w:rPr>
              <w:t>4.工程量清单电子版使用广联达云计价软件GCCP7.0（版本号：7.5000.23.2）。</w:t>
            </w:r>
          </w:p>
          <w:p>
            <w:pPr>
              <w:pStyle w:val="null3"/>
              <w:jc w:val="both"/>
            </w:pPr>
            <w:r>
              <w:rPr>
                <w:rFonts w:ascii="仿宋_GB2312" w:hAnsi="仿宋_GB2312" w:cs="仿宋_GB2312" w:eastAsia="仿宋_GB2312"/>
                <w:sz w:val="21"/>
                <w:color w:val="0000FF"/>
              </w:rPr>
              <w:t>5.本工程材料价格按陕西省2026年3月信息价及市场询价。</w:t>
            </w:r>
          </w:p>
          <w:p>
            <w:pPr>
              <w:pStyle w:val="null3"/>
              <w:jc w:val="both"/>
            </w:pPr>
            <w:r>
              <w:rPr>
                <w:rFonts w:ascii="仿宋_GB2312" w:hAnsi="仿宋_GB2312" w:cs="仿宋_GB2312" w:eastAsia="仿宋_GB2312"/>
                <w:sz w:val="21"/>
                <w:color w:val="0000FF"/>
              </w:rPr>
              <w:t>（</w:t>
            </w:r>
            <w:r>
              <w:rPr>
                <w:rFonts w:ascii="仿宋_GB2312" w:hAnsi="仿宋_GB2312" w:cs="仿宋_GB2312" w:eastAsia="仿宋_GB2312"/>
                <w:sz w:val="21"/>
                <w:color w:val="0000FF"/>
              </w:rPr>
              <w:t>二</w:t>
            </w:r>
            <w:r>
              <w:rPr>
                <w:rFonts w:ascii="仿宋_GB2312" w:hAnsi="仿宋_GB2312" w:cs="仿宋_GB2312" w:eastAsia="仿宋_GB2312"/>
                <w:sz w:val="21"/>
                <w:color w:val="0000FF"/>
              </w:rPr>
              <w:t>）暂列金额：</w:t>
            </w:r>
            <w:r>
              <w:rPr>
                <w:rFonts w:ascii="仿宋_GB2312" w:hAnsi="仿宋_GB2312" w:cs="仿宋_GB2312" w:eastAsia="仿宋_GB2312"/>
                <w:sz w:val="21"/>
                <w:color w:val="0000FF"/>
              </w:rPr>
              <w:t>/</w:t>
            </w:r>
          </w:p>
          <w:p>
            <w:pPr>
              <w:pStyle w:val="null3"/>
              <w:jc w:val="both"/>
            </w:pPr>
            <w:r>
              <w:rPr>
                <w:rFonts w:ascii="仿宋_GB2312" w:hAnsi="仿宋_GB2312" w:cs="仿宋_GB2312" w:eastAsia="仿宋_GB2312"/>
                <w:sz w:val="21"/>
                <w:b/>
                <w:color w:val="0000FF"/>
              </w:rPr>
              <w:t>四、施工要求</w:t>
            </w:r>
          </w:p>
          <w:p>
            <w:pPr>
              <w:pStyle w:val="null3"/>
              <w:jc w:val="both"/>
            </w:pPr>
            <w:r>
              <w:rPr>
                <w:rFonts w:ascii="仿宋_GB2312" w:hAnsi="仿宋_GB2312" w:cs="仿宋_GB2312" w:eastAsia="仿宋_GB2312"/>
                <w:sz w:val="21"/>
                <w:color w:val="0000FF"/>
              </w:rPr>
              <w:t>1.在施工期间，供应商必须注意</w:t>
            </w:r>
            <w:r>
              <w:rPr>
                <w:rFonts w:ascii="仿宋_GB2312" w:hAnsi="仿宋_GB2312" w:cs="仿宋_GB2312" w:eastAsia="仿宋_GB2312"/>
                <w:sz w:val="21"/>
                <w:color w:val="0000FF"/>
              </w:rPr>
              <w:t>施工现场</w:t>
            </w:r>
            <w:r>
              <w:rPr>
                <w:rFonts w:ascii="仿宋_GB2312" w:hAnsi="仿宋_GB2312" w:cs="仿宋_GB2312" w:eastAsia="仿宋_GB2312"/>
                <w:sz w:val="21"/>
                <w:color w:val="0000FF"/>
              </w:rPr>
              <w:t>人员安全，加强安全措施，并对施工人员进行安全教育。施工人员必须持证上岗。</w:t>
            </w:r>
          </w:p>
          <w:p>
            <w:pPr>
              <w:pStyle w:val="null3"/>
              <w:jc w:val="both"/>
            </w:pPr>
            <w:r>
              <w:rPr>
                <w:rFonts w:ascii="仿宋_GB2312" w:hAnsi="仿宋_GB2312" w:cs="仿宋_GB2312" w:eastAsia="仿宋_GB2312"/>
                <w:sz w:val="21"/>
                <w:color w:val="0000FF"/>
              </w:rPr>
              <w:t>2.供应商根据工程实际情况编制施工方案，制定工期进度安排表。</w:t>
            </w:r>
          </w:p>
          <w:p>
            <w:pPr>
              <w:pStyle w:val="null3"/>
              <w:jc w:val="both"/>
            </w:pPr>
            <w:r>
              <w:rPr>
                <w:rFonts w:ascii="仿宋_GB2312" w:hAnsi="仿宋_GB2312" w:cs="仿宋_GB2312" w:eastAsia="仿宋_GB2312"/>
                <w:sz w:val="21"/>
                <w:color w:val="0000FF"/>
              </w:rPr>
              <w:t>3.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both"/>
            </w:pPr>
            <w:r>
              <w:rPr>
                <w:rFonts w:ascii="仿宋_GB2312" w:hAnsi="仿宋_GB2312" w:cs="仿宋_GB2312" w:eastAsia="仿宋_GB2312"/>
                <w:sz w:val="21"/>
                <w:color w:val="0000FF"/>
              </w:rPr>
              <w:t>4.施工过程中，严格遵守建设单位的各种管理规定及规章制度，做到文明施工。发生工伤及意外事故由施工单位负责。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sz w:val="21"/>
                <w:color w:val="0000FF"/>
              </w:rPr>
              <w:t>5.严格按照国家和省上有关规定施工、规范施工，确保工程合格，如有更改须事先征得有关方面的同意，并在采购人落实后实施，并出具书面说明。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color w:val="0000FF"/>
              </w:rPr>
              <w:t>6.工程实行包工包料，供应商必须具备相应的资质，不得转包、分包。</w:t>
            </w:r>
          </w:p>
          <w:p>
            <w:pPr>
              <w:pStyle w:val="null3"/>
              <w:jc w:val="both"/>
            </w:pPr>
            <w:r>
              <w:rPr>
                <w:rFonts w:ascii="仿宋_GB2312" w:hAnsi="仿宋_GB2312" w:cs="仿宋_GB2312" w:eastAsia="仿宋_GB2312"/>
                <w:sz w:val="21"/>
                <w:color w:val="0000FF"/>
              </w:rPr>
              <w:t>7.供应商根据工程实际情况编制施工方案，制定工期进度安排表，并随磋商响应文件一并提交。</w:t>
            </w:r>
          </w:p>
          <w:p>
            <w:pPr>
              <w:pStyle w:val="null3"/>
              <w:jc w:val="both"/>
            </w:pPr>
            <w:r>
              <w:rPr>
                <w:rFonts w:ascii="仿宋_GB2312" w:hAnsi="仿宋_GB2312" w:cs="仿宋_GB2312" w:eastAsia="仿宋_GB2312"/>
                <w:sz w:val="21"/>
                <w:color w:val="0000FF"/>
              </w:rPr>
              <w:t>8.施工过程中，严格遵守采购人的各种管理规定及规章制度，做到文明施工。发生工伤及意外事故由施工单位负责。</w:t>
            </w:r>
          </w:p>
          <w:p>
            <w:pPr>
              <w:pStyle w:val="null3"/>
              <w:jc w:val="both"/>
            </w:pPr>
            <w:r>
              <w:rPr>
                <w:rFonts w:ascii="仿宋_GB2312" w:hAnsi="仿宋_GB2312" w:cs="仿宋_GB2312" w:eastAsia="仿宋_GB2312"/>
                <w:sz w:val="21"/>
                <w:color w:val="0000FF"/>
              </w:rPr>
              <w:t>9.严格按照国家和省上有关规定施工、规范施工，确保工程合格，如有更改须事先征得有关方面的同意，并在采购人落实后实施，并出具书面说明。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color w:val="0000FF"/>
              </w:rPr>
              <w:t>10.所有进场材料需携带合格证等质量证明文件，所有提供的材料均需使用环保产品，对</w:t>
            </w:r>
            <w:r>
              <w:rPr>
                <w:rFonts w:ascii="仿宋_GB2312" w:hAnsi="仿宋_GB2312" w:cs="仿宋_GB2312" w:eastAsia="仿宋_GB2312"/>
                <w:sz w:val="21"/>
                <w:color w:val="0000FF"/>
              </w:rPr>
              <w:t>小区内住户</w:t>
            </w:r>
            <w:r>
              <w:rPr>
                <w:rFonts w:ascii="仿宋_GB2312" w:hAnsi="仿宋_GB2312" w:cs="仿宋_GB2312" w:eastAsia="仿宋_GB2312"/>
                <w:sz w:val="21"/>
                <w:color w:val="0000FF"/>
              </w:rPr>
              <w:t>的健康无危害，由采购人现场代表对所进场材料予以验收并签字确认。</w:t>
            </w:r>
          </w:p>
          <w:p>
            <w:pPr>
              <w:pStyle w:val="null3"/>
              <w:jc w:val="both"/>
            </w:pPr>
            <w:r>
              <w:rPr>
                <w:rFonts w:ascii="仿宋_GB2312" w:hAnsi="仿宋_GB2312" w:cs="仿宋_GB2312" w:eastAsia="仿宋_GB2312"/>
                <w:sz w:val="21"/>
                <w:color w:val="0000FF"/>
              </w:rPr>
              <w:t>11.施工期间需采取必要措施确保现场正常运行。</w:t>
            </w:r>
          </w:p>
          <w:p>
            <w:pPr>
              <w:pStyle w:val="null3"/>
              <w:jc w:val="both"/>
            </w:pPr>
            <w:r>
              <w:rPr>
                <w:rFonts w:ascii="仿宋_GB2312" w:hAnsi="仿宋_GB2312" w:cs="仿宋_GB2312" w:eastAsia="仿宋_GB2312"/>
                <w:sz w:val="21"/>
                <w:color w:val="0000FF"/>
              </w:rPr>
              <w:t>12.所有施工人员需统一着装统一单位标识，严禁随意通行。</w:t>
            </w:r>
          </w:p>
          <w:p>
            <w:pPr>
              <w:pStyle w:val="null3"/>
              <w:jc w:val="both"/>
            </w:pPr>
            <w:r>
              <w:rPr>
                <w:rFonts w:ascii="仿宋_GB2312" w:hAnsi="仿宋_GB2312" w:cs="仿宋_GB2312" w:eastAsia="仿宋_GB2312"/>
                <w:sz w:val="21"/>
                <w:color w:val="0000FF"/>
              </w:rPr>
              <w:t>13.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both"/>
            </w:pPr>
            <w:r>
              <w:rPr>
                <w:rFonts w:ascii="仿宋_GB2312" w:hAnsi="仿宋_GB2312" w:cs="仿宋_GB2312" w:eastAsia="仿宋_GB2312"/>
                <w:sz w:val="21"/>
                <w:color w:val="0000FF"/>
              </w:rPr>
              <w:t>14.供应商必须向采购人及时提供合格证及材料检验单。在征得有关方面认可后，方可进行施工，并做好相应的检验环节。</w:t>
            </w:r>
          </w:p>
          <w:p>
            <w:pPr>
              <w:pStyle w:val="null3"/>
              <w:jc w:val="both"/>
            </w:pPr>
            <w:r>
              <w:rPr>
                <w:rFonts w:ascii="仿宋_GB2312" w:hAnsi="仿宋_GB2312" w:cs="仿宋_GB2312" w:eastAsia="仿宋_GB2312"/>
                <w:sz w:val="21"/>
                <w:color w:val="0000FF"/>
              </w:rPr>
              <w:t>15.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sz w:val="21"/>
                <w:b/>
                <w:color w:val="0000FF"/>
              </w:rPr>
              <w:t>五、商务要求（如合同价款及结算方式等）</w:t>
            </w:r>
          </w:p>
          <w:p>
            <w:pPr>
              <w:pStyle w:val="null3"/>
            </w:pPr>
            <w:r>
              <w:rPr>
                <w:rFonts w:ascii="仿宋_GB2312" w:hAnsi="仿宋_GB2312" w:cs="仿宋_GB2312" w:eastAsia="仿宋_GB2312"/>
                <w:sz w:val="21"/>
                <w:color w:val="0000FF"/>
              </w:rPr>
              <w:t>款项结算：合同签订且达到付款条件之日起</w:t>
            </w:r>
            <w:r>
              <w:rPr>
                <w:rFonts w:ascii="仿宋_GB2312" w:hAnsi="仿宋_GB2312" w:cs="仿宋_GB2312" w:eastAsia="仿宋_GB2312"/>
                <w:sz w:val="21"/>
                <w:color w:val="0000FF"/>
              </w:rPr>
              <w:t>15日内，采购人向供应商支付合同总价40%作为工程预付款；工程竣工验收合格并达到付款条件之日起 15 日内，支付至合同总价的80.00%。竣工验收合格后，由成交供应商报送完整结算资料，结算资料经审核审定完毕后 15 个工作日内，采购人支付至项目最终决算总价款</w:t>
            </w:r>
            <w:r>
              <w:rPr>
                <w:rFonts w:ascii="仿宋_GB2312" w:hAnsi="仿宋_GB2312" w:cs="仿宋_GB2312" w:eastAsia="仿宋_GB2312"/>
                <w:sz w:val="21"/>
                <w:color w:val="0000FF"/>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采购人和用地单位现场验收合格为准；1.4供应商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采购人负责配合供应商开展验收工作，提供必要的相关资料，协助协调现场验收相关事宜，验收过程中，供应商需严格遵守西安市消防验收相关规定，配合验收部门及采购人的检查工作。 （2）本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小区消防日常运营使用。 （3）验收结果合格的，采购人应向成交供应商出具履约验收报告，成交供应商凭验收报告办理相关手续。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2025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 三、供应商的磋商报价包括施工设备费、人工费、管理费、材料与设备费、安装费、维护费、保险费、采购代理服务费、造价咨询服务费、税金、利润、风险、责任等所有费用，并符合建设工程计价规则。已标价工程量清单应当按照采购文件中规定的暂列金额、专业工程暂估价、材料设备暂估价进行报价，否则将按无效响应处理。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八、签名是指手写签名或者加盖名章(含电子)，盖章是指加盖单位印章。 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按照电子化全流程要求，投标（响应）文件递交时，签到的人员信息应为法定代表人或授权委托人。 （3）供应商提供的投标（响应）函； （4）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以评审现场查询结果为准。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部门颁发的消防设施工程专业承包二级（及以上）资质，并具备有效的安全生产许可证；（2）具备机电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或全国建筑市场监管公共服务平台（四库一平台）（https://jzsc.mohurd.gov.cn/home）可查询；（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商务技术文件.docx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商务技术文件.docx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1、已标价工程量清单的扉页(仅指投标总价扉页)应由注册在本单位的造价人员签字并盖执业印章；2、已标价工程量清单的扉页（仅指投标总价扉页），由受托第三方咨询公司编制的，扉页由受托咨询公司的注册造价师签字并盖执业印章，同时提供与受托第三方咨询公司委托咨询合同）</w:t>
            </w:r>
          </w:p>
        </w:tc>
        <w:tc>
          <w:tcPr>
            <w:tcW w:type="dxa" w:w="1661"/>
          </w:tcPr>
          <w:p>
            <w:pPr>
              <w:pStyle w:val="null3"/>
            </w:pPr>
            <w:r>
              <w:rPr>
                <w:rFonts w:ascii="仿宋_GB2312" w:hAnsi="仿宋_GB2312" w:cs="仿宋_GB2312" w:eastAsia="仿宋_GB2312"/>
              </w:rPr>
              <w:t>响应文件封面 已标价工程量清单 商务技术文件.docx 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①施工目标:成本目标、工期目标、质量目标； ②施工准备：技术准备、材料准备、机械准备、机具准备； ③施工平面布置与安排：现场围挡及出入口管理、交通组织安排、消防及道路安排。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①施工进度计划横道图； ②进度计划保证措施； ③工期保证措施。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①火灾报警工程施工方案； ②消火栓、自喷工程施工方案； ③应急照明工程施工方案； ④消防排烟通风工程施工方案； ⑤消防电气工程施工方案； ⑥气体灭火工程施工方案。 二、评分标准 根据以上六项内容，每项一处内容存在缺陷扣0.5分，单项最多扣2分，扣完为止，未提供或提供的内容与本项目不符计0分。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①安全生产管理制度； ②安全施工措施； ③安全应急预案； ④安全生产教育。 二、评分标准 根据以上四项内容，每项一处内容存在缺陷扣0.5分，单项最多扣2分，扣完为止，未提供或提供的内容与本项目不符计0分。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①成品保护措施； ②季节性施工措施； ③消防保卫措施； ④环境保护措施。 二、评分标准 根据以上四项内容，每项一处内容存在缺陷扣0.5分，单项最多扣2分，扣完为止，未提供或提供的内容与本项目不符计0分。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①质量目标管理体系； ②施工质量的检验制度； ③确保质量的技术组织措施及控制措施。 二、评分标准 根据以上三项内容，每项一处内容存在缺陷扣0.5分，单项最多扣2分，扣完为止，未提供或提供的内容与本项目不符计0分。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①文明施工管理目标及技术措施； ②文明施工现场管理：材料管理、防扰民措施。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①新材料应用情况； ②新技术和新工艺的应用情况。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施工重难点分析及解决方案</w:t>
            </w:r>
          </w:p>
        </w:tc>
        <w:tc>
          <w:tcPr>
            <w:tcW w:type="dxa" w:w="2492"/>
          </w:tcPr>
          <w:p>
            <w:pPr>
              <w:pStyle w:val="null3"/>
            </w:pPr>
            <w:r>
              <w:rPr>
                <w:rFonts w:ascii="仿宋_GB2312" w:hAnsi="仿宋_GB2312" w:cs="仿宋_GB2312" w:eastAsia="仿宋_GB2312"/>
              </w:rPr>
              <w:t>一、评审内容 ①针对本项目各施工部分的重难点分析； ②针对重难点分析后的预防及解决措施等内容。 二、评分标准 根据以上两项内容，每项一处内容存在缺陷扣0.5分，单项最多扣2分，扣完为止，未提供或提供的内容与本项目不符计0分。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人员方案</w:t>
            </w:r>
          </w:p>
        </w:tc>
        <w:tc>
          <w:tcPr>
            <w:tcW w:type="dxa" w:w="2492"/>
          </w:tcPr>
          <w:p>
            <w:pPr>
              <w:pStyle w:val="null3"/>
            </w:pPr>
            <w:r>
              <w:rPr>
                <w:rFonts w:ascii="仿宋_GB2312" w:hAnsi="仿宋_GB2312" w:cs="仿宋_GB2312" w:eastAsia="仿宋_GB2312"/>
              </w:rPr>
              <w:t>一、评审内容 项目组成人员结构合理， 根据工程专业特点，配备项目经理、技术负责人、施工、安全、质量、资料、材料等管理人员满足本项目施工需求。 二、评分标准 ①人员结构科学合理，专业岗位配置完整齐全，人员资质经验完全匹配项目要求，全面满足施工全过程需求，得7分； ②人员结构较为合理，主要岗位配置齐全，少数辅助岗位略有欠缺，整体可满足项目正常施工需求，得4分； ③人员结构一般，核心岗位基本配齐，部分关键岗位人员配置不足，仅能勉强适配基础施工工作，得3分； ④人员结构存在明显缺陷，多处重要岗位缺失，人员配置不齐，难以保障项目有序施工，得1分； ⑤未报送任何项目组成人员相关资料，无人员配置方案，得0分。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每种产品得0.5分，最高得0.5分，没有不得分。（产品名称详见采购文件第二章：落实节能、环保产品政策第3项）</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主要材料与设备为节能产品</w:t>
            </w:r>
          </w:p>
        </w:tc>
        <w:tc>
          <w:tcPr>
            <w:tcW w:type="dxa" w:w="2492"/>
          </w:tcPr>
          <w:p>
            <w:pPr>
              <w:pStyle w:val="null3"/>
            </w:pPr>
            <w:r>
              <w:rPr>
                <w:rFonts w:ascii="仿宋_GB2312" w:hAnsi="仿宋_GB2312" w:cs="仿宋_GB2312" w:eastAsia="仿宋_GB2312"/>
              </w:rPr>
              <w:t>主要材料与设备为节能产品，每种产品得0.5分，最高得0.5分，没有不得分；属强制节能产品的不再得分，未提供该产品的按无效响应文件处理。（产品名称详见采购文件第二章：落实节能、环保产品政策第3项）</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具有2021年1月1日至今的消防施工业绩(以合同签订日期为准)，业绩以合同复印件为依据，缺一不可。每个业绩计2分，2个以上(含2个)计4分。未提供计0分。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供应商人报价扣除幅度如下： 供应商为小微企业且全部工程内容均由小微企业承接的，给予报价扣除3% 优惠政策；只要有大中型企业承接工程情形的，不得享受价格扣除优惠政策</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