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版本号：ZMZB2026XBZF-134.1B120260623001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2026年度研究生学位论文校外盲审招标项目(二次)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ZMZB2026XBZF-134.1B1</w:t>
      </w:r>
      <w:r>
        <w:br/>
      </w:r>
      <w:r>
        <w:br/>
      </w:r>
      <w:r>
        <w:br/>
      </w:r>
    </w:p>
    <w:p>
      <w:pPr>
        <w:pStyle w:val="null3"/>
        <w:jc w:val="center"/>
        <w:outlineLvl w:val="5"/>
      </w:pPr>
      <w:r>
        <w:rPr>
          <w:rFonts w:ascii="仿宋_GB2312" w:hAnsi="仿宋_GB2312" w:cs="仿宋_GB2312" w:eastAsia="仿宋_GB2312"/>
          <w:sz w:val="15"/>
          <w:b/>
        </w:rPr>
        <w:t>西北政法大学</w:t>
      </w:r>
    </w:p>
    <w:p>
      <w:pPr>
        <w:pStyle w:val="null3"/>
        <w:jc w:val="center"/>
        <w:outlineLvl w:val="5"/>
      </w:pPr>
      <w:r>
        <w:rPr>
          <w:rFonts w:ascii="仿宋_GB2312" w:hAnsi="仿宋_GB2312" w:cs="仿宋_GB2312" w:eastAsia="仿宋_GB2312"/>
          <w:sz w:val="15"/>
          <w:b/>
        </w:rPr>
        <w:t>陕西卓佲项目管理有限公司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2026年度研究生学位论文校外盲审招标项目(二次)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ZMZB2026XBZF-134.1B1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2026年度研究生学位论文校外盲审招标项目(二次)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2026年度研究生学位论文校外盲审招标项目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029-88182569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采购包1：1,040,000.00元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采购包1：1,040,000.00元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代理服务费收费标准：参照国家计委《招标代理服务收费管理暂行办法》（计价格[2002]1980号）和国家发改委《关于招标代理服务收费有关问题的通知》（发改办价格[2003]857号）的标准作为代理费报价。 供应商将招标代理服务费计入响应报价但不单独列明，中标（成交）单位在领取中标通知书前，须向采购代理机构一次性支付招标代理服务费；代理服务费以转账、电汇或现金等形式交纳。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2026年度研究生学位论文校外盲审招标项目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1,040,000.00</w:t>
      </w:r>
    </w:p>
    <w:p>
      <w:pPr>
        <w:pStyle w:val="null3"/>
      </w:pPr>
      <w:r>
        <w:rPr>
          <w:rFonts w:ascii="仿宋_GB2312" w:hAnsi="仿宋_GB2312" w:cs="仿宋_GB2312" w:eastAsia="仿宋_GB2312"/>
        </w:rPr>
        <w:t>采购包最高限价（元）: 1,040,000.00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2026年度研究生学位论文校外盲审服务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标的名称：2026年度研究生学位论文校外盲审服务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一、需要提供智能、精准、高效、安全的服务，满足我校学位论文评议功能需求，包括学位论文材料上传、评阅书设置、智能专家遴选、意见反馈下载等核心功能，构建安全高效的评审闭环。评审专家应来自双一流高校权威学者及重点科研机构，形成覆盖全国的顶尖专家资源网络，通过动态更新机制保障专家库学科结构均衡、学术层次多元。</w:t>
            </w:r>
          </w:p>
          <w:p>
            <w:pPr>
              <w:pStyle w:val="null3"/>
              <w:ind w:firstLine="480"/>
              <w:jc w:val="both"/>
            </w:pPr>
            <w:r>
              <w:rPr>
                <w:rFonts w:ascii="仿宋_GB2312" w:hAnsi="仿宋_GB2312" w:cs="仿宋_GB2312" w:eastAsia="仿宋_GB2312"/>
                <w:sz w:val="24"/>
              </w:rPr>
              <w:t>二、学位论文质量监测服务平台送审平台应满足我校学位论文评议功能需求，包括学位论文材料上传、评阅书设置、智能专家遴选、意见反馈下载等核心功能；支持参评确认、材料审阅、意见填写等在线操作，同时提供消息通知及学术外问题协助服务；技术服务团队实时响应系统维护与操作指导需求，定期优化平台功能，对超过规定时限的博士论文送审流程进行进度提醒，全面保障论文评议工作的规范性与时效性。</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1.委托方应负责提供智能、精准、高效、安全的学位论文（实践成果）质量监测服务平台，可以提供双向盲审服务，满足用户单位学位论文（实践成果）质量监测工作需求，包括学位论文（实践成果）信息及材料上传、评阅书设置、专家自动遴选或补充遴选、评议结果下载等。</w:t>
            </w:r>
          </w:p>
          <w:p>
            <w:pPr>
              <w:pStyle w:val="null3"/>
              <w:ind w:firstLine="480"/>
              <w:jc w:val="both"/>
            </w:pPr>
            <w:r>
              <w:rPr>
                <w:rFonts w:ascii="仿宋_GB2312" w:hAnsi="仿宋_GB2312" w:cs="仿宋_GB2312" w:eastAsia="仿宋_GB2312"/>
                <w:sz w:val="24"/>
              </w:rPr>
              <w:t>2.委托方平台可以提供一级学科、研究方向、关键词、题目、摘要相结合的专家遴选方式；同时，可以提供基于语义分析的智能专家遴选方式，进行语义信息的匹配，有效解决部分小学科、学科交叉论文等遴选难题，为我单位提供更完善、更精准、更高效的论文质量监测服务；</w:t>
            </w:r>
          </w:p>
          <w:p>
            <w:pPr>
              <w:pStyle w:val="null3"/>
              <w:ind w:firstLine="480"/>
              <w:jc w:val="both"/>
            </w:pPr>
            <w:r>
              <w:rPr>
                <w:rFonts w:ascii="仿宋_GB2312" w:hAnsi="仿宋_GB2312" w:cs="仿宋_GB2312" w:eastAsia="仿宋_GB2312"/>
                <w:sz w:val="24"/>
              </w:rPr>
              <w:t>3.委托方须及时响应和解决用户单位提出的平台技术问题，定期收集研判用户单位的功能需求和建议，对平台功能及时升级优化，为用户单位自主开展学位论文（实践成果）评议工作提供技术保障。</w:t>
            </w:r>
          </w:p>
          <w:p>
            <w:pPr>
              <w:pStyle w:val="null3"/>
              <w:ind w:firstLine="480"/>
              <w:jc w:val="both"/>
            </w:pPr>
            <w:r>
              <w:rPr>
                <w:rFonts w:ascii="仿宋_GB2312" w:hAnsi="仿宋_GB2312" w:cs="仿宋_GB2312" w:eastAsia="仿宋_GB2312"/>
                <w:sz w:val="24"/>
              </w:rPr>
              <w:t>4.委托方负责提供覆盖全国的、类型丰富、层次多样的高水平硕士、博士学位论文（实践成果）评议专家资源，专家资源达到55万人以上，其中博士导师达到15万人，硕士导师达到40万人，涵盖我单位培养的各个专业领域；每年进行专家库全库更新，定期补充专家资源，设有专家退出机制，保证专家资源充沛、专家信息准确。</w:t>
            </w:r>
          </w:p>
          <w:p>
            <w:pPr>
              <w:pStyle w:val="null3"/>
              <w:ind w:firstLine="480"/>
              <w:jc w:val="both"/>
            </w:pPr>
            <w:r>
              <w:rPr>
                <w:rFonts w:ascii="仿宋_GB2312" w:hAnsi="仿宋_GB2312" w:cs="仿宋_GB2312" w:eastAsia="仿宋_GB2312"/>
                <w:sz w:val="24"/>
              </w:rPr>
              <w:t>5.委托方负责保障用户单位学位论文（实践成果）质量监测过程中平台与评议专家间的信息交互，通过平台向专家发送相应消息通知或提醒等；协助用户单位与参评专家沟通解决学术意见以外的问题，如：评议意见文字表述或格式错误、平台操作等问题。</w:t>
            </w:r>
          </w:p>
          <w:p>
            <w:pPr>
              <w:pStyle w:val="null3"/>
              <w:ind w:firstLine="480"/>
              <w:jc w:val="both"/>
            </w:pPr>
            <w:r>
              <w:rPr>
                <w:rFonts w:ascii="仿宋_GB2312" w:hAnsi="仿宋_GB2312" w:cs="仿宋_GB2312" w:eastAsia="仿宋_GB2312"/>
                <w:sz w:val="24"/>
              </w:rPr>
              <w:t>6.委托方负责通过平台向学位论文（实践成果）评议专家提供参评确认、评议材料阅读、评阅意见填写、评议结果提交等功能。</w:t>
            </w:r>
          </w:p>
          <w:p>
            <w:pPr>
              <w:pStyle w:val="null3"/>
              <w:ind w:firstLine="480"/>
              <w:jc w:val="both"/>
            </w:pPr>
            <w:r>
              <w:rPr>
                <w:rFonts w:ascii="仿宋_GB2312" w:hAnsi="仿宋_GB2312" w:cs="仿宋_GB2312" w:eastAsia="仿宋_GB2312"/>
                <w:sz w:val="24"/>
              </w:rPr>
              <w:t>7.委托方为用户单位学位论文（实践成果）质量监测工作提供辅助服务，协助用户单位一级账户管理员解决在送评过程中遇到的平台操作问题，关注学位论文（实践成果）评议进度，及时提醒用户单位完成开始专家遴选操作25天以上的博士学位论文（实践成果）及20天以上的硕士学位论文（实践成果）的送评流程（用户单位间隔5天以上未进行遴选专家操作的学位论文（实践成果）除外）。</w:t>
            </w:r>
          </w:p>
          <w:p>
            <w:pPr>
              <w:pStyle w:val="null3"/>
              <w:ind w:firstLine="480"/>
              <w:jc w:val="both"/>
            </w:pPr>
            <w:r>
              <w:rPr>
                <w:rFonts w:ascii="仿宋_GB2312" w:hAnsi="仿宋_GB2312" w:cs="仿宋_GB2312" w:eastAsia="仿宋_GB2312"/>
                <w:sz w:val="24"/>
              </w:rPr>
              <w:t>8.委托方在本协议期满后，对协议期内已收回全部专家评议意见的学位论文（实践成果）进行数据归档，归档后用户单位可查看、下载学位论文（实践成果）及专家评议意见。</w:t>
            </w:r>
          </w:p>
          <w:p>
            <w:pPr>
              <w:pStyle w:val="null3"/>
              <w:ind w:firstLine="480"/>
              <w:jc w:val="both"/>
            </w:pPr>
            <w:r>
              <w:rPr>
                <w:rFonts w:ascii="仿宋_GB2312" w:hAnsi="仿宋_GB2312" w:cs="仿宋_GB2312" w:eastAsia="仿宋_GB2312"/>
                <w:sz w:val="24"/>
              </w:rPr>
              <w:t>9.委托方为用户单位提供年度学位论文（实践成果）评议情况统计报告，内容包括学位论文（实践成果）送评情况、学位论文（实践成果）评议结果、服务费使用情况，对学校学位论文（实践成果）质量监测工作的建议等。</w:t>
            </w:r>
          </w:p>
          <w:p>
            <w:pPr>
              <w:pStyle w:val="null3"/>
              <w:ind w:firstLine="480"/>
              <w:jc w:val="both"/>
            </w:pPr>
            <w:r>
              <w:rPr>
                <w:rFonts w:ascii="仿宋_GB2312" w:hAnsi="仿宋_GB2312" w:cs="仿宋_GB2312" w:eastAsia="仿宋_GB2312"/>
                <w:sz w:val="24"/>
              </w:rPr>
              <w:t>10.委托方负责每年对用户单位一级账户管理员进行至少一次平台操作培训，为学校提供和更新平台操作规程等；如用户单位需要，委托方每年可为其提供一次个性化培训或二级账户管理员专项培训服务。</w:t>
            </w:r>
          </w:p>
          <w:p>
            <w:pPr>
              <w:pStyle w:val="null3"/>
              <w:ind w:firstLine="480"/>
              <w:jc w:val="both"/>
            </w:pPr>
            <w:r>
              <w:rPr>
                <w:rFonts w:ascii="仿宋_GB2312" w:hAnsi="仿宋_GB2312" w:cs="仿宋_GB2312" w:eastAsia="仿宋_GB2312"/>
                <w:sz w:val="24"/>
              </w:rPr>
              <w:t>11.委托方及时向本协议有效期内实际参与学位论文（实践成果）评议的专家支付劳务费至专家个人银行账户。</w:t>
            </w:r>
          </w:p>
          <w:p>
            <w:pPr>
              <w:pStyle w:val="null3"/>
              <w:ind w:firstLine="480"/>
              <w:jc w:val="both"/>
            </w:pPr>
            <w:r>
              <w:rPr>
                <w:rFonts w:ascii="仿宋_GB2312" w:hAnsi="仿宋_GB2312" w:cs="仿宋_GB2312" w:eastAsia="仿宋_GB2312"/>
                <w:sz w:val="24"/>
              </w:rPr>
              <w:t>12.与本项目学位论文（实践成果）质量监测服务相关的其他义务。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单价限价：博士学位论文质量监测费</w:t>
            </w:r>
            <w:r>
              <w:rPr>
                <w:rFonts w:ascii="仿宋_GB2312" w:hAnsi="仿宋_GB2312" w:cs="仿宋_GB2312" w:eastAsia="仿宋_GB2312"/>
                <w:sz w:val="24"/>
              </w:rPr>
              <w:t>限价</w:t>
            </w:r>
            <w:r>
              <w:rPr>
                <w:rFonts w:ascii="仿宋_GB2312" w:hAnsi="仿宋_GB2312" w:cs="仿宋_GB2312" w:eastAsia="仿宋_GB2312"/>
                <w:sz w:val="24"/>
              </w:rPr>
              <w:t>为￥</w:t>
            </w:r>
            <w:r>
              <w:rPr>
                <w:rFonts w:ascii="仿宋_GB2312" w:hAnsi="仿宋_GB2312" w:cs="仿宋_GB2312" w:eastAsia="仿宋_GB2312"/>
                <w:sz w:val="24"/>
              </w:rPr>
              <w:t>570元/篇次。硕士学位论文质量监测费</w:t>
            </w:r>
            <w:r>
              <w:rPr>
                <w:rFonts w:ascii="仿宋_GB2312" w:hAnsi="仿宋_GB2312" w:cs="仿宋_GB2312" w:eastAsia="仿宋_GB2312"/>
                <w:sz w:val="24"/>
              </w:rPr>
              <w:t>限价</w:t>
            </w:r>
            <w:r>
              <w:rPr>
                <w:rFonts w:ascii="仿宋_GB2312" w:hAnsi="仿宋_GB2312" w:cs="仿宋_GB2312" w:eastAsia="仿宋_GB2312"/>
                <w:sz w:val="24"/>
              </w:rPr>
              <w:t>为￥</w:t>
            </w:r>
            <w:r>
              <w:rPr>
                <w:rFonts w:ascii="仿宋_GB2312" w:hAnsi="仿宋_GB2312" w:cs="仿宋_GB2312" w:eastAsia="仿宋_GB2312"/>
                <w:sz w:val="24"/>
              </w:rPr>
              <w:t>400元/篇次</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西北政法大学指定地点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须于协议签署后30个工作日内支付全部费用。送审完成后，根据当期实际送审篇次结算费用，甲方须于平台下载《学位论文（实践成果）质量监测费结算说明》（以下简称《结算说明》），乙方根据《结算说明》开具增值税普通发票，达到付款条件起30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服务内容及服务要求应答表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响应文件的签署、盖章符合文件要求 (合格)，响应文件的签署、盖章不符合文件要求 (不合格)</w:t>
            </w:r>
          </w:p>
        </w:tc>
        <w:tc>
          <w:tcPr>
            <w:tcW w:type="dxa" w:w="1661"/>
          </w:tcPr>
          <w:p>
            <w:pPr>
              <w:pStyle w:val="null3"/>
            </w:pPr>
            <w:r>
              <w:rPr>
                <w:rFonts w:ascii="仿宋_GB2312" w:hAnsi="仿宋_GB2312" w:cs="仿宋_GB2312" w:eastAsia="仿宋_GB2312"/>
              </w:rPr>
              <w:t>响应文件封面 供应商认为有必要说明的其他问题.docx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响应报价未超过采购预算或最高限价 (合格) ，响应报价超过采购预算或最高限价(不合格 )</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服务期限是否满足采购文件最低要求</w:t>
            </w:r>
          </w:p>
        </w:tc>
        <w:tc>
          <w:tcPr>
            <w:tcW w:type="dxa" w:w="3322"/>
          </w:tcPr>
          <w:p>
            <w:pPr>
              <w:pStyle w:val="null3"/>
            </w:pPr>
            <w:r>
              <w:rPr>
                <w:rFonts w:ascii="仿宋_GB2312" w:hAnsi="仿宋_GB2312" w:cs="仿宋_GB2312" w:eastAsia="仿宋_GB2312"/>
              </w:rPr>
              <w:t>服务期限满足采购文件要求 (合格)，服务期限不满足采购文件要求(不合格)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响应文件有效期是否可以达到采购文件要求</w:t>
            </w:r>
          </w:p>
        </w:tc>
        <w:tc>
          <w:tcPr>
            <w:tcW w:type="dxa" w:w="3322"/>
          </w:tcPr>
          <w:p>
            <w:pPr>
              <w:pStyle w:val="null3"/>
            </w:pPr>
            <w:r>
              <w:rPr>
                <w:rFonts w:ascii="仿宋_GB2312" w:hAnsi="仿宋_GB2312" w:cs="仿宋_GB2312" w:eastAsia="仿宋_GB2312"/>
              </w:rPr>
              <w:t>投标有效期满足采购文件要求(合格)，响应文件无投标有效期或有效期不满足采购文件要求( 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（合格），存在法律、法规和招标文件规定的其他无效情形 （不合格）</w:t>
            </w:r>
          </w:p>
        </w:tc>
        <w:tc>
          <w:tcPr>
            <w:tcW w:type="dxa" w:w="1661"/>
          </w:tcPr>
          <w:p>
            <w:pPr>
              <w:pStyle w:val="null3"/>
            </w:pPr>
            <w:r>
              <w:rPr>
                <w:rFonts w:ascii="仿宋_GB2312" w:hAnsi="仿宋_GB2312" w:cs="仿宋_GB2312" w:eastAsia="仿宋_GB2312"/>
              </w:rPr>
              <w:t>中小企业声明函 残疾人福利性单位声明函 供应商认为有必要说明的其他问题.docx 服务内容及服务要求应答表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详见附件：【模板】2026年学位论文质量监测合作协议(1).docx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