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ED171F">
      <w:pPr>
        <w:keepNext w:val="0"/>
        <w:keepLines w:val="0"/>
        <w:pageBreakBefore w:val="0"/>
        <w:widowControl w:val="0"/>
        <w:kinsoku/>
        <w:wordWrap/>
        <w:overflowPunct/>
        <w:topLinePunct w:val="0"/>
        <w:autoSpaceDE/>
        <w:autoSpaceDN/>
        <w:bidi w:val="0"/>
        <w:adjustRightInd/>
        <w:snapToGrid/>
        <w:spacing w:line="580" w:lineRule="exact"/>
        <w:ind w:left="0" w:leftChars="0"/>
        <w:jc w:val="center"/>
        <w:textAlignment w:val="auto"/>
        <w:rPr>
          <w:rFonts w:hint="eastAsia" w:ascii="方正小标宋简体" w:hAnsi="方正小标宋简体" w:eastAsia="方正小标宋简体" w:cs="方正小标宋简体"/>
          <w:sz w:val="44"/>
          <w:szCs w:val="44"/>
        </w:rPr>
      </w:pPr>
    </w:p>
    <w:p w14:paraId="0F49C06A">
      <w:pPr>
        <w:keepNext w:val="0"/>
        <w:keepLines w:val="0"/>
        <w:pageBreakBefore w:val="0"/>
        <w:widowControl w:val="0"/>
        <w:kinsoku/>
        <w:wordWrap/>
        <w:overflowPunct/>
        <w:topLinePunct w:val="0"/>
        <w:autoSpaceDE/>
        <w:autoSpaceDN/>
        <w:bidi w:val="0"/>
        <w:adjustRightInd/>
        <w:snapToGrid/>
        <w:spacing w:line="580" w:lineRule="exact"/>
        <w:ind w:left="0" w:left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陕西科学技术馆</w:t>
      </w:r>
      <w:r>
        <w:rPr>
          <w:rFonts w:hint="eastAsia" w:ascii="方正小标宋简体" w:hAnsi="方正小标宋简体" w:eastAsia="方正小标宋简体" w:cs="方正小标宋简体"/>
          <w:sz w:val="44"/>
          <w:szCs w:val="44"/>
          <w:lang w:val="en-US" w:eastAsia="zh-CN"/>
        </w:rPr>
        <w:t>2026年</w:t>
      </w:r>
      <w:r>
        <w:rPr>
          <w:rFonts w:hint="eastAsia" w:ascii="方正小标宋简体" w:hAnsi="方正小标宋简体" w:eastAsia="方正小标宋简体" w:cs="方正小标宋简体"/>
          <w:sz w:val="44"/>
          <w:szCs w:val="44"/>
        </w:rPr>
        <w:t>展区升级改造项目</w:t>
      </w:r>
    </w:p>
    <w:p w14:paraId="58CA8204">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p>
    <w:p w14:paraId="500E481F">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pPr>
      <w:r>
        <w:rPr>
          <w:rFonts w:hint="eastAsia" w:ascii="仿宋_GB2312" w:hAnsi="仿宋_GB2312" w:eastAsia="仿宋_GB2312" w:cs="仿宋_GB2312"/>
          <w:sz w:val="32"/>
          <w:szCs w:val="32"/>
        </w:rPr>
        <w:t>为深入贯彻落实习近平总书记关于科普工作的重要论述，积极</w:t>
      </w:r>
      <w:r>
        <w:rPr>
          <w:rFonts w:hint="eastAsia" w:ascii="仿宋_GB2312" w:hAnsi="仿宋_GB2312" w:eastAsia="仿宋_GB2312" w:cs="仿宋_GB2312"/>
          <w:sz w:val="32"/>
          <w:szCs w:val="32"/>
          <w:lang w:val="en-US" w:eastAsia="zh-CN"/>
        </w:rPr>
        <w:t>落实“拓展人工智能在经济社会各领域的应用广度和深度”相关部署，陕西科技馆</w:t>
      </w:r>
      <w:r>
        <w:rPr>
          <w:rFonts w:hint="eastAsia" w:ascii="仿宋_GB2312" w:hAnsi="仿宋_GB2312" w:eastAsia="仿宋_GB2312" w:cs="仿宋_GB2312"/>
          <w:sz w:val="32"/>
          <w:szCs w:val="32"/>
        </w:rPr>
        <w:t>拟对</w:t>
      </w:r>
      <w:r>
        <w:rPr>
          <w:rFonts w:hint="eastAsia" w:ascii="仿宋_GB2312" w:hAnsi="仿宋_GB2312" w:eastAsia="仿宋_GB2312" w:cs="仿宋_GB2312"/>
          <w:sz w:val="32"/>
          <w:szCs w:val="32"/>
          <w:lang w:val="en-US" w:eastAsia="zh-CN"/>
        </w:rPr>
        <w:t>常设科普展厅一、四层</w:t>
      </w:r>
      <w:r>
        <w:rPr>
          <w:rFonts w:hint="eastAsia" w:ascii="仿宋_GB2312" w:hAnsi="仿宋_GB2312" w:eastAsia="仿宋_GB2312" w:cs="仿宋_GB2312"/>
          <w:sz w:val="32"/>
          <w:szCs w:val="32"/>
        </w:rPr>
        <w:t>实施改造升级，并</w:t>
      </w:r>
      <w:r>
        <w:rPr>
          <w:rFonts w:hint="eastAsia" w:ascii="仿宋_GB2312" w:hAnsi="仿宋_GB2312" w:eastAsia="仿宋_GB2312" w:cs="仿宋_GB2312"/>
          <w:sz w:val="32"/>
          <w:szCs w:val="32"/>
          <w:lang w:val="en-US" w:eastAsia="zh-CN"/>
        </w:rPr>
        <w:t>根据资金来源设置了“陕西科技馆人工智能展厅改造项目”和“陕西科技馆机</w:t>
      </w:r>
      <w:bookmarkStart w:id="0" w:name="_GoBack"/>
      <w:bookmarkEnd w:id="0"/>
      <w:r>
        <w:rPr>
          <w:rFonts w:hint="eastAsia" w:ascii="仿宋_GB2312" w:hAnsi="仿宋_GB2312" w:eastAsia="仿宋_GB2312" w:cs="仿宋_GB2312"/>
          <w:sz w:val="32"/>
          <w:szCs w:val="32"/>
          <w:lang w:val="en-US" w:eastAsia="zh-CN"/>
        </w:rPr>
        <w:t>械展厅部分展品更新项目”两个采购包。具体情况</w:t>
      </w:r>
      <w:r>
        <w:rPr>
          <w:rFonts w:hint="eastAsia" w:ascii="仿宋_GB2312" w:hAnsi="仿宋_GB2312" w:eastAsia="仿宋_GB2312" w:cs="仿宋_GB2312"/>
          <w:sz w:val="32"/>
          <w:szCs w:val="32"/>
        </w:rPr>
        <w:t>如下：</w:t>
      </w:r>
    </w:p>
    <w:p w14:paraId="5786D7A2">
      <w:pPr>
        <w:spacing w:line="600" w:lineRule="exact"/>
        <w:jc w:val="center"/>
        <w:rPr>
          <w:rFonts w:hint="eastAsia" w:ascii="黑体" w:hAnsi="黑体" w:eastAsia="黑体" w:cs="黑体"/>
          <w:sz w:val="32"/>
          <w:szCs w:val="32"/>
        </w:rPr>
      </w:pPr>
      <w:r>
        <w:rPr>
          <w:rFonts w:hint="eastAsia" w:ascii="黑体" w:hAnsi="黑体" w:eastAsia="黑体" w:cs="黑体"/>
          <w:sz w:val="32"/>
          <w:szCs w:val="32"/>
        </w:rPr>
        <w:t>陕西科技馆人工智能展厅改造项目采购要求</w:t>
      </w:r>
    </w:p>
    <w:p w14:paraId="6051C9AD">
      <w:pPr>
        <w:spacing w:line="560" w:lineRule="exact"/>
        <w:ind w:firstLine="640" w:firstLineChars="200"/>
        <w:jc w:val="both"/>
      </w:pPr>
      <w:r>
        <w:rPr>
          <w:rFonts w:ascii="仿宋_GB2312" w:hAnsi="仿宋_GB2312" w:eastAsia="仿宋_GB2312" w:cs="仿宋_GB2312"/>
          <w:sz w:val="32"/>
          <w:szCs w:val="32"/>
        </w:rPr>
        <w:t>本</w:t>
      </w:r>
      <w:r>
        <w:rPr>
          <w:rFonts w:hint="eastAsia" w:ascii="仿宋_GB2312" w:hAnsi="仿宋_GB2312" w:eastAsia="仿宋_GB2312" w:cs="仿宋_GB2312"/>
          <w:sz w:val="32"/>
          <w:szCs w:val="32"/>
          <w:lang w:val="en-US" w:eastAsia="zh-CN"/>
        </w:rPr>
        <w:t>项目</w:t>
      </w:r>
      <w:r>
        <w:rPr>
          <w:rFonts w:ascii="仿宋_GB2312" w:hAnsi="仿宋_GB2312" w:eastAsia="仿宋_GB2312" w:cs="仿宋_GB2312"/>
          <w:sz w:val="32"/>
          <w:szCs w:val="32"/>
        </w:rPr>
        <w:t>包括人工智能主题展区的“序章+体验展区+探究展区”三个部分，承担着整个主题展区“引流+启蒙+打底+探究”的关键作用。</w:t>
      </w:r>
    </w:p>
    <w:p w14:paraId="530FE59F">
      <w:pPr>
        <w:spacing w:line="560" w:lineRule="exact"/>
        <w:ind w:firstLine="640"/>
        <w:jc w:val="both"/>
      </w:pPr>
      <w:r>
        <w:rPr>
          <w:rFonts w:ascii="仿宋_GB2312" w:hAnsi="仿宋_GB2312" w:eastAsia="仿宋_GB2312" w:cs="仿宋_GB2312"/>
          <w:sz w:val="32"/>
          <w:szCs w:val="32"/>
        </w:rPr>
        <w:t>序章（楼梯序厅）是展区入口的视觉序幕，以“沉浸体验+视觉冲击”为切入点，让观众在前往四层展区的过程中，就能被AI主题的视觉氛围调动起学习的兴趣；体验展区（主展区）是AI体验的核心场域，通过丰富的互动展项让观众真切“看见AI、感受AI”，从而构建出AI应用的“未来图谱”，建立对人工智能的整体认知与浓厚兴趣；探究展区在体验展区奠定的感性认知基础上，采用国际科普领域广受认可的探索馆探究式教育风格，每件展项聚焦一个人工智能核心技术概念，让观众通过亲手操作、观察现象、追问原理，从“看热闹”走向“懂原理”，在熟悉的探究式学习链条中理解AI的底层逻辑，使AI真正从“高冷的技术”变为“可亲近的常识”。</w:t>
      </w:r>
    </w:p>
    <w:p w14:paraId="31FFEE5F">
      <w:pPr>
        <w:spacing w:line="560" w:lineRule="exact"/>
        <w:ind w:firstLine="640"/>
        <w:jc w:val="both"/>
      </w:pPr>
      <w:r>
        <w:rPr>
          <w:rFonts w:ascii="仿宋_GB2312" w:hAnsi="仿宋_GB2312" w:eastAsia="仿宋_GB2312" w:cs="仿宋_GB2312"/>
          <w:sz w:val="32"/>
          <w:szCs w:val="32"/>
        </w:rPr>
        <w:t>三个部分协同发力，构建“看见AI—感受AI—理解AI”的完整认知链条。展项总数不少于21件，其中炫酷应用与视觉冲击类不少于7件，经典展品主题化改造类不少于7件，原创探究类不少于7件，展厅互动率不低于95%。</w:t>
      </w:r>
    </w:p>
    <w:p w14:paraId="35FA3975">
      <w:pPr>
        <w:spacing w:line="560" w:lineRule="exact"/>
        <w:ind w:firstLine="640"/>
        <w:jc w:val="both"/>
      </w:pPr>
      <w:r>
        <w:rPr>
          <w:rFonts w:ascii="黑体" w:hAnsi="黑体" w:eastAsia="黑体" w:cs="黑体"/>
          <w:sz w:val="32"/>
          <w:szCs w:val="32"/>
        </w:rPr>
        <w:t>一、项目概况</w:t>
      </w:r>
    </w:p>
    <w:p w14:paraId="2D8A7E41">
      <w:pPr>
        <w:spacing w:line="560" w:lineRule="exact"/>
        <w:ind w:firstLine="640"/>
        <w:jc w:val="both"/>
      </w:pPr>
      <w:r>
        <w:rPr>
          <w:rFonts w:ascii="仿宋_GB2312" w:hAnsi="仿宋_GB2312" w:eastAsia="仿宋_GB2312" w:cs="仿宋_GB2312"/>
          <w:sz w:val="32"/>
          <w:szCs w:val="32"/>
        </w:rPr>
        <w:t>1.项目名称：陕西科技馆人工智能展厅改造项目</w:t>
      </w:r>
    </w:p>
    <w:p w14:paraId="6F8101F6">
      <w:pPr>
        <w:spacing w:line="560" w:lineRule="exact"/>
        <w:ind w:firstLine="640"/>
        <w:jc w:val="both"/>
      </w:pPr>
      <w:r>
        <w:rPr>
          <w:rFonts w:ascii="仿宋_GB2312" w:hAnsi="仿宋_GB2312" w:eastAsia="仿宋_GB2312" w:cs="仿宋_GB2312"/>
          <w:sz w:val="32"/>
          <w:szCs w:val="32"/>
        </w:rPr>
        <w:t>2.招标控制价：280万元</w:t>
      </w:r>
    </w:p>
    <w:p w14:paraId="3E68F338">
      <w:pPr>
        <w:spacing w:line="560" w:lineRule="exact"/>
        <w:ind w:firstLine="640"/>
        <w:jc w:val="both"/>
      </w:pPr>
      <w:r>
        <w:rPr>
          <w:rFonts w:ascii="仿宋_GB2312" w:hAnsi="仿宋_GB2312" w:eastAsia="仿宋_GB2312" w:cs="仿宋_GB2312"/>
          <w:sz w:val="32"/>
          <w:szCs w:val="32"/>
        </w:rPr>
        <w:t>3.项目面积：约370平方米（楼梯序厅约20㎡+主展区约240㎡+探究展区约110㎡）</w:t>
      </w:r>
    </w:p>
    <w:p w14:paraId="3B94E87A">
      <w:pPr>
        <w:spacing w:line="560" w:lineRule="exact"/>
        <w:ind w:firstLine="640"/>
        <w:jc w:val="both"/>
        <w:rPr>
          <w:rFonts w:hint="eastAsia" w:eastAsia="仿宋_GB2312"/>
          <w:lang w:val="en-US" w:eastAsia="zh-CN"/>
        </w:rPr>
      </w:pPr>
      <w:r>
        <w:rPr>
          <w:rFonts w:hint="eastAsia" w:ascii="仿宋_GB2312" w:hAnsi="仿宋_GB2312" w:eastAsia="仿宋_GB2312" w:cs="仿宋_GB2312"/>
          <w:sz w:val="32"/>
          <w:szCs w:val="32"/>
          <w:lang w:val="en-US" w:eastAsia="zh-CN"/>
        </w:rPr>
        <w:t>4</w:t>
      </w:r>
      <w:r>
        <w:rPr>
          <w:rFonts w:ascii="仿宋_GB2312" w:hAnsi="仿宋_GB2312" w:eastAsia="仿宋_GB2312" w:cs="仿宋_GB2312"/>
          <w:sz w:val="32"/>
          <w:szCs w:val="32"/>
        </w:rPr>
        <w:t>.项目</w:t>
      </w:r>
      <w:r>
        <w:rPr>
          <w:rFonts w:hint="eastAsia" w:ascii="仿宋_GB2312" w:hAnsi="仿宋_GB2312" w:eastAsia="仿宋_GB2312" w:cs="仿宋_GB2312"/>
          <w:sz w:val="32"/>
          <w:szCs w:val="32"/>
          <w:lang w:val="en-US" w:eastAsia="zh-CN"/>
        </w:rPr>
        <w:t>交货</w:t>
      </w:r>
      <w:r>
        <w:rPr>
          <w:rFonts w:ascii="仿宋_GB2312" w:hAnsi="仿宋_GB2312" w:eastAsia="仿宋_GB2312" w:cs="仿宋_GB2312"/>
          <w:sz w:val="32"/>
          <w:szCs w:val="32"/>
        </w:rPr>
        <w:t>期：自合同签订之日起90日历天内完成现场安装调试</w:t>
      </w:r>
      <w:r>
        <w:rPr>
          <w:rFonts w:hint="eastAsia" w:ascii="仿宋_GB2312" w:hAnsi="仿宋_GB2312" w:eastAsia="仿宋_GB2312" w:cs="仿宋_GB2312"/>
          <w:sz w:val="32"/>
          <w:szCs w:val="32"/>
          <w:lang w:val="en-US" w:eastAsia="zh-CN"/>
        </w:rPr>
        <w:t>验收。</w:t>
      </w:r>
    </w:p>
    <w:p w14:paraId="6339139C">
      <w:pPr>
        <w:spacing w:line="560" w:lineRule="exact"/>
        <w:ind w:firstLine="640"/>
        <w:jc w:val="both"/>
      </w:pPr>
      <w:r>
        <w:rPr>
          <w:rFonts w:hint="eastAsia" w:ascii="仿宋_GB2312" w:hAnsi="仿宋_GB2312" w:eastAsia="仿宋_GB2312" w:cs="仿宋_GB2312"/>
          <w:sz w:val="32"/>
          <w:szCs w:val="32"/>
          <w:lang w:val="en-US" w:eastAsia="zh-CN"/>
        </w:rPr>
        <w:t>5</w:t>
      </w:r>
      <w:r>
        <w:rPr>
          <w:rFonts w:ascii="仿宋_GB2312" w:hAnsi="仿宋_GB2312" w:eastAsia="仿宋_GB2312" w:cs="仿宋_GB2312"/>
          <w:sz w:val="32"/>
          <w:szCs w:val="32"/>
        </w:rPr>
        <w:t>.深化设计要求：中标人须在合同签订后10个日历天内提交完整的深化设计方案，经采购人审核通过后方可开始展项制作与现场施工。深化设计成果须包含展项详细设计图纸、软硬件配置清单、施工组织方案、展品操作维护手册。</w:t>
      </w:r>
    </w:p>
    <w:p w14:paraId="4A290027">
      <w:pPr>
        <w:spacing w:line="560" w:lineRule="exact"/>
        <w:ind w:firstLine="640"/>
        <w:jc w:val="both"/>
      </w:pPr>
      <w:r>
        <w:rPr>
          <w:rFonts w:ascii="黑体" w:hAnsi="黑体" w:eastAsia="黑体" w:cs="黑体"/>
          <w:sz w:val="32"/>
          <w:szCs w:val="32"/>
        </w:rPr>
        <w:t>二、建设内容</w:t>
      </w:r>
    </w:p>
    <w:p w14:paraId="0C35E58C">
      <w:pPr>
        <w:spacing w:line="560" w:lineRule="exact"/>
        <w:ind w:firstLine="640"/>
        <w:jc w:val="both"/>
      </w:pPr>
      <w:r>
        <w:rPr>
          <w:rFonts w:ascii="仿宋_GB2312" w:hAnsi="仿宋_GB2312" w:eastAsia="仿宋_GB2312" w:cs="仿宋_GB2312"/>
          <w:sz w:val="32"/>
          <w:szCs w:val="32"/>
        </w:rPr>
        <w:t>本项目主要包括楼梯序厅、主展区、探究展区三部分空间建设内容，以及展厅拆除及环境营造：</w:t>
      </w:r>
    </w:p>
    <w:p w14:paraId="282C61D9">
      <w:pPr>
        <w:spacing w:line="560" w:lineRule="exact"/>
        <w:ind w:firstLine="640"/>
        <w:jc w:val="both"/>
      </w:pPr>
      <w:r>
        <w:rPr>
          <w:rFonts w:ascii="楷体_GB2312" w:hAnsi="楷体_GB2312" w:eastAsia="楷体_GB2312" w:cs="楷体_GB2312"/>
          <w:b/>
          <w:bCs/>
          <w:sz w:val="32"/>
          <w:szCs w:val="32"/>
        </w:rPr>
        <w:t>（一）楼梯序厅（约20平方米）</w:t>
      </w:r>
    </w:p>
    <w:p w14:paraId="532CD4F6">
      <w:pPr>
        <w:spacing w:line="560" w:lineRule="exact"/>
        <w:ind w:firstLine="640"/>
        <w:jc w:val="both"/>
      </w:pPr>
      <w:r>
        <w:rPr>
          <w:rFonts w:ascii="仿宋_GB2312" w:hAnsi="仿宋_GB2312" w:eastAsia="仿宋_GB2312" w:cs="仿宋_GB2312"/>
          <w:sz w:val="32"/>
          <w:szCs w:val="32"/>
        </w:rPr>
        <w:t>作为展区入口的视觉序厅（3～4层楼梯通道，约20平方米），通过多种艺术化、科技化的呈现手段，营造沉浸式登楼体验。</w:t>
      </w:r>
    </w:p>
    <w:p w14:paraId="70FF491D">
      <w:pPr>
        <w:spacing w:line="560" w:lineRule="exact"/>
        <w:ind w:firstLine="640"/>
        <w:jc w:val="both"/>
      </w:pPr>
      <w:r>
        <w:rPr>
          <w:rFonts w:ascii="仿宋_GB2312" w:hAnsi="仿宋_GB2312" w:eastAsia="仿宋_GB2312" w:cs="仿宋_GB2312"/>
          <w:sz w:val="32"/>
          <w:szCs w:val="32"/>
        </w:rPr>
        <w:t>具体要求：</w:t>
      </w:r>
    </w:p>
    <w:p w14:paraId="7C26FFF4">
      <w:pPr>
        <w:spacing w:line="560" w:lineRule="exact"/>
        <w:ind w:firstLine="640"/>
        <w:jc w:val="both"/>
      </w:pPr>
      <w:r>
        <w:rPr>
          <w:rFonts w:ascii="仿宋_GB2312" w:hAnsi="仿宋_GB2312" w:eastAsia="仿宋_GB2312" w:cs="仿宋_GB2312"/>
          <w:sz w:val="32"/>
          <w:szCs w:val="32"/>
        </w:rPr>
        <w:t>1.须包含AI发展历程时间轴，系统呈现人工智能发展的关键节点。</w:t>
      </w:r>
    </w:p>
    <w:p w14:paraId="040BAC0D">
      <w:pPr>
        <w:spacing w:line="560" w:lineRule="exact"/>
        <w:ind w:firstLine="640"/>
        <w:jc w:val="both"/>
      </w:pPr>
      <w:r>
        <w:rPr>
          <w:rFonts w:ascii="仿宋_GB2312" w:hAnsi="仿宋_GB2312" w:eastAsia="仿宋_GB2312" w:cs="仿宋_GB2312"/>
          <w:sz w:val="32"/>
          <w:szCs w:val="32"/>
        </w:rPr>
        <w:t>2.须包含AI领域关键人物、重要事件、突破性技术的介绍内容。</w:t>
      </w:r>
    </w:p>
    <w:p w14:paraId="6A4244F4">
      <w:pPr>
        <w:spacing w:line="560" w:lineRule="exact"/>
        <w:ind w:firstLine="640"/>
        <w:jc w:val="both"/>
      </w:pPr>
      <w:r>
        <w:rPr>
          <w:rFonts w:ascii="仿宋_GB2312" w:hAnsi="仿宋_GB2312" w:eastAsia="仿宋_GB2312" w:cs="仿宋_GB2312"/>
          <w:sz w:val="32"/>
          <w:szCs w:val="32"/>
        </w:rPr>
        <w:t>3.视觉风格具有科技感与未来感，与主展区主题统一，形成连续的沉浸式登楼体验。</w:t>
      </w:r>
    </w:p>
    <w:p w14:paraId="6C73BDAD">
      <w:pPr>
        <w:spacing w:line="560" w:lineRule="exact"/>
        <w:ind w:firstLine="640"/>
        <w:jc w:val="both"/>
      </w:pPr>
      <w:r>
        <w:rPr>
          <w:rFonts w:ascii="仿宋_GB2312" w:hAnsi="仿宋_GB2312" w:eastAsia="仿宋_GB2312" w:cs="仿宋_GB2312"/>
          <w:sz w:val="32"/>
          <w:szCs w:val="32"/>
        </w:rPr>
        <w:t>4.不设置需要观众停留操作的实体互动展项，确保楼梯通行安全与顺畅。</w:t>
      </w:r>
    </w:p>
    <w:p w14:paraId="2A0F5165">
      <w:pPr>
        <w:spacing w:line="560" w:lineRule="exact"/>
        <w:ind w:firstLine="640"/>
        <w:jc w:val="both"/>
      </w:pPr>
      <w:r>
        <w:rPr>
          <w:rFonts w:ascii="仿宋_GB2312" w:hAnsi="仿宋_GB2312" w:eastAsia="仿宋_GB2312" w:cs="仿宋_GB2312"/>
          <w:sz w:val="32"/>
          <w:szCs w:val="32"/>
        </w:rPr>
        <w:t>5.所有安装构件须牢固可靠，符合公共场所消防安全规范。</w:t>
      </w:r>
    </w:p>
    <w:p w14:paraId="2E5BF66A">
      <w:pPr>
        <w:spacing w:line="560" w:lineRule="exact"/>
        <w:ind w:firstLine="640"/>
        <w:jc w:val="both"/>
      </w:pPr>
      <w:r>
        <w:rPr>
          <w:rFonts w:ascii="仿宋_GB2312" w:hAnsi="仿宋_GB2312" w:eastAsia="仿宋_GB2312" w:cs="仿宋_GB2312"/>
          <w:sz w:val="32"/>
          <w:szCs w:val="32"/>
        </w:rPr>
        <w:t>6.须提供通行安全保障措施说明，包括但不限于防滑处理、扶手防护、疏散标识、照明保障等。</w:t>
      </w:r>
    </w:p>
    <w:p w14:paraId="6648EBD6">
      <w:pPr>
        <w:spacing w:line="560" w:lineRule="exact"/>
        <w:ind w:firstLine="640"/>
        <w:jc w:val="both"/>
      </w:pPr>
      <w:r>
        <w:rPr>
          <w:rFonts w:ascii="楷体_GB2312" w:hAnsi="楷体_GB2312" w:eastAsia="楷体_GB2312" w:cs="楷体_GB2312"/>
          <w:b/>
          <w:bCs/>
          <w:sz w:val="32"/>
          <w:szCs w:val="32"/>
        </w:rPr>
        <w:t>（二）主展区（紧邻楼梯口，约240平方米）</w:t>
      </w:r>
    </w:p>
    <w:p w14:paraId="3561B6B1">
      <w:pPr>
        <w:spacing w:line="560" w:lineRule="exact"/>
        <w:ind w:firstLine="640"/>
        <w:jc w:val="both"/>
      </w:pPr>
      <w:r>
        <w:rPr>
          <w:rFonts w:ascii="仿宋_GB2312" w:hAnsi="仿宋_GB2312" w:eastAsia="仿宋_GB2312" w:cs="仿宋_GB2312"/>
          <w:sz w:val="32"/>
          <w:szCs w:val="32"/>
        </w:rPr>
        <w:t>主展区位于四层展厅北侧及东南区域，约240平方米，展项总数不少于14件</w:t>
      </w:r>
      <w:r>
        <w:rPr>
          <w:rFonts w:hint="eastAsia" w:ascii="仿宋_GB2312" w:hAnsi="仿宋_GB2312" w:eastAsia="仿宋_GB2312" w:cs="仿宋_GB2312"/>
          <w:sz w:val="32"/>
          <w:szCs w:val="32"/>
          <w:lang w:val="en-US" w:eastAsia="zh-CN"/>
        </w:rPr>
        <w:t>且不得重复</w:t>
      </w:r>
      <w:r>
        <w:rPr>
          <w:rFonts w:ascii="仿宋_GB2312" w:hAnsi="仿宋_GB2312" w:eastAsia="仿宋_GB2312" w:cs="仿宋_GB2312"/>
          <w:sz w:val="32"/>
          <w:szCs w:val="32"/>
        </w:rPr>
        <w:t>，分A、B两大类别。</w:t>
      </w:r>
    </w:p>
    <w:p w14:paraId="4CCD5DB8">
      <w:pPr>
        <w:spacing w:line="560" w:lineRule="exact"/>
        <w:ind w:firstLine="640"/>
        <w:jc w:val="both"/>
      </w:pPr>
      <w:r>
        <w:rPr>
          <w:rFonts w:ascii="仿宋_GB2312" w:hAnsi="仿宋_GB2312" w:eastAsia="仿宋_GB2312" w:cs="仿宋_GB2312"/>
          <w:sz w:val="32"/>
          <w:szCs w:val="32"/>
        </w:rPr>
        <w:t>1.展项构成与定位。展项以固定展品方式呈现，承担视觉冲击、互动体验、科学启蒙三重功能。承担视觉冲击与引流功能的大型展项作为展区的“明星展项”，以震撼的视觉效果吸引观众；兼顾视觉与互动的中型展项在互动中传递科学内涵。展项体系以“应用体验”为主线，引导观众从“看见AI”走向“理解AI”。</w:t>
      </w:r>
    </w:p>
    <w:p w14:paraId="2A928048">
      <w:pPr>
        <w:spacing w:line="560" w:lineRule="exact"/>
        <w:ind w:firstLine="640"/>
        <w:jc w:val="both"/>
      </w:pPr>
      <w:r>
        <w:rPr>
          <w:rFonts w:ascii="仿宋_GB2312" w:hAnsi="仿宋_GB2312" w:eastAsia="仿宋_GB2312" w:cs="仿宋_GB2312"/>
          <w:sz w:val="32"/>
          <w:szCs w:val="32"/>
        </w:rPr>
        <w:t>2.A类——炫酷应用与视觉冲击类展项（不少于7件）。重点呈现AI在生活、生产、文化等领域的创新应用体验。可从以下方向选择或自主创新：AI生成类体验（图像生成、风格迁移、音乐生成、文本创作等）；计算机视觉类（表情识别、姿态识别、物体检测、人脸识别原理展示等）；机器人互动类（具身智能展示、机器人动作学习、协作机器人体验等）；沉浸式体验类（AI驱动的互动投影、沉浸式空间、AR/VR体验等）；生活场景类（AI在医疗、交通、环保、农业等领域的应用场景化展示）。</w:t>
      </w:r>
    </w:p>
    <w:p w14:paraId="094B5DB7">
      <w:pPr>
        <w:spacing w:line="560" w:lineRule="exact"/>
        <w:ind w:firstLine="640"/>
        <w:jc w:val="both"/>
      </w:pPr>
      <w:r>
        <w:rPr>
          <w:rFonts w:ascii="仿宋_GB2312" w:hAnsi="仿宋_GB2312" w:eastAsia="仿宋_GB2312" w:cs="仿宋_GB2312"/>
          <w:sz w:val="32"/>
          <w:szCs w:val="32"/>
        </w:rPr>
        <w:t>3.B类——经典展品主题化改造类展项（不少于7件）。以科技馆中经过长期验证、观众喜闻乐见的经典互动展品形态为载体，融入AI核心思想。须从以下10个方向中选取7类以上，且类型不重复：概率与统计类→AI推理与预测；路径寻优类→优化算法与搜索策略；决策博弈类→决策与博弈；分类识别类→模式识别与分类；逻辑推理类→逻辑运算与推理；进化与迭代类→遗传算法与进化计算；信息编码类→编码与信息表示；群体智能类→群体智能与多智能体；记忆与联想类→记忆与联想机制；反馈控制类→反馈与自适应。</w:t>
      </w:r>
    </w:p>
    <w:p w14:paraId="5F9D2195">
      <w:pPr>
        <w:spacing w:line="560" w:lineRule="exact"/>
        <w:ind w:firstLine="640"/>
        <w:jc w:val="both"/>
      </w:pPr>
      <w:r>
        <w:rPr>
          <w:rFonts w:ascii="仿宋_GB2312" w:hAnsi="仿宋_GB2312" w:eastAsia="仿宋_GB2312" w:cs="仿宋_GB2312"/>
          <w:sz w:val="32"/>
          <w:szCs w:val="32"/>
        </w:rPr>
        <w:t>4.核心展项设计要求。投标人须在投标方案中提供不少于3件核心展项的详细设计说明，每件须包含科学原理及技术路线、展项结构与机械设计、交互方式与操作流程、展项效果图、反馈机制与科普解读方式等内容。</w:t>
      </w:r>
    </w:p>
    <w:p w14:paraId="40ACEC27">
      <w:pPr>
        <w:spacing w:line="560" w:lineRule="exact"/>
        <w:ind w:firstLine="640"/>
        <w:jc w:val="both"/>
      </w:pPr>
      <w:r>
        <w:rPr>
          <w:rFonts w:ascii="仿宋_GB2312" w:hAnsi="仿宋_GB2312" w:eastAsia="仿宋_GB2312" w:cs="仿宋_GB2312"/>
          <w:sz w:val="32"/>
          <w:szCs w:val="32"/>
        </w:rPr>
        <w:t>5.本土化融合要求。全部展项中不少于3件须融合陕西本土科技资源或历史文化元素。融合方向包括但不限于：科技资源融合（结合航空航天、智能制造、能源化工等陕西科教优势）；历史文化融合（结合周秦汉唐文明、丝绸之路、大唐西市、皮影戏、兵马俑、碑林书法等）；产业应用融合（结合“人工智能+”行动中重点推进的制造、能源、文旅等领域应用场景）。融合方式鼓励创新，可从内容主题、视觉设计、互动玩法、数据素材等多个维度切入，避免简单贴标签式的表面结合。投标人须在投标方案中明确标注每件融合展项的名称、融合方式及融合内容。</w:t>
      </w:r>
    </w:p>
    <w:p w14:paraId="539EDF45">
      <w:pPr>
        <w:spacing w:line="560" w:lineRule="exact"/>
        <w:ind w:firstLine="640"/>
        <w:jc w:val="both"/>
      </w:pPr>
      <w:r>
        <w:rPr>
          <w:rFonts w:ascii="仿宋_GB2312" w:hAnsi="仿宋_GB2312" w:eastAsia="仿宋_GB2312" w:cs="仿宋_GB2312"/>
          <w:sz w:val="32"/>
          <w:szCs w:val="32"/>
        </w:rPr>
        <w:t>6.空间布局与动线要求。每件展品的占地空间：操作空间：人流通道比例不低于1:1:1.25，投标人须提供展厅空间布局计算说明；参观动线清晰，设有明确的逻辑主线，从“应用体验”到“原理认知”自然过渡；空间氛围营造具有科技感与沉浸感，避免过度依赖灯光特效造成观众视觉疲劳；预留后续内容更新与展项迭代的接口，具备一定的可拓展性。</w:t>
      </w:r>
    </w:p>
    <w:p w14:paraId="5D4124D7">
      <w:pPr>
        <w:spacing w:line="560" w:lineRule="exact"/>
        <w:ind w:firstLine="640"/>
        <w:jc w:val="both"/>
      </w:pPr>
      <w:r>
        <w:rPr>
          <w:rFonts w:ascii="仿宋_GB2312" w:hAnsi="仿宋_GB2312" w:eastAsia="仿宋_GB2312" w:cs="仿宋_GB2312"/>
          <w:sz w:val="32"/>
          <w:szCs w:val="32"/>
        </w:rPr>
        <w:t>7.所有AI互动展项的体验品质（包括但不限于互动界面、响应时长等）需接近现有手机或电脑应用程序。</w:t>
      </w:r>
    </w:p>
    <w:p w14:paraId="2C4427BB">
      <w:pPr>
        <w:spacing w:line="560" w:lineRule="exact"/>
        <w:ind w:firstLine="640"/>
        <w:jc w:val="both"/>
      </w:pPr>
      <w:r>
        <w:rPr>
          <w:rFonts w:ascii="楷体_GB2312" w:hAnsi="楷体_GB2312" w:eastAsia="楷体_GB2312" w:cs="楷体_GB2312"/>
          <w:b/>
          <w:bCs/>
          <w:sz w:val="32"/>
          <w:szCs w:val="32"/>
        </w:rPr>
        <w:t>（三）探究展区（四层展厅西南区域，约110平方米）</w:t>
      </w:r>
    </w:p>
    <w:p w14:paraId="54A87AA0">
      <w:pPr>
        <w:spacing w:line="560" w:lineRule="exact"/>
        <w:ind w:firstLine="640"/>
        <w:jc w:val="both"/>
      </w:pPr>
      <w:r>
        <w:rPr>
          <w:rFonts w:ascii="仿宋_GB2312" w:hAnsi="仿宋_GB2312" w:eastAsia="仿宋_GB2312" w:cs="仿宋_GB2312"/>
          <w:sz w:val="32"/>
          <w:szCs w:val="32"/>
        </w:rPr>
        <w:t>探究展区位于四层展厅西南区域，约110平方米。核心建设内容为布置不少于7件原创人工智能探究展项，每件聚焦一个人工智能核心技术概念，并不同程度地融合陕西本地元素，引导观众完成从“体验”到“理解”的认知升华。</w:t>
      </w:r>
    </w:p>
    <w:p w14:paraId="14A4C78E">
      <w:pPr>
        <w:spacing w:line="560" w:lineRule="exact"/>
        <w:ind w:firstLine="640"/>
        <w:jc w:val="both"/>
      </w:pPr>
      <w:r>
        <w:rPr>
          <w:rFonts w:ascii="仿宋_GB2312" w:hAnsi="仿宋_GB2312" w:eastAsia="仿宋_GB2312" w:cs="仿宋_GB2312"/>
          <w:sz w:val="32"/>
          <w:szCs w:val="32"/>
        </w:rPr>
        <w:t>1.展项体系覆盖四大主题方向。</w:t>
      </w:r>
    </w:p>
    <w:p w14:paraId="20FE0D3E">
      <w:pPr>
        <w:spacing w:line="560" w:lineRule="exact"/>
        <w:ind w:firstLine="640"/>
        <w:jc w:val="both"/>
      </w:pPr>
      <w:r>
        <w:rPr>
          <w:rFonts w:ascii="仿宋_GB2312" w:hAnsi="仿宋_GB2312" w:eastAsia="仿宋_GB2312" w:cs="仿宋_GB2312"/>
          <w:sz w:val="32"/>
          <w:szCs w:val="32"/>
        </w:rPr>
        <w:t>（1）神经网络基础类（如感知机、MP神经元模型、神经网络、激活函数等）：揭示“最简单的人工神经元如何通过加权求和与阈值判断实现二分类”的基本逻辑，呈现多层神经元连接如何实现复杂模式识别。</w:t>
      </w:r>
    </w:p>
    <w:p w14:paraId="343FC8B3">
      <w:pPr>
        <w:spacing w:line="560" w:lineRule="exact"/>
        <w:ind w:firstLine="640"/>
        <w:jc w:val="both"/>
      </w:pPr>
      <w:r>
        <w:rPr>
          <w:rFonts w:ascii="仿宋_GB2312" w:hAnsi="仿宋_GB2312" w:eastAsia="仿宋_GB2312" w:cs="仿宋_GB2312"/>
          <w:sz w:val="32"/>
          <w:szCs w:val="32"/>
        </w:rPr>
        <w:t>（2）训练与优化类（如梯度下降、反向传播、监督学习、无监督学习、强化学习、过拟合与泛化等）：以可视化方式呈现“逐步找最低点”的优化过程、误差从输出层向输入层传递的过程、试错与奖励机制学习策略的过程。</w:t>
      </w:r>
    </w:p>
    <w:p w14:paraId="7695A352">
      <w:pPr>
        <w:spacing w:line="560" w:lineRule="exact"/>
        <w:ind w:firstLine="640"/>
        <w:jc w:val="both"/>
      </w:pPr>
      <w:r>
        <w:rPr>
          <w:rFonts w:ascii="仿宋_GB2312" w:hAnsi="仿宋_GB2312" w:eastAsia="仿宋_GB2312" w:cs="仿宋_GB2312"/>
          <w:sz w:val="32"/>
          <w:szCs w:val="32"/>
        </w:rPr>
        <w:t>（3）前沿架构类（如Transformer架构、注意力机制、大语言模型等）：展示自注意力机制的基本思想以及大规模预训练语言模型的工作原理与能力边界。</w:t>
      </w:r>
    </w:p>
    <w:p w14:paraId="5D0E478B">
      <w:pPr>
        <w:spacing w:line="560" w:lineRule="exact"/>
        <w:ind w:firstLine="640"/>
        <w:jc w:val="both"/>
      </w:pPr>
      <w:r>
        <w:rPr>
          <w:rFonts w:ascii="仿宋_GB2312" w:hAnsi="仿宋_GB2312" w:eastAsia="仿宋_GB2312" w:cs="仿宋_GB2312"/>
          <w:sz w:val="32"/>
          <w:szCs w:val="32"/>
        </w:rPr>
        <w:t>（4）特征与表示类（如特征提取、卷积神经网络、生成与判别模型、词嵌入、决策树与随机森林等）：呈现AI如何从原始数据中提取关键特征、卷积核提取特征的过程、文字如何被转化为向量空间中的数学表示。</w:t>
      </w:r>
    </w:p>
    <w:p w14:paraId="5850F5B7">
      <w:pPr>
        <w:spacing w:line="560" w:lineRule="exact"/>
        <w:ind w:firstLine="640"/>
        <w:jc w:val="both"/>
      </w:pPr>
      <w:r>
        <w:rPr>
          <w:rFonts w:ascii="仿宋_GB2312" w:hAnsi="仿宋_GB2312" w:eastAsia="仿宋_GB2312" w:cs="仿宋_GB2312"/>
          <w:sz w:val="32"/>
          <w:szCs w:val="32"/>
        </w:rPr>
        <w:t>投标人须从上述四大主题方向中选取不少于7个具体概念进行原创展项设计，每个主题方向至少有1件展项对应，也可补充其他相关概念。</w:t>
      </w:r>
    </w:p>
    <w:p w14:paraId="2EAE5EB1">
      <w:pPr>
        <w:spacing w:line="560" w:lineRule="exact"/>
        <w:ind w:firstLine="640"/>
        <w:jc w:val="both"/>
      </w:pPr>
      <w:r>
        <w:rPr>
          <w:rFonts w:ascii="仿宋_GB2312" w:hAnsi="仿宋_GB2312" w:eastAsia="仿宋_GB2312" w:cs="仿宋_GB2312"/>
          <w:sz w:val="32"/>
          <w:szCs w:val="32"/>
        </w:rPr>
        <w:t>2.每件展项设计说明要求。每件展项均须提供完整设计说明，包含对应的科学概念及原理解读、操作方式与交互流程说明、反馈机制设计说明、科学原理解读方式、展项效果图（不少于2张不同角度）。7件展项的设计说明须全部完整，缺一件视为该展项未响应。</w:t>
      </w:r>
    </w:p>
    <w:p w14:paraId="35FB1902">
      <w:pPr>
        <w:spacing w:line="560" w:lineRule="exact"/>
        <w:ind w:firstLine="640"/>
        <w:jc w:val="both"/>
      </w:pPr>
      <w:r>
        <w:rPr>
          <w:rFonts w:ascii="仿宋_GB2312" w:hAnsi="仿宋_GB2312" w:eastAsia="仿宋_GB2312" w:cs="仿宋_GB2312"/>
          <w:sz w:val="32"/>
          <w:szCs w:val="32"/>
        </w:rPr>
        <w:t>3.展项探究链条。每件展项遵循“提出问题—动手操作—观察现象—理解原理”的探究式学习链条设计，引导观众完成完整的探究过程。7件展项须全部满足上述四步探究链条设计。</w:t>
      </w:r>
    </w:p>
    <w:p w14:paraId="5EC0C82F">
      <w:pPr>
        <w:spacing w:line="560" w:lineRule="exact"/>
        <w:ind w:firstLine="640"/>
        <w:jc w:val="both"/>
      </w:pPr>
      <w:r>
        <w:rPr>
          <w:rFonts w:ascii="仿宋_GB2312" w:hAnsi="仿宋_GB2312" w:eastAsia="仿宋_GB2312" w:cs="仿宋_GB2312"/>
          <w:sz w:val="32"/>
          <w:szCs w:val="32"/>
        </w:rPr>
        <w:t>4.本地化融合要求。不少于3件展项应不同程度地融入陕西本地元素。本地化融合服务于原理展示。融合方向包括且不限于：</w:t>
      </w:r>
    </w:p>
    <w:p w14:paraId="07D2E159">
      <w:pPr>
        <w:spacing w:line="560" w:lineRule="exact"/>
        <w:ind w:firstLine="640"/>
        <w:jc w:val="both"/>
      </w:pPr>
      <w:r>
        <w:rPr>
          <w:rFonts w:ascii="仿宋_GB2312" w:hAnsi="仿宋_GB2312" w:eastAsia="仿宋_GB2312" w:cs="仿宋_GB2312"/>
          <w:sz w:val="32"/>
          <w:szCs w:val="32"/>
        </w:rPr>
        <w:t>（1）内容主题融合——在AI原理展示中，选用陕西本地科技、文化、产业相关的案例或话题作为引入或延伸，如结合兵马俑识别、碑林书法、丝路文化、能源工业等观众熟悉的本土素材呈现AI原理。</w:t>
      </w:r>
    </w:p>
    <w:p w14:paraId="59B0CFC1">
      <w:pPr>
        <w:spacing w:line="560" w:lineRule="exact"/>
        <w:ind w:firstLine="640"/>
        <w:jc w:val="both"/>
      </w:pPr>
      <w:r>
        <w:rPr>
          <w:rFonts w:ascii="仿宋_GB2312" w:hAnsi="仿宋_GB2312" w:eastAsia="仿宋_GB2312" w:cs="仿宋_GB2312"/>
          <w:sz w:val="32"/>
          <w:szCs w:val="32"/>
        </w:rPr>
        <w:t>（2）数据素材融合——在互动展项的数据训练集、图像库、语音库等素材中，纳入陕西本土人物、景物、文化符号等元素，使观众在互动体验中接触到身边的内容。</w:t>
      </w:r>
    </w:p>
    <w:p w14:paraId="0B33762F">
      <w:pPr>
        <w:spacing w:line="560" w:lineRule="exact"/>
        <w:ind w:firstLine="640"/>
        <w:jc w:val="both"/>
      </w:pPr>
      <w:r>
        <w:rPr>
          <w:rFonts w:ascii="仿宋_GB2312" w:hAnsi="仿宋_GB2312" w:eastAsia="仿宋_GB2312" w:cs="仿宋_GB2312"/>
          <w:sz w:val="32"/>
          <w:szCs w:val="32"/>
        </w:rPr>
        <w:t>（3）视觉设计融合——在展项外观、界面视觉、场景营造中，适度融入陕西地域文化符号或视觉风格，提升整体辨识度与亲切感。</w:t>
      </w:r>
    </w:p>
    <w:p w14:paraId="68F67CF3">
      <w:pPr>
        <w:spacing w:line="560" w:lineRule="exact"/>
        <w:ind w:firstLine="640"/>
        <w:jc w:val="both"/>
      </w:pPr>
      <w:r>
        <w:rPr>
          <w:rFonts w:ascii="仿宋_GB2312" w:hAnsi="仿宋_GB2312" w:eastAsia="仿宋_GB2312" w:cs="仿宋_GB2312"/>
          <w:sz w:val="32"/>
          <w:szCs w:val="32"/>
        </w:rPr>
        <w:t>融合方式鼓励创新，避免生硬贴标。评审以原理展示的准确性与互动效果为首要标准，本地化融合作为重要加分项综合考量。投标人须在投标方案中明确标注每件融合展项的名称、融合方式及融合内容。</w:t>
      </w:r>
    </w:p>
    <w:p w14:paraId="2A4A702D">
      <w:pPr>
        <w:spacing w:line="560" w:lineRule="exact"/>
        <w:ind w:firstLine="640"/>
        <w:jc w:val="both"/>
      </w:pPr>
      <w:r>
        <w:rPr>
          <w:rFonts w:ascii="仿宋_GB2312" w:hAnsi="仿宋_GB2312" w:eastAsia="仿宋_GB2312" w:cs="仿宋_GB2312"/>
          <w:sz w:val="32"/>
          <w:szCs w:val="32"/>
        </w:rPr>
        <w:t>5.展项设计要求。</w:t>
      </w:r>
    </w:p>
    <w:p w14:paraId="2001A7E0">
      <w:pPr>
        <w:spacing w:line="560" w:lineRule="exact"/>
        <w:ind w:firstLine="640"/>
        <w:jc w:val="both"/>
      </w:pPr>
      <w:r>
        <w:rPr>
          <w:rFonts w:ascii="仿宋_GB2312" w:hAnsi="仿宋_GB2312" w:eastAsia="仿宋_GB2312" w:cs="仿宋_GB2312"/>
          <w:sz w:val="32"/>
          <w:szCs w:val="32"/>
        </w:rPr>
        <w:t>（1）每件展项须有明确的科学概念对应，科普原理准确无误。</w:t>
      </w:r>
    </w:p>
    <w:p w14:paraId="77BA66BE">
      <w:pPr>
        <w:spacing w:line="560" w:lineRule="exact"/>
        <w:ind w:firstLine="640"/>
        <w:jc w:val="both"/>
      </w:pPr>
      <w:r>
        <w:rPr>
          <w:rFonts w:ascii="仿宋_GB2312" w:hAnsi="仿宋_GB2312" w:eastAsia="仿宋_GB2312" w:cs="仿宋_GB2312"/>
          <w:sz w:val="32"/>
          <w:szCs w:val="32"/>
        </w:rPr>
        <w:t>（2）展项操作方式直观易懂，具备清晰的操作指引与反馈机制。</w:t>
      </w:r>
    </w:p>
    <w:p w14:paraId="2E7E6B18">
      <w:pPr>
        <w:spacing w:line="560" w:lineRule="exact"/>
        <w:ind w:firstLine="640"/>
        <w:jc w:val="both"/>
      </w:pPr>
      <w:r>
        <w:rPr>
          <w:rFonts w:ascii="仿宋_GB2312" w:hAnsi="仿宋_GB2312" w:eastAsia="仿宋_GB2312" w:cs="仿宋_GB2312"/>
          <w:sz w:val="32"/>
          <w:szCs w:val="32"/>
        </w:rPr>
        <w:t>（3）展项适合不同年龄层观众参与，兼顾趣味性与知识性。</w:t>
      </w:r>
    </w:p>
    <w:p w14:paraId="117D3F0C">
      <w:pPr>
        <w:spacing w:line="560" w:lineRule="exact"/>
        <w:ind w:firstLine="640"/>
        <w:jc w:val="both"/>
      </w:pPr>
      <w:r>
        <w:rPr>
          <w:rFonts w:ascii="仿宋_GB2312" w:hAnsi="仿宋_GB2312" w:eastAsia="仿宋_GB2312" w:cs="仿宋_GB2312"/>
          <w:sz w:val="32"/>
          <w:szCs w:val="32"/>
        </w:rPr>
        <w:t>（4）展项整体风格统一，与主题展区整体视觉体系协调。</w:t>
      </w:r>
    </w:p>
    <w:p w14:paraId="021239F8">
      <w:pPr>
        <w:spacing w:line="560" w:lineRule="exact"/>
        <w:ind w:firstLine="640"/>
        <w:jc w:val="both"/>
      </w:pPr>
      <w:r>
        <w:rPr>
          <w:rFonts w:ascii="仿宋_GB2312" w:hAnsi="仿宋_GB2312" w:eastAsia="仿宋_GB2312" w:cs="仿宋_GB2312"/>
          <w:sz w:val="32"/>
          <w:szCs w:val="32"/>
        </w:rPr>
        <w:t>（5）展项结构牢固耐用，适应大流量场馆使用环境。</w:t>
      </w:r>
    </w:p>
    <w:p w14:paraId="19B8DAEC">
      <w:pPr>
        <w:spacing w:line="560" w:lineRule="exact"/>
        <w:ind w:firstLine="640"/>
        <w:jc w:val="both"/>
      </w:pPr>
      <w:r>
        <w:rPr>
          <w:rFonts w:ascii="仿宋_GB2312" w:hAnsi="仿宋_GB2312" w:eastAsia="仿宋_GB2312" w:cs="仿宋_GB2312"/>
          <w:sz w:val="32"/>
          <w:szCs w:val="32"/>
        </w:rPr>
        <w:t>（6）展项底座带轮可移动，配备锁止装置，兼顾日常开放与集中研学的灵活布置需求。</w:t>
      </w:r>
    </w:p>
    <w:p w14:paraId="1D1C9149">
      <w:pPr>
        <w:spacing w:line="560" w:lineRule="exact"/>
        <w:ind w:firstLine="640"/>
        <w:jc w:val="both"/>
      </w:pPr>
      <w:r>
        <w:rPr>
          <w:rFonts w:ascii="仿宋_GB2312" w:hAnsi="仿宋_GB2312" w:eastAsia="仿宋_GB2312" w:cs="仿宋_GB2312"/>
          <w:sz w:val="32"/>
          <w:szCs w:val="32"/>
        </w:rPr>
        <w:t>6.空间与配套设施。每件展品的占地空间：操作空间：人流通道的比例不低于1:1:1.5，投标人须提供展厅空间布局计算说明；投标人须根据实际布局合理规划参观动线与观众停留区域，空间氛围营造具有科技感；并配备必要的操作台、座椅、储物等配套设施，支持集中研学活动开展。</w:t>
      </w:r>
    </w:p>
    <w:p w14:paraId="3A1E3F10">
      <w:pPr>
        <w:spacing w:line="560" w:lineRule="exact"/>
        <w:ind w:firstLine="640"/>
        <w:jc w:val="both"/>
      </w:pPr>
      <w:r>
        <w:rPr>
          <w:rFonts w:ascii="楷体_GB2312" w:hAnsi="楷体_GB2312" w:eastAsia="楷体_GB2312" w:cs="楷体_GB2312"/>
          <w:b/>
          <w:bCs/>
          <w:sz w:val="32"/>
          <w:szCs w:val="32"/>
        </w:rPr>
        <w:t>（四）展厅拆除及环境营造</w:t>
      </w:r>
    </w:p>
    <w:p w14:paraId="50313599">
      <w:pPr>
        <w:spacing w:line="560" w:lineRule="exact"/>
        <w:ind w:firstLine="640"/>
        <w:jc w:val="both"/>
      </w:pPr>
      <w:r>
        <w:rPr>
          <w:rFonts w:ascii="仿宋_GB2312" w:hAnsi="仿宋_GB2312" w:eastAsia="仿宋_GB2312" w:cs="仿宋_GB2312"/>
          <w:sz w:val="32"/>
          <w:szCs w:val="32"/>
        </w:rPr>
        <w:t>本项目为四层展厅整体改造，中标人须负责四层主展厅区域内原有展项、装饰、管线等的全部拆除清运，以及整体环境营造与配套改造工作。具体包含：拆除清运、环境营造、场地恢复三部分，其中探究展区包含局部地面、墙面、顶面调整，配套强弱电及网络点位布设，照明及氛围营造等。拆除过程须对建筑结构、公共设施采取成品保护措施；环境营造风格须与展陈主题统一协调，材料须符合国家环保及消防要求；施工须满足场馆安全规范。上述费用均包含在投标总价中，采购人不再另行支付。</w:t>
      </w:r>
    </w:p>
    <w:p w14:paraId="5D6B8979">
      <w:pPr>
        <w:spacing w:line="560" w:lineRule="exact"/>
        <w:ind w:firstLine="640"/>
        <w:jc w:val="both"/>
      </w:pPr>
      <w:r>
        <w:rPr>
          <w:rFonts w:ascii="楷体_GB2312" w:hAnsi="楷体_GB2312" w:eastAsia="楷体_GB2312" w:cs="楷体_GB2312"/>
          <w:b/>
          <w:bCs/>
          <w:sz w:val="32"/>
          <w:szCs w:val="32"/>
        </w:rPr>
        <w:t>（五）整体技术要求</w:t>
      </w:r>
    </w:p>
    <w:p w14:paraId="167BAC5D">
      <w:pPr>
        <w:spacing w:line="560" w:lineRule="exact"/>
        <w:ind w:firstLine="640"/>
        <w:jc w:val="both"/>
      </w:pPr>
      <w:r>
        <w:rPr>
          <w:rFonts w:ascii="仿宋_GB2312" w:hAnsi="仿宋_GB2312" w:eastAsia="仿宋_GB2312" w:cs="仿宋_GB2312"/>
          <w:sz w:val="32"/>
          <w:szCs w:val="32"/>
        </w:rPr>
        <w:t>1.互动反馈与科学原理解读。每件展项须具备清晰的操作反馈机制，互动结果可被观众直观感知；展项须配套科学原理解读说明（图文、语音、动画等形式），让观众在体验中理解背后的科学原理。</w:t>
      </w:r>
    </w:p>
    <w:p w14:paraId="0623FA62">
      <w:pPr>
        <w:spacing w:line="560" w:lineRule="exact"/>
        <w:ind w:firstLine="640"/>
        <w:jc w:val="both"/>
      </w:pPr>
      <w:r>
        <w:rPr>
          <w:rFonts w:ascii="仿宋_GB2312" w:hAnsi="仿宋_GB2312" w:eastAsia="仿宋_GB2312" w:cs="仿宋_GB2312"/>
          <w:sz w:val="32"/>
          <w:szCs w:val="32"/>
        </w:rPr>
        <w:t>2.展项结构与材料。展项采用金属、木材等高质感耐久性材料，可结合玻璃、亚克力等透明材质；运动部件运转平稳，机械传动声音悦耳不嘈杂；外观工艺精细，符合科技馆展陈品质要求。</w:t>
      </w:r>
    </w:p>
    <w:p w14:paraId="19074D92">
      <w:pPr>
        <w:spacing w:line="560" w:lineRule="exact"/>
        <w:ind w:firstLine="640"/>
        <w:jc w:val="both"/>
      </w:pPr>
      <w:r>
        <w:rPr>
          <w:rFonts w:ascii="仿宋_GB2312" w:hAnsi="仿宋_GB2312" w:eastAsia="仿宋_GB2312" w:cs="仿宋_GB2312"/>
          <w:sz w:val="32"/>
          <w:szCs w:val="32"/>
        </w:rPr>
        <w:t>3.电气与控制系统。电气系统须符合国家电气安全标准，具备漏电保护、过载保护等功能；控制系统稳定可靠，支持长时间连续运行；适应大流量场馆环境，每日开馆时段连续运行无故障。</w:t>
      </w:r>
    </w:p>
    <w:p w14:paraId="5C67FA4E">
      <w:pPr>
        <w:spacing w:line="560" w:lineRule="exact"/>
        <w:ind w:firstLine="640"/>
        <w:jc w:val="both"/>
      </w:pPr>
      <w:r>
        <w:rPr>
          <w:rFonts w:ascii="仿宋_GB2312" w:hAnsi="仿宋_GB2312" w:eastAsia="仿宋_GB2312" w:cs="仿宋_GB2312"/>
          <w:sz w:val="32"/>
          <w:szCs w:val="32"/>
        </w:rPr>
        <w:t>4.视听与多媒体。灯光、音响、投影、显示屏等视听设备须满足展项运行需求；视觉设计具有科技感，避免过度依赖灯光特效造成观众视觉疲劳；多媒体内容支持后期更新替换。</w:t>
      </w:r>
    </w:p>
    <w:p w14:paraId="70AFC338">
      <w:pPr>
        <w:spacing w:line="560" w:lineRule="exact"/>
        <w:ind w:firstLine="640"/>
        <w:jc w:val="both"/>
      </w:pPr>
      <w:r>
        <w:rPr>
          <w:rFonts w:ascii="仿宋_GB2312" w:hAnsi="仿宋_GB2312" w:eastAsia="仿宋_GB2312" w:cs="仿宋_GB2312"/>
          <w:sz w:val="32"/>
          <w:szCs w:val="32"/>
        </w:rPr>
        <w:t>5.安全与可靠性。所有运动部件须设置防护罩或防护栏，确保观众无法触及危险区域；所有外露边角须做圆角处理，无锐边、毛刺；紧急停止按钮分布于观众可达的明显位置（如需要）；关键部件须具备冗余设计。</w:t>
      </w:r>
    </w:p>
    <w:p w14:paraId="64A1FF39">
      <w:pPr>
        <w:spacing w:line="560" w:lineRule="exact"/>
        <w:ind w:firstLine="640"/>
        <w:jc w:val="both"/>
      </w:pPr>
      <w:r>
        <w:rPr>
          <w:rFonts w:ascii="仿宋_GB2312" w:hAnsi="仿宋_GB2312" w:eastAsia="仿宋_GB2312" w:cs="仿宋_GB2312"/>
          <w:sz w:val="32"/>
          <w:szCs w:val="32"/>
        </w:rPr>
        <w:t>6.可维护性与扩展性。易损部件须采用模块化设计，可快速更换，缩短维护停机时间；提供完整的易损件清单与备品备件，在质保期内免费更换；展项设计预留后续内容更新与展项迭代的接口，具备一定的可拓展性。</w:t>
      </w:r>
    </w:p>
    <w:p w14:paraId="184898ED">
      <w:pPr>
        <w:spacing w:line="560" w:lineRule="exact"/>
        <w:ind w:firstLine="640"/>
        <w:jc w:val="both"/>
      </w:pPr>
      <w:r>
        <w:rPr>
          <w:rFonts w:ascii="仿宋_GB2312" w:hAnsi="仿宋_GB2312" w:eastAsia="仿宋_GB2312" w:cs="仿宋_GB2312"/>
          <w:sz w:val="32"/>
          <w:szCs w:val="32"/>
        </w:rPr>
        <w:t>7.本项目设计、施工及验收须遵循但不限于以下现行标准与规范：</w:t>
      </w:r>
    </w:p>
    <w:p w14:paraId="5870AC12">
      <w:pPr>
        <w:spacing w:line="560" w:lineRule="exact"/>
        <w:ind w:firstLine="640"/>
        <w:jc w:val="both"/>
      </w:pPr>
      <w:r>
        <w:rPr>
          <w:rFonts w:ascii="仿宋_GB2312" w:hAnsi="仿宋_GB2312" w:eastAsia="仿宋_GB2312" w:cs="仿宋_GB2312"/>
          <w:sz w:val="32"/>
          <w:szCs w:val="32"/>
        </w:rPr>
        <w:t>《科学技术馆建设标准》建标 101-2007（2015年修订版）、《科普基础设施工程技术标准》GB/T 51453-2024、《自然科学博物馆展陈服务规范》GB/T 44315-2024、《科学技术馆展览设计规范》T/CANSM 8-2021、《科学技术馆展品技术规范》T/CANSM 9-2021、《科学技术馆安全管理规范》T/CANSM 5-2019、《民用建筑工程室内环境污染控制标准》GB 50325-2020，国家及地方现行消防、安全、环保等强制性标准。</w:t>
      </w:r>
    </w:p>
    <w:p w14:paraId="0784E651">
      <w:pPr>
        <w:spacing w:line="560" w:lineRule="exact"/>
        <w:ind w:firstLine="640"/>
        <w:jc w:val="both"/>
      </w:pPr>
      <w:r>
        <w:rPr>
          <w:rFonts w:ascii="仿宋_GB2312" w:hAnsi="仿宋_GB2312" w:eastAsia="仿宋_GB2312" w:cs="仿宋_GB2312"/>
          <w:sz w:val="32"/>
          <w:szCs w:val="32"/>
        </w:rPr>
        <w:t>8.培训与资料。中标人须提供展品操作、日常维护、故障排查等完整的纸质及电子版技术资料，并完成对馆方技术人员和辅导员的培训。</w:t>
      </w:r>
    </w:p>
    <w:p w14:paraId="7DB4A78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38F03F8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2F2EA37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4F8F835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252DB33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3A28AB5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0B8B5C0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40148B9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6400F3A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076FAA0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21595B7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755D234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1CA939C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79134B1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7197E24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7F11DAC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253A4A0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2F4F15C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1B3C9DF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20EA437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4BFFFCE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p>
    <w:p w14:paraId="259A516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sz w:val="32"/>
          <w:szCs w:val="32"/>
        </w:rPr>
      </w:pPr>
      <w:r>
        <w:rPr>
          <w:rFonts w:hint="eastAsia" w:ascii="黑体" w:hAnsi="黑体" w:eastAsia="黑体" w:cs="黑体"/>
          <w:b w:val="0"/>
          <w:bCs/>
          <w:sz w:val="32"/>
          <w:szCs w:val="32"/>
        </w:rPr>
        <w:t>陕西科技馆机械展厅部分展品更新项目采购要求</w:t>
      </w:r>
    </w:p>
    <w:p w14:paraId="35092C5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本项目以</w:t>
      </w:r>
      <w:r>
        <w:rPr>
          <w:rFonts w:hint="eastAsia" w:ascii="仿宋_GB2312" w:hAnsi="仿宋_GB2312" w:eastAsia="仿宋_GB2312" w:cs="仿宋_GB2312"/>
          <w:b w:val="0"/>
          <w:sz w:val="32"/>
          <w:szCs w:val="32"/>
          <w:lang w:eastAsia="zh-CN"/>
        </w:rPr>
        <w:t>“</w:t>
      </w:r>
      <w:r>
        <w:rPr>
          <w:rFonts w:hint="eastAsia" w:ascii="仿宋_GB2312" w:hAnsi="仿宋_GB2312" w:eastAsia="仿宋_GB2312" w:cs="仿宋_GB2312"/>
          <w:b w:val="0"/>
          <w:sz w:val="32"/>
          <w:szCs w:val="32"/>
        </w:rPr>
        <w:t>机械之美、原理之美</w:t>
      </w:r>
      <w:r>
        <w:rPr>
          <w:rFonts w:hint="eastAsia" w:ascii="仿宋_GB2312" w:hAnsi="仿宋_GB2312" w:eastAsia="仿宋_GB2312" w:cs="仿宋_GB2312"/>
          <w:b w:val="0"/>
          <w:sz w:val="32"/>
          <w:szCs w:val="32"/>
          <w:lang w:eastAsia="zh-CN"/>
        </w:rPr>
        <w:t>”</w:t>
      </w:r>
      <w:r>
        <w:rPr>
          <w:rFonts w:hint="eastAsia" w:ascii="仿宋_GB2312" w:hAnsi="仿宋_GB2312" w:eastAsia="仿宋_GB2312" w:cs="仿宋_GB2312"/>
          <w:b w:val="0"/>
          <w:sz w:val="32"/>
          <w:szCs w:val="32"/>
        </w:rPr>
        <w:t>为主题，以</w:t>
      </w:r>
      <w:r>
        <w:rPr>
          <w:rFonts w:hint="eastAsia" w:ascii="仿宋_GB2312" w:hAnsi="仿宋_GB2312" w:eastAsia="仿宋_GB2312" w:cs="仿宋_GB2312"/>
          <w:b w:val="0"/>
          <w:sz w:val="32"/>
          <w:szCs w:val="32"/>
          <w:lang w:eastAsia="zh-CN"/>
        </w:rPr>
        <w:t>“</w:t>
      </w:r>
      <w:r>
        <w:rPr>
          <w:rFonts w:hint="eastAsia" w:ascii="仿宋_GB2312" w:hAnsi="仿宋_GB2312" w:eastAsia="仿宋_GB2312" w:cs="仿宋_GB2312"/>
          <w:b w:val="0"/>
          <w:sz w:val="32"/>
          <w:szCs w:val="32"/>
        </w:rPr>
        <w:t>翻新+更换+升级</w:t>
      </w:r>
      <w:r>
        <w:rPr>
          <w:rFonts w:hint="eastAsia" w:ascii="仿宋_GB2312" w:hAnsi="仿宋_GB2312" w:eastAsia="仿宋_GB2312" w:cs="仿宋_GB2312"/>
          <w:b w:val="0"/>
          <w:sz w:val="32"/>
          <w:szCs w:val="32"/>
          <w:lang w:eastAsia="zh-CN"/>
        </w:rPr>
        <w:t>”</w:t>
      </w:r>
      <w:r>
        <w:rPr>
          <w:rFonts w:hint="eastAsia" w:ascii="仿宋_GB2312" w:hAnsi="仿宋_GB2312" w:eastAsia="仿宋_GB2312" w:cs="仿宋_GB2312"/>
          <w:b w:val="0"/>
          <w:sz w:val="32"/>
          <w:szCs w:val="32"/>
        </w:rPr>
        <w:t>为总体思路，让机械展厅在保留经典科学原理与科普内核的前提下焕发新生。</w:t>
      </w:r>
    </w:p>
    <w:p w14:paraId="4BAE050F">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翻新升级3件展品——入口处机械墙扩充机械传动种类并强化显性表达，</w:t>
      </w:r>
      <w:r>
        <w:rPr>
          <w:rFonts w:hint="eastAsia" w:ascii="仿宋_GB2312" w:hAnsi="仿宋_GB2312" w:eastAsia="仿宋_GB2312" w:cs="仿宋_GB2312"/>
          <w:b w:val="0"/>
          <w:sz w:val="32"/>
          <w:szCs w:val="32"/>
          <w:lang w:eastAsia="zh-CN"/>
        </w:rPr>
        <w:t>“机械的基本元素和机械计量”</w:t>
      </w:r>
      <w:r>
        <w:rPr>
          <w:rFonts w:hint="eastAsia" w:ascii="仿宋_GB2312" w:hAnsi="仿宋_GB2312" w:eastAsia="仿宋_GB2312" w:cs="仿宋_GB2312"/>
          <w:b w:val="0"/>
          <w:sz w:val="32"/>
          <w:szCs w:val="32"/>
        </w:rPr>
        <w:t>由静态升级为可互动，</w:t>
      </w:r>
      <w:r>
        <w:rPr>
          <w:rFonts w:hint="eastAsia" w:ascii="仿宋_GB2312" w:hAnsi="仿宋_GB2312" w:eastAsia="仿宋_GB2312" w:cs="仿宋_GB2312"/>
          <w:b w:val="0"/>
          <w:sz w:val="32"/>
          <w:szCs w:val="32"/>
          <w:lang w:eastAsia="zh-CN"/>
        </w:rPr>
        <w:t>“</w:t>
      </w:r>
      <w:r>
        <w:rPr>
          <w:rFonts w:hint="eastAsia" w:ascii="仿宋_GB2312" w:hAnsi="仿宋_GB2312" w:eastAsia="仿宋_GB2312" w:cs="仿宋_GB2312"/>
          <w:b w:val="0"/>
          <w:sz w:val="32"/>
          <w:szCs w:val="32"/>
        </w:rPr>
        <w:t>机械蜂鸟</w:t>
      </w:r>
      <w:r>
        <w:rPr>
          <w:rFonts w:hint="eastAsia" w:ascii="仿宋_GB2312" w:hAnsi="仿宋_GB2312" w:eastAsia="仿宋_GB2312" w:cs="仿宋_GB2312"/>
          <w:b w:val="0"/>
          <w:sz w:val="32"/>
          <w:szCs w:val="32"/>
          <w:lang w:eastAsia="zh-CN"/>
        </w:rPr>
        <w:t>”</w:t>
      </w:r>
      <w:r>
        <w:rPr>
          <w:rFonts w:hint="eastAsia" w:ascii="仿宋_GB2312" w:hAnsi="仿宋_GB2312" w:eastAsia="仿宋_GB2312" w:cs="仿宋_GB2312"/>
          <w:b w:val="0"/>
          <w:sz w:val="32"/>
          <w:szCs w:val="32"/>
        </w:rPr>
        <w:t>针对易坏问题提升运行可靠性；更换7件展品让展品体系全面提质，其中包括将原</w:t>
      </w:r>
      <w:r>
        <w:rPr>
          <w:rFonts w:hint="eastAsia" w:ascii="仿宋_GB2312" w:hAnsi="仿宋_GB2312" w:eastAsia="仿宋_GB2312" w:cs="仿宋_GB2312"/>
          <w:b w:val="0"/>
          <w:sz w:val="32"/>
          <w:szCs w:val="32"/>
          <w:lang w:eastAsia="zh-CN"/>
        </w:rPr>
        <w:t>全息音响剧场</w:t>
      </w:r>
      <w:r>
        <w:rPr>
          <w:rFonts w:hint="eastAsia" w:ascii="仿宋_GB2312" w:hAnsi="仿宋_GB2312" w:eastAsia="仿宋_GB2312" w:cs="仿宋_GB2312"/>
          <w:b w:val="0"/>
          <w:sz w:val="32"/>
          <w:szCs w:val="32"/>
        </w:rPr>
        <w:t>升级改造为开放式沉浸式视听互动体验空间</w:t>
      </w:r>
      <w:r>
        <w:rPr>
          <w:rFonts w:hint="eastAsia" w:ascii="仿宋_GB2312" w:hAnsi="仿宋_GB2312" w:eastAsia="仿宋_GB2312" w:cs="仿宋_GB2312"/>
          <w:b w:val="0"/>
          <w:sz w:val="32"/>
          <w:szCs w:val="32"/>
          <w:lang w:eastAsia="zh-CN"/>
        </w:rPr>
        <w:t>，</w:t>
      </w:r>
      <w:r>
        <w:rPr>
          <w:rFonts w:hint="eastAsia" w:ascii="仿宋_GB2312" w:hAnsi="仿宋_GB2312" w:eastAsia="仿宋_GB2312" w:cs="仿宋_GB2312"/>
          <w:b w:val="0"/>
          <w:sz w:val="32"/>
          <w:szCs w:val="32"/>
        </w:rPr>
        <w:t>让观众在</w:t>
      </w:r>
      <w:r>
        <w:rPr>
          <w:rFonts w:hint="eastAsia" w:ascii="仿宋_GB2312" w:hAnsi="仿宋_GB2312" w:eastAsia="仿宋_GB2312" w:cs="仿宋_GB2312"/>
          <w:b w:val="0"/>
          <w:sz w:val="32"/>
          <w:szCs w:val="32"/>
          <w:lang w:eastAsia="zh-CN"/>
        </w:rPr>
        <w:t>“看见机械运转、参与机械互动、感受原理之美”</w:t>
      </w:r>
      <w:r>
        <w:rPr>
          <w:rFonts w:hint="eastAsia" w:ascii="仿宋_GB2312" w:hAnsi="仿宋_GB2312" w:eastAsia="仿宋_GB2312" w:cs="仿宋_GB2312"/>
          <w:b w:val="0"/>
          <w:sz w:val="32"/>
          <w:szCs w:val="32"/>
        </w:rPr>
        <w:t>的过程中，培养对工程技术的兴趣与尊重，夯实科技馆作为</w:t>
      </w:r>
      <w:r>
        <w:rPr>
          <w:rFonts w:hint="eastAsia" w:ascii="仿宋_GB2312" w:hAnsi="仿宋_GB2312" w:eastAsia="仿宋_GB2312" w:cs="仿宋_GB2312"/>
          <w:b w:val="0"/>
          <w:sz w:val="32"/>
          <w:szCs w:val="32"/>
          <w:lang w:eastAsia="zh-CN"/>
        </w:rPr>
        <w:t>“工程思维启蒙场”</w:t>
      </w:r>
      <w:r>
        <w:rPr>
          <w:rFonts w:hint="eastAsia" w:ascii="仿宋_GB2312" w:hAnsi="仿宋_GB2312" w:eastAsia="仿宋_GB2312" w:cs="仿宋_GB2312"/>
          <w:b w:val="0"/>
          <w:sz w:val="32"/>
          <w:szCs w:val="32"/>
        </w:rPr>
        <w:t>的功能。</w:t>
      </w:r>
    </w:p>
    <w:p w14:paraId="3248A1E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同时，本项目涵盖1—2层和2—3层楼梯通道视觉包装：1—2层作为由机械展厅通往二层电磁展厅的过渡性视觉空间，2—3层作为由二层电磁展厅通往三层综合展区的过渡性视觉空间。</w:t>
      </w:r>
    </w:p>
    <w:p w14:paraId="5CC22036">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黑体" w:hAnsi="黑体" w:eastAsia="黑体" w:cs="黑体"/>
          <w:b w:val="0"/>
          <w:sz w:val="32"/>
          <w:szCs w:val="32"/>
          <w:lang w:val="en-US" w:eastAsia="zh-CN"/>
        </w:rPr>
      </w:pPr>
      <w:r>
        <w:rPr>
          <w:rFonts w:hint="eastAsia" w:ascii="黑体" w:hAnsi="黑体" w:eastAsia="黑体" w:cs="黑体"/>
          <w:b w:val="0"/>
          <w:sz w:val="32"/>
          <w:szCs w:val="32"/>
          <w:lang w:val="en-US" w:eastAsia="zh-CN"/>
        </w:rPr>
        <w:t>一、项目概况</w:t>
      </w:r>
    </w:p>
    <w:p w14:paraId="713EA66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1.项目名称：陕西科技馆机械展厅部分展品更新项目</w:t>
      </w:r>
    </w:p>
    <w:p w14:paraId="74F9E15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2.招标控制价：100万元</w:t>
      </w:r>
    </w:p>
    <w:p w14:paraId="3506128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3.项目面积：约230平方米（含原全息音响</w:t>
      </w:r>
      <w:r>
        <w:rPr>
          <w:rFonts w:hint="eastAsia" w:ascii="仿宋_GB2312" w:hAnsi="仿宋_GB2312" w:eastAsia="仿宋_GB2312" w:cs="仿宋_GB2312"/>
          <w:b w:val="0"/>
          <w:sz w:val="32"/>
          <w:szCs w:val="32"/>
          <w:lang w:val="en-US" w:eastAsia="zh-CN"/>
        </w:rPr>
        <w:t>剧场</w:t>
      </w:r>
      <w:r>
        <w:rPr>
          <w:rFonts w:hint="eastAsia" w:ascii="仿宋_GB2312" w:hAnsi="仿宋_GB2312" w:eastAsia="仿宋_GB2312" w:cs="仿宋_GB2312"/>
          <w:b w:val="0"/>
          <w:sz w:val="32"/>
          <w:szCs w:val="32"/>
        </w:rPr>
        <w:t>约20㎡）</w:t>
      </w:r>
    </w:p>
    <w:p w14:paraId="7358F73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4.资金来源：财政资金</w:t>
      </w:r>
    </w:p>
    <w:p w14:paraId="6FE5669F">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5.项目工期：自合同签订之日起90日历天内完成现场安装调试</w:t>
      </w:r>
    </w:p>
    <w:p w14:paraId="361128EB">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6.深化设计要求：中标人须在合同签订后10个日历天内提交完整的深化设计方案，经采购人审核通过后方可开始展项制作与现场施工。深化设计成果须包含展项详细设计图纸、软硬件配置清单、施工组织方案、展品操作维护手册。</w:t>
      </w:r>
    </w:p>
    <w:p w14:paraId="502B062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黑体" w:hAnsi="黑体" w:eastAsia="黑体" w:cs="黑体"/>
          <w:b w:val="0"/>
          <w:sz w:val="32"/>
          <w:szCs w:val="32"/>
          <w:lang w:val="en-US" w:eastAsia="zh-CN"/>
        </w:rPr>
        <w:t>二、建设内容</w:t>
      </w:r>
    </w:p>
    <w:p w14:paraId="35F6E206">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本项目主要包括一层展区翻新升级、展品更换与沉浸式空间改造、楼梯通道等公用区域提升三类内容：</w:t>
      </w:r>
    </w:p>
    <w:p w14:paraId="4CE8B431">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仿宋_GB2312" w:hAnsi="仿宋_GB2312" w:eastAsia="仿宋_GB2312" w:cs="仿宋_GB2312"/>
          <w:b w:val="0"/>
          <w:sz w:val="32"/>
          <w:szCs w:val="32"/>
        </w:rPr>
      </w:pPr>
      <w:r>
        <w:rPr>
          <w:rFonts w:hint="eastAsia" w:ascii="楷体_GB2312" w:hAnsi="楷体_GB2312" w:eastAsia="楷体_GB2312" w:cs="楷体_GB2312"/>
          <w:b/>
          <w:bCs/>
          <w:sz w:val="32"/>
          <w:szCs w:val="32"/>
        </w:rPr>
        <w:t>（一）翻新升级（3件）</w:t>
      </w:r>
    </w:p>
    <w:p w14:paraId="0CDF7F3A">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1.入口处机械墙。现有机械墙仅展示了齿轮传动和链传动两类原理，本次升级为更显性的、展示更多种机械传动形式的机械墙，丰富机械原理的展示维度，让观众一进入场馆即能直观感受多种机械传动的魅力。升级后的机械墙须覆盖至少6类机械传动形式（如齿轮传动、链传动、带传动、连杆传动、凸轮传动、蜗轮蜗杆传动等），并通过显性化设计让观众清晰地看见各传动形式的结构与运动方式。</w:t>
      </w:r>
    </w:p>
    <w:p w14:paraId="34E1F87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2.</w:t>
      </w:r>
      <w:r>
        <w:rPr>
          <w:rFonts w:hint="eastAsia" w:ascii="仿宋_GB2312" w:hAnsi="仿宋_GB2312" w:eastAsia="仿宋_GB2312" w:cs="仿宋_GB2312"/>
          <w:b w:val="0"/>
          <w:sz w:val="32"/>
          <w:szCs w:val="32"/>
          <w:lang w:eastAsia="zh-CN"/>
        </w:rPr>
        <w:t>“机械的基本元素”</w:t>
      </w:r>
      <w:r>
        <w:rPr>
          <w:rFonts w:hint="eastAsia" w:ascii="仿宋_GB2312" w:hAnsi="仿宋_GB2312" w:eastAsia="仿宋_GB2312" w:cs="仿宋_GB2312"/>
          <w:b w:val="0"/>
          <w:sz w:val="32"/>
          <w:szCs w:val="32"/>
        </w:rPr>
        <w:t>和</w:t>
      </w:r>
      <w:r>
        <w:rPr>
          <w:rFonts w:hint="eastAsia" w:ascii="仿宋_GB2312" w:hAnsi="仿宋_GB2312" w:eastAsia="仿宋_GB2312" w:cs="仿宋_GB2312"/>
          <w:b w:val="0"/>
          <w:sz w:val="32"/>
          <w:szCs w:val="32"/>
          <w:lang w:eastAsia="zh-CN"/>
        </w:rPr>
        <w:t>“机械计量”</w:t>
      </w:r>
      <w:r>
        <w:rPr>
          <w:rFonts w:hint="eastAsia" w:ascii="仿宋_GB2312" w:hAnsi="仿宋_GB2312" w:eastAsia="仿宋_GB2312" w:cs="仿宋_GB2312"/>
          <w:b w:val="0"/>
          <w:sz w:val="32"/>
          <w:szCs w:val="32"/>
        </w:rPr>
        <w:t>。原展品均为静态展示方式，本次翻新将和观众等高的区域设计成可互动的装置，让观众可以亲手操作参与；观众够不到的高处区域可延续静态展示形式。互动设计须贴合展品科普内核，传递机械元素与计量原理。</w:t>
      </w:r>
    </w:p>
    <w:p w14:paraId="7050F91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3.机械蜂鸟。展品本身造型与运动方式有特色，深受观众喜爱，但易损坏。本次翻新重点提升其机械结构与控制系统的可靠性，确保展品稳定运行、减少故障。</w:t>
      </w:r>
    </w:p>
    <w:p w14:paraId="6398D2F4">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仿宋_GB2312" w:hAnsi="仿宋_GB2312" w:eastAsia="仿宋_GB2312" w:cs="仿宋_GB2312"/>
          <w:b w:val="0"/>
          <w:sz w:val="32"/>
          <w:szCs w:val="32"/>
        </w:rPr>
      </w:pPr>
      <w:r>
        <w:rPr>
          <w:rFonts w:hint="eastAsia" w:ascii="楷体_GB2312" w:hAnsi="楷体_GB2312" w:eastAsia="楷体_GB2312" w:cs="楷体_GB2312"/>
          <w:b/>
          <w:bCs/>
          <w:sz w:val="32"/>
          <w:szCs w:val="32"/>
        </w:rPr>
        <w:t>（二）更换展品</w:t>
      </w:r>
      <w:r>
        <w:rPr>
          <w:rFonts w:hint="eastAsia" w:ascii="楷体_GB2312" w:hAnsi="楷体_GB2312" w:eastAsia="楷体_GB2312" w:cs="楷体_GB2312"/>
          <w:b/>
          <w:bCs/>
          <w:sz w:val="32"/>
          <w:szCs w:val="32"/>
          <w:lang w:val="en-US" w:eastAsia="zh-CN"/>
        </w:rPr>
        <w:t>/展项</w:t>
      </w:r>
      <w:r>
        <w:rPr>
          <w:rFonts w:hint="eastAsia" w:ascii="楷体_GB2312" w:hAnsi="楷体_GB2312" w:eastAsia="楷体_GB2312" w:cs="楷体_GB2312"/>
          <w:b/>
          <w:bCs/>
          <w:sz w:val="32"/>
          <w:szCs w:val="32"/>
        </w:rPr>
        <w:t>（7件）</w:t>
      </w:r>
    </w:p>
    <w:p w14:paraId="260DCE1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常规更换展品（6件）：分别为机械手、机械鸟、爬楼的小球、机械钟表、光圈、啄木鸟森林。如更换中涉及区域内其他相关展项统一风格或一体化展示需求，也可一并更换，需在方案中明确说明。</w:t>
      </w:r>
    </w:p>
    <w:p w14:paraId="1EA84256">
      <w:pPr>
        <w:keepNext w:val="0"/>
        <w:keepLines w:val="0"/>
        <w:pageBreakBefore w:val="0"/>
        <w:widowControl w:val="0"/>
        <w:shd w:val="clea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highlight w:val="none"/>
          <w:shd w:val="clear" w:color="auto" w:fill="auto"/>
        </w:rPr>
      </w:pPr>
      <w:r>
        <w:rPr>
          <w:rFonts w:hint="eastAsia" w:ascii="仿宋_GB2312" w:hAnsi="仿宋_GB2312" w:eastAsia="仿宋_GB2312" w:cs="仿宋_GB2312"/>
          <w:b w:val="0"/>
          <w:sz w:val="32"/>
          <w:szCs w:val="32"/>
          <w:highlight w:val="none"/>
          <w:shd w:val="clear" w:color="auto" w:fill="auto"/>
        </w:rPr>
        <w:t>沉浸式视听互动体验空间（1件）：将原约20平方米的封闭式</w:t>
      </w:r>
      <w:r>
        <w:rPr>
          <w:rFonts w:hint="eastAsia" w:ascii="仿宋_GB2312" w:hAnsi="仿宋_GB2312" w:eastAsia="仿宋_GB2312" w:cs="仿宋_GB2312"/>
          <w:b w:val="0"/>
          <w:sz w:val="32"/>
          <w:szCs w:val="32"/>
          <w:highlight w:val="none"/>
          <w:shd w:val="clear" w:color="auto" w:fill="auto"/>
          <w:lang w:eastAsia="zh-CN"/>
        </w:rPr>
        <w:t>全息音响剧场</w:t>
      </w:r>
      <w:r>
        <w:rPr>
          <w:rFonts w:hint="eastAsia" w:ascii="仿宋_GB2312" w:hAnsi="仿宋_GB2312" w:eastAsia="仿宋_GB2312" w:cs="仿宋_GB2312"/>
          <w:b w:val="0"/>
          <w:sz w:val="32"/>
          <w:szCs w:val="32"/>
          <w:highlight w:val="none"/>
          <w:shd w:val="clear" w:color="auto" w:fill="auto"/>
        </w:rPr>
        <w:t>，改造为开放式沉浸式视听互动体验空间。拆除原有非承重封闭墙体、隔音门、地面装饰、顶面装饰及相关设施，保留建筑主体结构，通过多面显示（如CAVE五面投影、LED多面屏、折幕系统等形式）与环绕音响系统构建沉浸式视听包裹环境，观众可从开放入口自由进出，在空间内与画面内容进行互动体验。</w:t>
      </w:r>
    </w:p>
    <w:p w14:paraId="06AEA3CA">
      <w:pPr>
        <w:keepNext w:val="0"/>
        <w:keepLines w:val="0"/>
        <w:pageBreakBefore w:val="0"/>
        <w:widowControl w:val="0"/>
        <w:shd w:val="clea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highlight w:val="none"/>
          <w:shd w:val="clear" w:color="auto" w:fill="auto"/>
        </w:rPr>
      </w:pPr>
      <w:r>
        <w:rPr>
          <w:rFonts w:hint="eastAsia" w:ascii="仿宋_GB2312" w:hAnsi="仿宋_GB2312" w:eastAsia="仿宋_GB2312" w:cs="仿宋_GB2312"/>
          <w:b w:val="0"/>
          <w:sz w:val="32"/>
          <w:szCs w:val="32"/>
          <w:highlight w:val="none"/>
          <w:shd w:val="clear" w:color="auto" w:fill="auto"/>
        </w:rPr>
        <w:t>具体要求：</w:t>
      </w:r>
    </w:p>
    <w:p w14:paraId="062DCBEE">
      <w:pPr>
        <w:keepNext w:val="0"/>
        <w:keepLines w:val="0"/>
        <w:pageBreakBefore w:val="0"/>
        <w:widowControl w:val="0"/>
        <w:shd w:val="clea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highlight w:val="none"/>
          <w:shd w:val="clear" w:color="auto" w:fill="auto"/>
          <w:lang w:eastAsia="zh-CN"/>
        </w:rPr>
      </w:pPr>
      <w:r>
        <w:rPr>
          <w:rFonts w:hint="eastAsia" w:ascii="仿宋_GB2312" w:hAnsi="仿宋_GB2312" w:eastAsia="仿宋_GB2312" w:cs="仿宋_GB2312"/>
          <w:b w:val="0"/>
          <w:sz w:val="32"/>
          <w:szCs w:val="32"/>
          <w:highlight w:val="none"/>
          <w:shd w:val="clear" w:color="auto" w:fill="auto"/>
          <w:lang w:val="en-US" w:eastAsia="zh-CN"/>
        </w:rPr>
        <w:t>1.</w:t>
      </w:r>
      <w:r>
        <w:rPr>
          <w:rFonts w:hint="eastAsia" w:ascii="仿宋_GB2312" w:hAnsi="仿宋_GB2312" w:eastAsia="仿宋_GB2312" w:cs="仿宋_GB2312"/>
          <w:b w:val="0"/>
          <w:sz w:val="32"/>
          <w:szCs w:val="32"/>
          <w:highlight w:val="none"/>
          <w:shd w:val="clear" w:color="auto" w:fill="auto"/>
        </w:rPr>
        <w:t>采用多面显示结构（至少包含正面+左右两侧面+地面/顶面中的两面及以上），各面画面无缝融合，同步率≤1帧</w:t>
      </w:r>
      <w:r>
        <w:rPr>
          <w:rFonts w:hint="eastAsia" w:ascii="仿宋_GB2312" w:hAnsi="仿宋_GB2312" w:eastAsia="仿宋_GB2312" w:cs="仿宋_GB2312"/>
          <w:b w:val="0"/>
          <w:sz w:val="32"/>
          <w:szCs w:val="32"/>
          <w:highlight w:val="none"/>
          <w:shd w:val="clear" w:color="auto" w:fill="auto"/>
          <w:lang w:eastAsia="zh-CN"/>
        </w:rPr>
        <w:t>。</w:t>
      </w:r>
    </w:p>
    <w:p w14:paraId="41253A39">
      <w:pPr>
        <w:keepNext w:val="0"/>
        <w:keepLines w:val="0"/>
        <w:pageBreakBefore w:val="0"/>
        <w:widowControl w:val="0"/>
        <w:shd w:val="clea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highlight w:val="none"/>
          <w:shd w:val="clear" w:color="auto" w:fill="auto"/>
          <w:lang w:eastAsia="zh-CN"/>
        </w:rPr>
      </w:pPr>
      <w:r>
        <w:rPr>
          <w:rFonts w:hint="eastAsia" w:ascii="仿宋_GB2312" w:hAnsi="仿宋_GB2312" w:eastAsia="仿宋_GB2312" w:cs="仿宋_GB2312"/>
          <w:b w:val="0"/>
          <w:sz w:val="32"/>
          <w:szCs w:val="32"/>
          <w:highlight w:val="none"/>
          <w:shd w:val="clear" w:color="auto" w:fill="auto"/>
          <w:lang w:val="en-US" w:eastAsia="zh-CN"/>
        </w:rPr>
        <w:t>2.</w:t>
      </w:r>
      <w:r>
        <w:rPr>
          <w:rFonts w:hint="eastAsia" w:ascii="仿宋_GB2312" w:hAnsi="仿宋_GB2312" w:eastAsia="仿宋_GB2312" w:cs="仿宋_GB2312"/>
          <w:b w:val="0"/>
          <w:sz w:val="32"/>
          <w:szCs w:val="32"/>
          <w:highlight w:val="none"/>
          <w:shd w:val="clear" w:color="auto" w:fill="auto"/>
        </w:rPr>
        <w:t>配备体感识别设备，互动响应延迟≤100ms，支持至少3人同时互动</w:t>
      </w:r>
      <w:r>
        <w:rPr>
          <w:rFonts w:hint="eastAsia" w:ascii="仿宋_GB2312" w:hAnsi="仿宋_GB2312" w:eastAsia="仿宋_GB2312" w:cs="仿宋_GB2312"/>
          <w:b w:val="0"/>
          <w:sz w:val="32"/>
          <w:szCs w:val="32"/>
          <w:highlight w:val="none"/>
          <w:shd w:val="clear" w:color="auto" w:fill="auto"/>
          <w:lang w:eastAsia="zh-CN"/>
        </w:rPr>
        <w:t>。</w:t>
      </w:r>
    </w:p>
    <w:p w14:paraId="53630895">
      <w:pPr>
        <w:keepNext w:val="0"/>
        <w:keepLines w:val="0"/>
        <w:pageBreakBefore w:val="0"/>
        <w:widowControl w:val="0"/>
        <w:shd w:val="clea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highlight w:val="none"/>
          <w:shd w:val="clear" w:color="auto" w:fill="auto"/>
          <w:lang w:eastAsia="zh-CN"/>
        </w:rPr>
      </w:pPr>
      <w:r>
        <w:rPr>
          <w:rFonts w:hint="eastAsia" w:ascii="仿宋_GB2312" w:hAnsi="仿宋_GB2312" w:eastAsia="仿宋_GB2312" w:cs="仿宋_GB2312"/>
          <w:b w:val="0"/>
          <w:sz w:val="32"/>
          <w:szCs w:val="32"/>
          <w:highlight w:val="none"/>
          <w:shd w:val="clear" w:color="auto" w:fill="auto"/>
          <w:lang w:val="en-US" w:eastAsia="zh-CN"/>
        </w:rPr>
        <w:t>3.</w:t>
      </w:r>
      <w:r>
        <w:rPr>
          <w:rFonts w:hint="eastAsia" w:ascii="仿宋_GB2312" w:hAnsi="仿宋_GB2312" w:eastAsia="仿宋_GB2312" w:cs="仿宋_GB2312"/>
          <w:b w:val="0"/>
          <w:sz w:val="32"/>
          <w:szCs w:val="32"/>
          <w:highlight w:val="none"/>
          <w:shd w:val="clear" w:color="auto" w:fill="auto"/>
        </w:rPr>
        <w:t>配备多声道环绕音响系统，营造空间声场效果</w:t>
      </w:r>
      <w:r>
        <w:rPr>
          <w:rFonts w:hint="eastAsia" w:ascii="仿宋_GB2312" w:hAnsi="仿宋_GB2312" w:eastAsia="仿宋_GB2312" w:cs="仿宋_GB2312"/>
          <w:b w:val="0"/>
          <w:sz w:val="32"/>
          <w:szCs w:val="32"/>
          <w:highlight w:val="none"/>
          <w:shd w:val="clear" w:color="auto" w:fill="auto"/>
          <w:lang w:eastAsia="zh-CN"/>
        </w:rPr>
        <w:t>。</w:t>
      </w:r>
    </w:p>
    <w:p w14:paraId="21A5E37F">
      <w:pPr>
        <w:keepNext w:val="0"/>
        <w:keepLines w:val="0"/>
        <w:pageBreakBefore w:val="0"/>
        <w:widowControl w:val="0"/>
        <w:shd w:val="clea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highlight w:val="none"/>
          <w:shd w:val="clear" w:color="auto" w:fill="auto"/>
          <w:lang w:eastAsia="zh-CN"/>
        </w:rPr>
      </w:pPr>
      <w:r>
        <w:rPr>
          <w:rFonts w:hint="eastAsia" w:ascii="仿宋_GB2312" w:hAnsi="仿宋_GB2312" w:eastAsia="仿宋_GB2312" w:cs="仿宋_GB2312"/>
          <w:b w:val="0"/>
          <w:sz w:val="32"/>
          <w:szCs w:val="32"/>
          <w:highlight w:val="none"/>
          <w:shd w:val="clear" w:color="auto" w:fill="auto"/>
          <w:lang w:val="en-US" w:eastAsia="zh-CN"/>
        </w:rPr>
        <w:t>4.</w:t>
      </w:r>
      <w:r>
        <w:rPr>
          <w:rFonts w:hint="eastAsia" w:ascii="仿宋_GB2312" w:hAnsi="仿宋_GB2312" w:eastAsia="仿宋_GB2312" w:cs="仿宋_GB2312"/>
          <w:b w:val="0"/>
          <w:sz w:val="32"/>
          <w:szCs w:val="32"/>
          <w:highlight w:val="none"/>
          <w:shd w:val="clear" w:color="auto" w:fill="auto"/>
        </w:rPr>
        <w:t>至少提供3套与机械展厅或科技馆科普定位相关的互动内容，单套体验时长约2</w:t>
      </w:r>
      <w:r>
        <w:rPr>
          <w:rFonts w:hint="eastAsia" w:ascii="仿宋_GB2312" w:hAnsi="仿宋_GB2312" w:eastAsia="仿宋_GB2312" w:cs="仿宋_GB2312"/>
          <w:b w:val="0"/>
          <w:sz w:val="32"/>
          <w:szCs w:val="32"/>
          <w:highlight w:val="none"/>
          <w:shd w:val="clear" w:color="auto" w:fill="auto"/>
          <w:lang w:eastAsia="zh-CN"/>
        </w:rPr>
        <w:t>—</w:t>
      </w:r>
      <w:r>
        <w:rPr>
          <w:rFonts w:hint="eastAsia" w:ascii="仿宋_GB2312" w:hAnsi="仿宋_GB2312" w:eastAsia="仿宋_GB2312" w:cs="仿宋_GB2312"/>
          <w:b w:val="0"/>
          <w:sz w:val="32"/>
          <w:szCs w:val="32"/>
          <w:highlight w:val="none"/>
          <w:shd w:val="clear" w:color="auto" w:fill="auto"/>
        </w:rPr>
        <w:t>5分钟</w:t>
      </w:r>
      <w:r>
        <w:rPr>
          <w:rFonts w:hint="eastAsia" w:ascii="仿宋_GB2312" w:hAnsi="仿宋_GB2312" w:eastAsia="仿宋_GB2312" w:cs="仿宋_GB2312"/>
          <w:b w:val="0"/>
          <w:sz w:val="32"/>
          <w:szCs w:val="32"/>
          <w:highlight w:val="none"/>
          <w:shd w:val="clear" w:color="auto" w:fill="auto"/>
          <w:lang w:eastAsia="zh-CN"/>
        </w:rPr>
        <w:t>。</w:t>
      </w:r>
    </w:p>
    <w:p w14:paraId="0BB27275">
      <w:pPr>
        <w:keepNext w:val="0"/>
        <w:keepLines w:val="0"/>
        <w:pageBreakBefore w:val="0"/>
        <w:widowControl w:val="0"/>
        <w:shd w:val="clea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highlight w:val="none"/>
          <w:shd w:val="clear" w:color="auto" w:fill="auto"/>
          <w:lang w:eastAsia="zh-CN"/>
        </w:rPr>
      </w:pPr>
      <w:r>
        <w:rPr>
          <w:rFonts w:hint="eastAsia" w:ascii="仿宋_GB2312" w:hAnsi="仿宋_GB2312" w:eastAsia="仿宋_GB2312" w:cs="仿宋_GB2312"/>
          <w:b w:val="0"/>
          <w:sz w:val="32"/>
          <w:szCs w:val="32"/>
          <w:highlight w:val="none"/>
          <w:shd w:val="clear" w:color="auto" w:fill="auto"/>
          <w:lang w:val="en-US" w:eastAsia="zh-CN"/>
        </w:rPr>
        <w:t>5.</w:t>
      </w:r>
      <w:r>
        <w:rPr>
          <w:rFonts w:hint="eastAsia" w:ascii="仿宋_GB2312" w:hAnsi="仿宋_GB2312" w:eastAsia="仿宋_GB2312" w:cs="仿宋_GB2312"/>
          <w:b w:val="0"/>
          <w:sz w:val="32"/>
          <w:szCs w:val="32"/>
          <w:highlight w:val="none"/>
          <w:shd w:val="clear" w:color="auto" w:fill="auto"/>
        </w:rPr>
        <w:t>入口开放不设门，地面防滑、边角软包，确保观众安全</w:t>
      </w:r>
      <w:r>
        <w:rPr>
          <w:rFonts w:hint="eastAsia" w:ascii="仿宋_GB2312" w:hAnsi="仿宋_GB2312" w:eastAsia="仿宋_GB2312" w:cs="仿宋_GB2312"/>
          <w:b w:val="0"/>
          <w:sz w:val="32"/>
          <w:szCs w:val="32"/>
          <w:highlight w:val="none"/>
          <w:shd w:val="clear" w:color="auto" w:fill="auto"/>
          <w:lang w:eastAsia="zh-CN"/>
        </w:rPr>
        <w:t>。</w:t>
      </w:r>
    </w:p>
    <w:p w14:paraId="2D4678A3">
      <w:pPr>
        <w:keepNext w:val="0"/>
        <w:keepLines w:val="0"/>
        <w:pageBreakBefore w:val="0"/>
        <w:widowControl w:val="0"/>
        <w:shd w:val="clea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highlight w:val="none"/>
          <w:shd w:val="clear" w:color="auto" w:fill="auto"/>
          <w:lang w:eastAsia="zh-CN"/>
        </w:rPr>
      </w:pPr>
      <w:r>
        <w:rPr>
          <w:rFonts w:hint="eastAsia" w:ascii="仿宋_GB2312" w:hAnsi="仿宋_GB2312" w:eastAsia="仿宋_GB2312" w:cs="仿宋_GB2312"/>
          <w:b w:val="0"/>
          <w:sz w:val="32"/>
          <w:szCs w:val="32"/>
          <w:highlight w:val="none"/>
          <w:shd w:val="clear" w:color="auto" w:fill="auto"/>
          <w:lang w:val="en-US" w:eastAsia="zh-CN"/>
        </w:rPr>
        <w:t>6.</w:t>
      </w:r>
      <w:r>
        <w:rPr>
          <w:rFonts w:hint="eastAsia" w:ascii="仿宋_GB2312" w:hAnsi="仿宋_GB2312" w:eastAsia="仿宋_GB2312" w:cs="仿宋_GB2312"/>
          <w:b w:val="0"/>
          <w:sz w:val="32"/>
          <w:szCs w:val="32"/>
          <w:highlight w:val="none"/>
          <w:shd w:val="clear" w:color="auto" w:fill="auto"/>
        </w:rPr>
        <w:t>预留内容更新接口，支持后续新增或更换主题内容</w:t>
      </w:r>
      <w:r>
        <w:rPr>
          <w:rFonts w:hint="eastAsia" w:ascii="仿宋_GB2312" w:hAnsi="仿宋_GB2312" w:eastAsia="仿宋_GB2312" w:cs="仿宋_GB2312"/>
          <w:b w:val="0"/>
          <w:sz w:val="32"/>
          <w:szCs w:val="32"/>
          <w:highlight w:val="none"/>
          <w:shd w:val="clear" w:color="auto" w:fill="auto"/>
          <w:lang w:eastAsia="zh-CN"/>
        </w:rPr>
        <w:t>。</w:t>
      </w:r>
    </w:p>
    <w:p w14:paraId="40F3E83A">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鼓励性</w:t>
      </w:r>
      <w:r>
        <w:rPr>
          <w:rFonts w:hint="eastAsia" w:ascii="仿宋_GB2312" w:hAnsi="仿宋_GB2312" w:eastAsia="仿宋_GB2312" w:cs="仿宋_GB2312"/>
          <w:b w:val="0"/>
          <w:sz w:val="32"/>
          <w:szCs w:val="32"/>
          <w:lang w:eastAsia="zh-CN"/>
        </w:rPr>
        <w:t>：</w:t>
      </w:r>
      <w:r>
        <w:rPr>
          <w:rFonts w:hint="eastAsia" w:ascii="仿宋_GB2312" w:hAnsi="仿宋_GB2312" w:eastAsia="仿宋_GB2312" w:cs="仿宋_GB2312"/>
          <w:b w:val="0"/>
          <w:sz w:val="32"/>
          <w:szCs w:val="32"/>
        </w:rPr>
        <w:t>鼓励中标人在更换展品的设计中，保留机械原理的科普内核，引入轻量级智能元素（如观众识别、自适应运动等）或陕西本土元素，让传统机械展品焕发新的生命力，与四层人工智能展厅形成跨楼层呼应。具体形式由中标人根据整体方案策划。</w:t>
      </w:r>
    </w:p>
    <w:p w14:paraId="3E8B3F8C">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仿宋_GB2312" w:hAnsi="仿宋_GB2312" w:eastAsia="仿宋_GB2312" w:cs="仿宋_GB2312"/>
          <w:b w:val="0"/>
          <w:sz w:val="32"/>
          <w:szCs w:val="32"/>
        </w:rPr>
      </w:pPr>
      <w:r>
        <w:rPr>
          <w:rFonts w:hint="eastAsia" w:ascii="楷体_GB2312" w:hAnsi="楷体_GB2312" w:eastAsia="楷体_GB2312" w:cs="楷体_GB2312"/>
          <w:b/>
          <w:bCs/>
          <w:sz w:val="32"/>
          <w:szCs w:val="32"/>
        </w:rPr>
        <w:t>（三）1—2层楼梯通道展示内容升级（含公共区域，共约70平方米）</w:t>
      </w:r>
    </w:p>
    <w:p w14:paraId="5F6CA0A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作为机械展厅通往二层电磁展厅的过渡性视觉空间，1楼至2楼楼梯通道应进行整体视觉包装，与一层机械展厅和二层电磁展厅主题协调统一，引导观众完成参观体验的过渡。具体内容由中标人根据整体方案策划。楼梯通道不设置需要观众停留操作的实体互动展项，确保通行安全与顺畅；所有安装构件须牢固可靠，符合公共场所消防安全规范。</w:t>
      </w:r>
    </w:p>
    <w:p w14:paraId="7152554F">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仿宋_GB2312" w:hAnsi="仿宋_GB2312" w:eastAsia="仿宋_GB2312" w:cs="仿宋_GB2312"/>
          <w:b w:val="0"/>
          <w:sz w:val="32"/>
          <w:szCs w:val="32"/>
        </w:rPr>
      </w:pPr>
      <w:r>
        <w:rPr>
          <w:rFonts w:hint="eastAsia" w:ascii="楷体_GB2312" w:hAnsi="楷体_GB2312" w:eastAsia="楷体_GB2312" w:cs="楷体_GB2312"/>
          <w:b/>
          <w:bCs/>
          <w:sz w:val="32"/>
          <w:szCs w:val="32"/>
        </w:rPr>
        <w:t>（四）2—3层楼梯通道展示内容升级（约20平方米）</w:t>
      </w:r>
    </w:p>
    <w:p w14:paraId="29A999A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作为二层电磁展厅通往三层综合展区的过渡性视觉空间，2楼至3楼楼梯通道应进行整体视觉包装，与二层电磁展厅和三层综合展区主题协调统一，引导观众完成参观体验的过渡。具体内容由中标人根据整体方案策划。楼梯通道不设置需要观众停留操作的实体互动展项，确保通行安全与顺畅；所有安装构件须牢固可靠，符合公共场所消防安全规范。</w:t>
      </w:r>
    </w:p>
    <w:p w14:paraId="381D1231">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仿宋_GB2312" w:hAnsi="仿宋_GB2312" w:eastAsia="仿宋_GB2312" w:cs="仿宋_GB2312"/>
          <w:b w:val="0"/>
          <w:sz w:val="32"/>
          <w:szCs w:val="32"/>
        </w:rPr>
      </w:pPr>
      <w:r>
        <w:rPr>
          <w:rFonts w:hint="eastAsia" w:ascii="楷体_GB2312" w:hAnsi="楷体_GB2312" w:eastAsia="楷体_GB2312" w:cs="楷体_GB2312"/>
          <w:b/>
          <w:bCs/>
          <w:sz w:val="32"/>
          <w:szCs w:val="32"/>
        </w:rPr>
        <w:t>（五）原有展项拆除及环境恢复</w:t>
      </w:r>
    </w:p>
    <w:p w14:paraId="0F1A059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中标人须负责本项目涉及区域内更换展项的拆除清运、翻新展项的拆卸复原与场地清理、楼梯通道区域原有装饰及设施的拆除与基层恢复、</w:t>
      </w:r>
      <w:r>
        <w:rPr>
          <w:rFonts w:hint="eastAsia" w:ascii="仿宋_GB2312" w:hAnsi="仿宋_GB2312" w:eastAsia="仿宋_GB2312" w:cs="仿宋_GB2312"/>
          <w:b w:val="0"/>
          <w:sz w:val="32"/>
          <w:szCs w:val="32"/>
          <w:lang w:eastAsia="zh-CN"/>
        </w:rPr>
        <w:t>全息音响剧场</w:t>
      </w:r>
      <w:r>
        <w:rPr>
          <w:rFonts w:hint="eastAsia" w:ascii="仿宋_GB2312" w:hAnsi="仿宋_GB2312" w:eastAsia="仿宋_GB2312" w:cs="仿宋_GB2312"/>
          <w:b w:val="0"/>
          <w:sz w:val="32"/>
          <w:szCs w:val="32"/>
        </w:rPr>
        <w:t>原有设施的拆除改造等工作。拆除过程须对保留展项、建筑结构及公共设施采取成品保护措施，施工完成后做到工完场清。拆除及恢复费用包含在投标总价中。</w:t>
      </w:r>
    </w:p>
    <w:p w14:paraId="7AC794EF">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仿宋_GB2312" w:hAnsi="仿宋_GB2312" w:eastAsia="仿宋_GB2312" w:cs="仿宋_GB2312"/>
          <w:b w:val="0"/>
          <w:sz w:val="32"/>
          <w:szCs w:val="32"/>
        </w:rPr>
      </w:pPr>
      <w:r>
        <w:rPr>
          <w:rFonts w:hint="eastAsia" w:ascii="楷体_GB2312" w:hAnsi="楷体_GB2312" w:eastAsia="楷体_GB2312" w:cs="楷体_GB2312"/>
          <w:b/>
          <w:bCs/>
          <w:sz w:val="32"/>
          <w:szCs w:val="32"/>
        </w:rPr>
        <w:t>（六）整体技术要求</w:t>
      </w:r>
    </w:p>
    <w:p w14:paraId="316B916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1.风格统一。本次翻新与更换涉及全厅部分展品，中标人须在整体方案中统筹考虑风格统一，确保新旧展品在外观、互动方式、视觉呈现、操作界面等方面协调一致，涉及其他展品，</w:t>
      </w:r>
      <w:r>
        <w:rPr>
          <w:rFonts w:hint="eastAsia" w:ascii="仿宋_GB2312" w:hAnsi="仿宋_GB2312" w:eastAsia="仿宋_GB2312" w:cs="仿宋_GB2312"/>
          <w:b w:val="0"/>
          <w:sz w:val="32"/>
          <w:szCs w:val="32"/>
          <w:lang w:eastAsia="zh-CN"/>
        </w:rPr>
        <w:t>需做</w:t>
      </w:r>
      <w:r>
        <w:rPr>
          <w:rFonts w:hint="eastAsia" w:ascii="仿宋_GB2312" w:hAnsi="仿宋_GB2312" w:eastAsia="仿宋_GB2312" w:cs="仿宋_GB2312"/>
          <w:b w:val="0"/>
          <w:sz w:val="32"/>
          <w:szCs w:val="32"/>
        </w:rPr>
        <w:t>统一调整。包括但不限于：操作界面（手轮、按钮、摇把等）的样式与质感、图文说明的风格、色彩与材质、互动方式等，确保新旧展品在外观、互动、视觉呈现上协调一致。</w:t>
      </w:r>
    </w:p>
    <w:p w14:paraId="0B16E9A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2.运行能力。适应大流量场馆环境，可长时间连续稳定运行；运动部件运转平稳，机械传动声音悦耳不嘈杂。</w:t>
      </w:r>
    </w:p>
    <w:p w14:paraId="566D242B">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3.传动与结构。入口处机械墙升级后须覆盖至少6类机械传动形式，且各类传动形式须能直观展示、可被观众识别；展品机械结构牢固，运动部件配合精准，无卡顿、异响等问题。</w:t>
      </w:r>
    </w:p>
    <w:p w14:paraId="4182B9E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4.互动与反馈。翻新后的</w:t>
      </w:r>
      <w:r>
        <w:rPr>
          <w:rFonts w:hint="eastAsia" w:ascii="仿宋_GB2312" w:hAnsi="仿宋_GB2312" w:eastAsia="仿宋_GB2312" w:cs="仿宋_GB2312"/>
          <w:b w:val="0"/>
          <w:sz w:val="32"/>
          <w:szCs w:val="32"/>
          <w:lang w:eastAsia="zh-CN"/>
        </w:rPr>
        <w:t>“机械的基本元素”</w:t>
      </w:r>
      <w:r>
        <w:rPr>
          <w:rFonts w:hint="eastAsia" w:ascii="仿宋_GB2312" w:hAnsi="仿宋_GB2312" w:eastAsia="仿宋_GB2312" w:cs="仿宋_GB2312"/>
          <w:b w:val="0"/>
          <w:sz w:val="32"/>
          <w:szCs w:val="32"/>
        </w:rPr>
        <w:t>和</w:t>
      </w:r>
      <w:r>
        <w:rPr>
          <w:rFonts w:hint="eastAsia" w:ascii="仿宋_GB2312" w:hAnsi="仿宋_GB2312" w:eastAsia="仿宋_GB2312" w:cs="仿宋_GB2312"/>
          <w:b w:val="0"/>
          <w:sz w:val="32"/>
          <w:szCs w:val="32"/>
          <w:lang w:eastAsia="zh-CN"/>
        </w:rPr>
        <w:t>“机械计量”</w:t>
      </w:r>
      <w:r>
        <w:rPr>
          <w:rFonts w:hint="eastAsia" w:ascii="仿宋_GB2312" w:hAnsi="仿宋_GB2312" w:eastAsia="仿宋_GB2312" w:cs="仿宋_GB2312"/>
          <w:b w:val="0"/>
          <w:sz w:val="32"/>
          <w:szCs w:val="32"/>
        </w:rPr>
        <w:t>在与观众等高区域须具备清晰的操作反馈机制，让观众在互动中理解机械原理；高处区域静态展示部分须配合图文说明；沉浸式视听互动体验空间须具备体感互动功能，反馈即时流畅。</w:t>
      </w:r>
    </w:p>
    <w:p w14:paraId="1941E8A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5.电气与控制系统。电气系统须符合国家电气安全标准，具备漏电保护、过载保护等功能；控制系统稳定可靠，支持长时间连续运行。</w:t>
      </w:r>
    </w:p>
    <w:p w14:paraId="017A821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6.安全与防护。运动部件须设置防护措施，无夹点、尖角等安全隐患；所有外露边角须做圆角处理，无锐边、毛刺；装置结构强度须满足公共场所安全要求，能承受观众正常接触与意外碰撞；翻新展品须全面消除原有安全隐患；沉浸式视听互动体验空间须做防滑、防碰撞处理，确保观众安全。</w:t>
      </w:r>
    </w:p>
    <w:p w14:paraId="0C0BF62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7.关键部件冗余。关键部件须具备冗余设计。</w:t>
      </w:r>
    </w:p>
    <w:p w14:paraId="74342B96">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8.材料与工艺。采用金属、木材等高质感耐久性材料，可结合玻璃、亚克力等透明材质；外观工艺精细，符合科技馆展陈品质要求；翻新展品须对外观进行修复翻新，消除划痕、锈蚀、褪色等瑕疵，恢复良好视觉效果。</w:t>
      </w:r>
    </w:p>
    <w:p w14:paraId="5037564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9.可维护性。易损部件须采用模块化设计，可快速更换，缩短维护停机时间；提供完整的易损件清单与备品备件，在质保期内免费更换；翻新展品须提供翻新部件清单与备品备件，便于后续维护。</w:t>
      </w:r>
    </w:p>
    <w:p w14:paraId="1093C05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10.培训与资料。中标人须提供展品操作、日常维护、故障排查等完整的纸质及电子版技术资料，并完成对馆方技术人员和辅导员的培训。</w:t>
      </w:r>
    </w:p>
    <w:p w14:paraId="6F07A4D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11.本项目设计、施工及验收须遵循但不限于以下现行标准与规范：</w:t>
      </w:r>
    </w:p>
    <w:p w14:paraId="4CD8387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《科学技术馆建设标准》建标 101-2007（2015年修订版）、《科普基础设施工程技术标准》GB/T 51453-2024、《自然科学博物馆展陈服务规范》GB/T 44315-2024、《科学技术馆展览设计规范》T/CANSM 8-2021、《科学技术馆展品技术规范》T/CANSM 9-2021、《科学技术馆安全管理规范》T/CANSM 5-2019、《民用建筑工程室内环境污染控制标准》GB 50325-2020，国家及地方现行消防、安全、环保等强制性标准。</w:t>
      </w:r>
    </w:p>
    <w:p w14:paraId="3704828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ascii="仿宋_GB2312" w:hAnsi="仿宋_GB2312" w:eastAsia="仿宋_GB2312" w:cs="仿宋_GB2312"/>
          <w:b w:val="0"/>
          <w:bCs/>
          <w:sz w:val="32"/>
          <w:szCs w:val="32"/>
        </w:rPr>
      </w:pPr>
    </w:p>
    <w:p w14:paraId="6FCCC3D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ascii="仿宋_GB2312" w:hAnsi="仿宋_GB2312" w:eastAsia="仿宋_GB2312" w:cs="仿宋_GB2312"/>
          <w:b w:val="0"/>
          <w:bCs/>
          <w:sz w:val="32"/>
          <w:szCs w:val="32"/>
        </w:rPr>
      </w:pPr>
    </w:p>
    <w:p w14:paraId="18E01AE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ascii="仿宋_GB2312" w:hAnsi="仿宋_GB2312" w:eastAsia="仿宋_GB2312" w:cs="仿宋_GB2312"/>
          <w:b w:val="0"/>
          <w:bCs/>
          <w:sz w:val="32"/>
          <w:szCs w:val="32"/>
        </w:rPr>
      </w:pPr>
    </w:p>
    <w:sectPr>
      <w:footerReference r:id="rId3" w:type="default"/>
      <w:pgSz w:w="11906" w:h="16838"/>
      <w:pgMar w:top="2098" w:right="1474" w:bottom="147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439EEF50">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5B847">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CDE7E4">
                          <w:pPr>
                            <w:pStyle w:val="2"/>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39</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ACDE7E4">
                    <w:pPr>
                      <w:pStyle w:val="2"/>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39</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AF5605"/>
    <w:rsid w:val="002B1257"/>
    <w:rsid w:val="03457CFC"/>
    <w:rsid w:val="0A656ED5"/>
    <w:rsid w:val="0CAF5605"/>
    <w:rsid w:val="151D272F"/>
    <w:rsid w:val="16287735"/>
    <w:rsid w:val="1A50276F"/>
    <w:rsid w:val="1B72041A"/>
    <w:rsid w:val="22A36827"/>
    <w:rsid w:val="25480A3C"/>
    <w:rsid w:val="261D0E32"/>
    <w:rsid w:val="29006CED"/>
    <w:rsid w:val="2B9B5E5B"/>
    <w:rsid w:val="2CF74707"/>
    <w:rsid w:val="2CFC5020"/>
    <w:rsid w:val="2DD815E9"/>
    <w:rsid w:val="2EC13E2B"/>
    <w:rsid w:val="37620870"/>
    <w:rsid w:val="37CC18C4"/>
    <w:rsid w:val="390D04A7"/>
    <w:rsid w:val="3BF91F94"/>
    <w:rsid w:val="413D6781"/>
    <w:rsid w:val="43E6578C"/>
    <w:rsid w:val="4C5639AD"/>
    <w:rsid w:val="4CEB43E6"/>
    <w:rsid w:val="54984B35"/>
    <w:rsid w:val="5EA93E10"/>
    <w:rsid w:val="5F332DCE"/>
    <w:rsid w:val="5F5A7800"/>
    <w:rsid w:val="607138C8"/>
    <w:rsid w:val="637C431B"/>
    <w:rsid w:val="64B44895"/>
    <w:rsid w:val="64DA089B"/>
    <w:rsid w:val="67724674"/>
    <w:rsid w:val="69CA640A"/>
    <w:rsid w:val="6AEA2D28"/>
    <w:rsid w:val="6B1F4E4B"/>
    <w:rsid w:val="6BC47C26"/>
    <w:rsid w:val="6D9739CD"/>
    <w:rsid w:val="6F1D44A5"/>
    <w:rsid w:val="70E37EEB"/>
    <w:rsid w:val="75886EF7"/>
    <w:rsid w:val="7779629A"/>
    <w:rsid w:val="7BFDE7B8"/>
    <w:rsid w:val="7FBF9B1C"/>
    <w:rsid w:val="F9CC10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Strong"/>
    <w:basedOn w:val="5"/>
    <w:qFormat/>
    <w:uiPriority w:val="0"/>
    <w:rPr>
      <w:b/>
    </w:rPr>
  </w:style>
  <w:style w:type="paragraph" w:customStyle="1" w:styleId="7">
    <w:name w:val="Other|1"/>
    <w:basedOn w:val="1"/>
    <w:qFormat/>
    <w:uiPriority w:val="0"/>
    <w:rPr>
      <w:rFonts w:ascii="宋体" w:hAnsi="宋体" w:eastAsia="宋体" w:cs="宋体"/>
      <w:sz w:val="22"/>
      <w:szCs w:val="22"/>
      <w:lang w:val="zh-TW" w:eastAsia="zh-TW" w:bidi="zh-TW"/>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431a7a45-df86-4330-b2fd-ba3473a4bba0</errorID>
      <errorWord>,</errorWord>
      <group>L1_Format</group>
      <groupName>格式问题</groupName>
      <ability>L2_HalfPunc_CN</ability>
      <abilityName>全半角问题</abilityName>
      <candidateList>
        <item>，</item>
      </candidateList>
      <explain>文本全半角错误。</explain>
      <paraID>160F64D9</paraID>
      <start>30</start>
      <end>31</end>
      <status>modified</status>
      <modifiedWord>，</modifiedWord>
      <trackRevisions>false</trackRevisions>
    </reviewItem>
    <reviewItem>
      <errorID>850565ac-da0f-428f-8d46-68e6d7d4b052</errorID>
      <errorWord>内</errorWord>
      <group>L1_Word</group>
      <groupName>字词问题</groupName>
      <ability>L2_Typo</ability>
      <abilityName>字词错误</abilityName>
      <candidateList>
        <item>中</item>
      </candidateList>
      <explain/>
      <paraID>42FA4C9C</paraID>
      <start>52</start>
      <end>53</end>
      <status>ignored</status>
      <modifiedWord/>
      <trackRevisions>false</trackRevisions>
    </reviewItem>
    <reviewItem>
      <errorID>c1d861ec-84fa-4d34-8be1-a53782ec6708</errorID>
      <errorWord>全流程</errorWord>
      <group>L1_Political</group>
      <groupName>政治性问题</groupName>
      <ability>L2_Keyword</ability>
      <abilityName>固定表述</abilityName>
      <candidateList>
        <item>的全流程</item>
      </candidateList>
      <explain>此处内容疑似含有固定表述相关错误，建议核查。</explain>
      <paraID>47D73357</paraID>
      <start>47</start>
      <end>50</end>
      <status>ignored</status>
      <modifiedWord/>
      <trackRevisions>false</trackRevisions>
    </reviewItem>
    <reviewItem>
      <errorID>2c80883e-c2f1-40f4-950a-b104b88748b9</errorID>
      <errorWord>：</errorWord>
      <group>L1_Punc</group>
      <groupName>标点问题</groupName>
      <ability>L2_Punc_CN</ability>
      <abilityName>标点符号问题</abilityName>
      <candidateList>
        <item>。</item>
      </candidateList>
      <explain/>
      <paraID>4969F674</paraID>
      <start>29</start>
      <end>30</end>
      <status>modified</status>
      <modifiedWord>。</modifiedWord>
      <trackRevisions>false</trackRevisions>
    </reviewItem>
    <reviewItem>
      <errorID>95b7e9c6-58b7-43cb-be3e-e4bf9b7bc082</errorID>
      <errorWord>国家</errorWord>
      <group>L1_Grammar</group>
      <groupName>语法问题</groupName>
      <ability>L2_Grammar</ability>
      <abilityName>语法错误</abilityName>
      <candidateList>
        <item>以及国家</item>
      </candidateList>
      <explain/>
      <paraID>24EDB765</paraID>
      <start>210</start>
      <end>212</end>
      <status>ignored</status>
      <modifiedWord/>
      <trackRevisions>false</trackRevisions>
    </reviewItem>
    <reviewItem>
      <errorID>531b9eae-4d80-4081-9de0-0f1a4f2c7984</errorID>
      <errorWord>让</errorWord>
      <group>L1_Word</group>
      <groupName>字词问题</groupName>
      <ability>L2_Typo</ability>
      <abilityName>字词错误</abilityName>
      <candidateList>
        <item>使</item>
      </candidateList>
      <explain/>
      <paraID>6AC67C37</paraID>
      <start>96</start>
      <end>97</end>
      <status>ignored</status>
      <modifiedWord/>
      <trackRevisions>false</trackRevisions>
    </reviewItem>
    <reviewItem>
      <errorID>e9047ae0-65e5-4e6f-967b-7c0c159c0f0c</errorID>
      <errorWord>。</errorWord>
      <group>L1_Punc</group>
      <groupName>标点问题</groupName>
      <ability>L2_Punc_CN</ability>
      <abilityName>标点符号问题</abilityName>
      <candidateList>
        <item>：</item>
      </candidateList>
      <explain/>
      <paraID>11FD740D</paraID>
      <start>29</start>
      <end>30</end>
      <status>modified</status>
      <modifiedWord>：</modifiedWord>
      <trackRevisions>false</trackRevisions>
    </reviewItem>
    <reviewItem>
      <errorID>14ee84f6-9bae-425f-99ef-2d9faccf5905</errorID>
      <errorWord>——</errorWord>
      <group>L1_Punc</group>
      <groupName>标点问题</groupName>
      <ability>L2_Punc_CN</ability>
      <abilityName>标点符号问题</abilityName>
      <candidateList>
        <item>，</item>
      </candidateList>
      <explain/>
      <paraID>4BAE050F</paraID>
      <start>123</start>
      <end>124</end>
      <status>modified</status>
      <modifiedWord>，</modifiedWord>
      <trackRevisions>false</trackRevisions>
    </reviewItem>
    <reviewItem>
      <errorID>552c7cea-1837-4724-a4d4-f56679afa6d2</errorID>
      <errorWord>类</errorWord>
      <group>L1_Word</group>
      <groupName>字词问题</groupName>
      <ability>L2_Typo</ability>
      <abilityName>字词错误</abilityName>
      <candidateList>
        <item>种</item>
      </candidateList>
      <explain/>
      <paraID> CDF7F3A</paraID>
      <start>106</start>
      <end>107</end>
      <status>ignored</status>
      <modifiedWord/>
      <trackRevisions>false</trackRevisions>
    </reviewItem>
    <reviewItem>
      <errorID>cec7d9f6-2d74-4619-a53f-2fbb965d9660</errorID>
      <errorWord>：</errorWord>
      <group>L1_Punc</group>
      <groupName>标点问题</groupName>
      <ability>L2_Punc_CN</ability>
      <abilityName>标点符号问题</abilityName>
      <candidateList>
        <item/>
      </candidateList>
      <explain/>
      <paraID>316B9165</paraID>
      <start>94</start>
      <end>95</end>
      <status>ignored</status>
      <modifiedWord/>
      <trackRevisions>false</trackRevisions>
    </reviewItem>
    <reviewItem>
      <errorID>1924d866-6574-456c-b448-679e4a3eaf3c</errorID>
      <errorWord>，</errorWord>
      <group>L1_Word</group>
      <groupName>字词问题</groupName>
      <ability>L2_Typo</ability>
      <abilityName>字词错误</abilityName>
      <candidateList>
        <item>以及</item>
      </candidateList>
      <explain/>
      <paraID>4CD8387D</paraID>
      <start>209</start>
      <end>210</end>
      <status>ignored</status>
      <modifiedWord/>
      <trackRevisions>false</trackRevisions>
    </reviewItem>
    <reviewItem>
      <errorID>ff0d79c8-77d1-445a-a237-31f970d751cb</errorID>
      <errorWord>以上的</errorWord>
      <group>L1_Word</group>
      <groupName>字词问题</groupName>
      <ability>L2_Typo</ability>
      <abilityName>字词错误</abilityName>
      <candidateList>
        <item>以上</item>
      </candidateList>
      <explain/>
      <paraID> 6B8E1DB</paraID>
      <start>48</start>
      <end>51</end>
      <status>ignored</status>
      <modifiedWord/>
      <trackRevisions>false</trackRevisions>
    </reviewItem>
    <reviewItem>
      <errorID>fa4e885a-ef2a-445e-9240-bec0d81b9e00</errorID>
      <errorWord>安徽省科学技术馆</errorWord>
      <group>L1_Other</group>
      <groupName>其他问题</groupName>
      <ability>L2_Consistency</ability>
      <abilityName>一致性检查</abilityName>
      <candidateList>
        <item>安徽省科技馆</item>
      </candidateList>
      <explain>实体一致性错误，正文中提及该机构时使用简称“安徽省科技馆”，此处不一致</explain>
      <paraID> 8DC2124</paraID>
      <start>17</start>
      <end>25</end>
      <status>ignored</status>
      <modifiedWord/>
      <trackRevisions>false</trackRevisions>
    </reviewItem>
    <reviewItem>
      <errorID>e2b51f55-e97a-4b3d-8208-ba2462a91114</errorID>
      <errorWord>深圳科学技术馆</errorWord>
      <group>L1_Other</group>
      <groupName>其他问题</groupName>
      <ability>L2_Consistency</ability>
      <abilityName>一致性检查</abilityName>
      <candidateList>
        <item>深圳科技馆</item>
      </candidateList>
      <explain>实体一致性错误，正文中提及该机构时使用简称“深圳科技馆”，此处不一致</explain>
      <paraID> 8DC2124</paraID>
      <start>34</start>
      <end>41</end>
      <status>ignored</status>
      <modifiedWord/>
      <trackRevisions>false</trackRevisions>
    </reviewItem>
    <reviewItem>
      <errorID>4485fbf5-37e5-438f-ae62-454c0d9ec631</errorID>
      <errorWord>榆林市科学技术馆</errorWord>
      <group>L1_Other</group>
      <groupName>其他问题</groupName>
      <ability>L2_Consistency</ability>
      <abilityName>一致性检查</abilityName>
      <candidateList>
        <item>榆林科技馆</item>
      </candidateList>
      <explain>实体一致性错误，正文中提及该机构时使用简称“榆林科技馆”，此处不一致</explain>
      <paraID> 8DC2124</paraID>
      <start>48</start>
      <end>56</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61ea7d-b6f3-4029-89e3-d9df7f72e34f}">
  <ds:schemaRefs/>
</ds:datastoreItem>
</file>

<file path=docProps/app.xml><?xml version="1.0" encoding="utf-8"?>
<Properties xmlns="http://schemas.openxmlformats.org/officeDocument/2006/extended-properties" xmlns:vt="http://schemas.openxmlformats.org/officeDocument/2006/docPropsVTypes">
  <Template>Normal.dotm</Template>
  <Pages>16</Pages>
  <Words>11049</Words>
  <Characters>11456</Characters>
  <Lines>0</Lines>
  <Paragraphs>0</Paragraphs>
  <TotalTime>63</TotalTime>
  <ScaleCrop>false</ScaleCrop>
  <LinksUpToDate>false</LinksUpToDate>
  <CharactersWithSpaces>11470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2026-09-10T17:10:00Z</dcterms:created>
  <dc:creator>wangbing</dc:creator>
  <cp:lastModifiedBy>快乐猫</cp:lastModifiedBy>
  <cp:lastPrinted>2026-09-29T04:01:00Z</cp:lastPrinted>
  <dcterms:modified xsi:type="dcterms:W3CDTF">2026-10-09T10:02:14Z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CA3E32A32F574D14AE14F28B135D5B08_13</vt:lpwstr>
  </property>
  <property fmtid="{D5CDD505-2E9C-101B-9397-08002B2CF9AE}" pid="4" name="KSOTemplateDocerSaveRecord">
    <vt:lpwstr>eyJoZGlkIjoiM2NmYTlkNmQyOWE5NjNjOWY3Y2ZiMGFkYTc1MDQ4YzciLCJ1c2VySWQiOiIxNTE3ODQyNzU3In0=</vt:lpwstr>
  </property>
</Properties>
</file>