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DFC375">
      <w:pPr>
        <w:pStyle w:val="6"/>
        <w:jc w:val="both"/>
        <w:outlineLvl w:val="1"/>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附件：</w:t>
      </w:r>
    </w:p>
    <w:p w14:paraId="1078213E">
      <w:pPr>
        <w:keepNext w:val="0"/>
        <w:keepLines w:val="0"/>
        <w:pageBreakBefore w:val="0"/>
        <w:widowControl w:val="0"/>
        <w:kinsoku/>
        <w:wordWrap/>
        <w:overflowPunct/>
        <w:topLinePunct w:val="0"/>
        <w:autoSpaceDE/>
        <w:autoSpaceDN/>
        <w:bidi w:val="0"/>
        <w:adjustRightInd/>
        <w:snapToGrid/>
        <w:spacing w:line="348" w:lineRule="auto"/>
        <w:jc w:val="center"/>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采购包1建筑装饰数字化改造采购需求清单</w:t>
      </w:r>
    </w:p>
    <w:tbl>
      <w:tblPr>
        <w:tblStyle w:val="3"/>
        <w:tblW w:w="9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1"/>
        <w:gridCol w:w="1214"/>
        <w:gridCol w:w="1528"/>
        <w:gridCol w:w="4562"/>
        <w:gridCol w:w="799"/>
        <w:gridCol w:w="715"/>
      </w:tblGrid>
      <w:tr w14:paraId="09E24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701" w:type="dxa"/>
            <w:noWrap w:val="0"/>
            <w:vAlign w:val="center"/>
          </w:tcPr>
          <w:p w14:paraId="6CDB722C">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序号</w:t>
            </w:r>
          </w:p>
        </w:tc>
        <w:tc>
          <w:tcPr>
            <w:tcW w:w="1214" w:type="dxa"/>
            <w:noWrap w:val="0"/>
            <w:vAlign w:val="center"/>
          </w:tcPr>
          <w:p w14:paraId="602DDC06">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模块名称</w:t>
            </w:r>
          </w:p>
        </w:tc>
        <w:tc>
          <w:tcPr>
            <w:tcW w:w="1528" w:type="dxa"/>
            <w:noWrap w:val="0"/>
            <w:vAlign w:val="center"/>
          </w:tcPr>
          <w:p w14:paraId="0AD5D3B6">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pacing w:val="-4"/>
                <w:sz w:val="24"/>
                <w:szCs w:val="24"/>
                <w:highlight w:val="none"/>
                <w14:textFill>
                  <w14:solidFill>
                    <w14:schemeClr w14:val="tx1"/>
                  </w14:solidFill>
                </w14:textFill>
              </w:rPr>
              <w:t>内容</w:t>
            </w:r>
          </w:p>
        </w:tc>
        <w:tc>
          <w:tcPr>
            <w:tcW w:w="4562" w:type="dxa"/>
            <w:noWrap w:val="0"/>
            <w:vAlign w:val="center"/>
          </w:tcPr>
          <w:p w14:paraId="0CADD149">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技术要求</w:t>
            </w:r>
          </w:p>
        </w:tc>
        <w:tc>
          <w:tcPr>
            <w:tcW w:w="799" w:type="dxa"/>
            <w:noWrap w:val="0"/>
            <w:vAlign w:val="center"/>
          </w:tcPr>
          <w:p w14:paraId="694FC698">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数量</w:t>
            </w:r>
          </w:p>
        </w:tc>
        <w:tc>
          <w:tcPr>
            <w:tcW w:w="715" w:type="dxa"/>
            <w:noWrap w:val="0"/>
            <w:vAlign w:val="center"/>
          </w:tcPr>
          <w:p w14:paraId="468C1E0F">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单位</w:t>
            </w:r>
          </w:p>
        </w:tc>
      </w:tr>
      <w:tr w14:paraId="6D86A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4" w:hRule="atLeast"/>
          <w:jc w:val="center"/>
        </w:trPr>
        <w:tc>
          <w:tcPr>
            <w:tcW w:w="701" w:type="dxa"/>
            <w:vMerge w:val="restart"/>
            <w:noWrap w:val="0"/>
            <w:vAlign w:val="center"/>
          </w:tcPr>
          <w:p w14:paraId="39C2F5FE">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1214" w:type="dxa"/>
            <w:vMerge w:val="restart"/>
            <w:noWrap w:val="0"/>
            <w:vAlign w:val="center"/>
          </w:tcPr>
          <w:p w14:paraId="602F7F22">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5"/>
                <w:sz w:val="24"/>
                <w:szCs w:val="24"/>
                <w:highlight w:val="none"/>
                <w14:textFill>
                  <w14:solidFill>
                    <w14:schemeClr w14:val="tx1"/>
                  </w14:solidFill>
                </w14:textFill>
              </w:rPr>
              <w:t>装修工程实践教学工具</w:t>
            </w:r>
            <w:r>
              <w:rPr>
                <w:rFonts w:hint="eastAsia" w:ascii="宋体" w:hAnsi="宋体" w:eastAsia="宋体" w:cs="宋体"/>
                <w:color w:val="000000" w:themeColor="text1"/>
                <w:spacing w:val="50"/>
                <w:w w:val="125"/>
                <w:sz w:val="24"/>
                <w:szCs w:val="24"/>
                <w:highlight w:val="none"/>
                <w14:textFill>
                  <w14:solidFill>
                    <w14:schemeClr w14:val="tx1"/>
                  </w14:solidFill>
                </w14:textFill>
              </w:rPr>
              <w:t>箱</w:t>
            </w:r>
          </w:p>
        </w:tc>
        <w:tc>
          <w:tcPr>
            <w:tcW w:w="1528" w:type="dxa"/>
            <w:noWrap w:val="0"/>
            <w:vAlign w:val="center"/>
          </w:tcPr>
          <w:p w14:paraId="17847659">
            <w:pPr>
              <w:keepNext w:val="0"/>
              <w:keepLines w:val="0"/>
              <w:pageBreakBefore w:val="0"/>
              <w:widowControl/>
              <w:overflowPunct/>
              <w:topLinePunct w:val="0"/>
              <w:bidi w:val="0"/>
              <w:spacing w:line="360" w:lineRule="auto"/>
              <w:jc w:val="center"/>
              <w:textAlignment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大理石干挂墙面构造实践教学工具箱</w:t>
            </w:r>
          </w:p>
        </w:tc>
        <w:tc>
          <w:tcPr>
            <w:tcW w:w="4562" w:type="dxa"/>
            <w:noWrap w:val="0"/>
            <w:vAlign w:val="center"/>
          </w:tcPr>
          <w:p w14:paraId="7F71C6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1.实操装置箱体规格(约)：970*450*225mm。</w:t>
            </w:r>
          </w:p>
          <w:p w14:paraId="186D15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2.实操装置箱体材质：采用深灰色多层板表面材质。</w:t>
            </w:r>
          </w:p>
          <w:p w14:paraId="22CB82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3.实操装置功能：工具箱内容包含“实操构件”、“实操工具”、“使用说明书”、“案例图纸”。学生可通过对案例图纸的识图后，按照使用说明的指引，完成对背拴式大理石干挂构造的安装实操任务。</w:t>
            </w:r>
          </w:p>
          <w:p w14:paraId="6F69E4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4.具体配套内容如下：</w:t>
            </w:r>
          </w:p>
          <w:p w14:paraId="5A5C31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①实操构件包含：竖向龙骨（预留安装孔位置，龙骨表面做静电喷涂处理）、龙骨固定件、横向龙骨及石材挂件、仿真石材等。</w:t>
            </w:r>
          </w:p>
          <w:p w14:paraId="788BD7D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②配套实操工具：卷尺、套筒扳手等。</w:t>
            </w:r>
          </w:p>
          <w:p w14:paraId="53376E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③使用说明书：至少需包含工具箱内容介绍和安装步骤说明指引，配套电子版和纸质版，电子版可采用二维码的形式贴于工具箱表面。</w:t>
            </w:r>
          </w:p>
          <w:p w14:paraId="7213EF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④案例图纸：至少需要包含立面、构造节点大样图等内容。</w:t>
            </w:r>
          </w:p>
        </w:tc>
        <w:tc>
          <w:tcPr>
            <w:tcW w:w="799" w:type="dxa"/>
            <w:noWrap w:val="0"/>
            <w:vAlign w:val="center"/>
          </w:tcPr>
          <w:p w14:paraId="6C52C610">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715" w:type="dxa"/>
            <w:noWrap w:val="0"/>
            <w:vAlign w:val="center"/>
          </w:tcPr>
          <w:p w14:paraId="18B7599F">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套</w:t>
            </w:r>
          </w:p>
        </w:tc>
      </w:tr>
      <w:tr w14:paraId="41249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01" w:type="dxa"/>
            <w:vMerge w:val="continue"/>
            <w:noWrap w:val="0"/>
            <w:vAlign w:val="center"/>
          </w:tcPr>
          <w:p w14:paraId="4C518338">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tc>
        <w:tc>
          <w:tcPr>
            <w:tcW w:w="1214" w:type="dxa"/>
            <w:vMerge w:val="continue"/>
            <w:noWrap w:val="0"/>
            <w:vAlign w:val="center"/>
          </w:tcPr>
          <w:p w14:paraId="304D7F6E">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tc>
        <w:tc>
          <w:tcPr>
            <w:tcW w:w="1528" w:type="dxa"/>
            <w:noWrap w:val="0"/>
            <w:vAlign w:val="center"/>
          </w:tcPr>
          <w:p w14:paraId="18872C80">
            <w:pPr>
              <w:keepNext w:val="0"/>
              <w:keepLines w:val="0"/>
              <w:pageBreakBefore w:val="0"/>
              <w:widowControl/>
              <w:overflowPunct/>
              <w:topLinePunct w:val="0"/>
              <w:bidi w:val="0"/>
              <w:spacing w:line="360" w:lineRule="auto"/>
              <w:jc w:val="center"/>
              <w:textAlignment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轻钢龙骨石膏板构造吊顶实践教学工具箱</w:t>
            </w:r>
          </w:p>
        </w:tc>
        <w:tc>
          <w:tcPr>
            <w:tcW w:w="4562" w:type="dxa"/>
            <w:noWrap w:val="0"/>
            <w:vAlign w:val="center"/>
          </w:tcPr>
          <w:p w14:paraId="50BDBA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1.实操装置箱体规格(约)：970*450*225mm。</w:t>
            </w:r>
          </w:p>
          <w:p w14:paraId="6118A75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2.实操装置箱体材质：采用深灰色多层板表面材质。</w:t>
            </w:r>
          </w:p>
          <w:p w14:paraId="64623C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实操装置功能：工具箱内容包含“实操构件”、“实操工具”、“使用说明书”、“案例图纸”。学生可通过对案例图纸的识图后，按照使用说明的指引，完成对轻钢龙骨石膏板（内嵌磁吸轨道）吊顶构造的安装实操任务。</w:t>
            </w:r>
          </w:p>
          <w:p w14:paraId="577EB9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4.具体配套内容如下：</w:t>
            </w:r>
          </w:p>
          <w:p w14:paraId="6E6B68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①实操构件包含：预埋阴角收口型材（需要预留安装孔）、卡式主龙骨、副龙骨（需要预留内嵌安装孔）边龙骨（需要预留安装孔）、吊杆、内嵌式磁吸轨道、面层板材（石膏板替代材料）等。②实操工具:卷尺、螺丝刀等。</w:t>
            </w:r>
          </w:p>
          <w:p w14:paraId="4B3A95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③使用说明书：至少需包含工具箱内容介绍和安装步骤说明指引，配套电子版和纸质版，电子版可采用二维码的形式贴于工具箱表面。</w:t>
            </w:r>
          </w:p>
          <w:p w14:paraId="502A80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④案例图纸：至少需要包含案例平面图、天花布置图、构造节点大样图等内容。</w:t>
            </w:r>
          </w:p>
        </w:tc>
        <w:tc>
          <w:tcPr>
            <w:tcW w:w="799" w:type="dxa"/>
            <w:noWrap w:val="0"/>
            <w:vAlign w:val="center"/>
          </w:tcPr>
          <w:p w14:paraId="06178258">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715" w:type="dxa"/>
            <w:noWrap w:val="0"/>
            <w:vAlign w:val="center"/>
          </w:tcPr>
          <w:p w14:paraId="407C0EDF">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套</w:t>
            </w:r>
          </w:p>
        </w:tc>
      </w:tr>
      <w:tr w14:paraId="16EDC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vMerge w:val="continue"/>
            <w:noWrap w:val="0"/>
            <w:vAlign w:val="center"/>
          </w:tcPr>
          <w:p w14:paraId="6447E6FF">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tc>
        <w:tc>
          <w:tcPr>
            <w:tcW w:w="1214" w:type="dxa"/>
            <w:vMerge w:val="continue"/>
            <w:noWrap w:val="0"/>
            <w:vAlign w:val="center"/>
          </w:tcPr>
          <w:p w14:paraId="19B0C53B">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tc>
        <w:tc>
          <w:tcPr>
            <w:tcW w:w="1528" w:type="dxa"/>
            <w:noWrap w:val="0"/>
            <w:vAlign w:val="center"/>
          </w:tcPr>
          <w:p w14:paraId="095F2F69">
            <w:pPr>
              <w:keepNext w:val="0"/>
              <w:keepLines w:val="0"/>
              <w:pageBreakBefore w:val="0"/>
              <w:widowControl/>
              <w:overflowPunct/>
              <w:topLinePunct w:val="0"/>
              <w:bidi w:val="0"/>
              <w:spacing w:line="360" w:lineRule="auto"/>
              <w:jc w:val="center"/>
              <w:textAlignment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铝扣板吊顶构造实践教学工具箱</w:t>
            </w:r>
          </w:p>
        </w:tc>
        <w:tc>
          <w:tcPr>
            <w:tcW w:w="4562" w:type="dxa"/>
            <w:noWrap w:val="0"/>
            <w:vAlign w:val="center"/>
          </w:tcPr>
          <w:p w14:paraId="235DCF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1.实操装置箱体规格(约)：970*450*160mm。</w:t>
            </w:r>
          </w:p>
          <w:p w14:paraId="145EDC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2.实操装置箱体材质：采用深灰色多层板表面材质。</w:t>
            </w:r>
          </w:p>
          <w:p w14:paraId="68C7EB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3.实操装置功能：工具箱内容包含“实操构件”、“实操工具”、“使用说明书”、“案例图纸”。学生可通过对案例图纸的识图后，按照使用说明的指引，完成对铝扣板吊顶构造的安装实操任务。</w:t>
            </w:r>
          </w:p>
          <w:p w14:paraId="608AC9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4.具体配套内容如下：</w:t>
            </w:r>
          </w:p>
          <w:p w14:paraId="6B11D6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①实操构件：主龙骨、边龙骨、三角龙骨、吊杆、铝扣板等。②实操工具:卷尺、螺丝刀等。</w:t>
            </w:r>
          </w:p>
          <w:p w14:paraId="2B42CE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③使用说明书：至少需包含工具箱内容介绍和安装步骤说明指引，配套电子版和纸质版，电子版可采用二维码的形式贴于工具箱表面。</w:t>
            </w:r>
          </w:p>
          <w:p w14:paraId="2F0268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④案例图纸：至少需要包含案例平面图、天花布置图、构造节点大样图等内容。</w:t>
            </w:r>
          </w:p>
        </w:tc>
        <w:tc>
          <w:tcPr>
            <w:tcW w:w="799" w:type="dxa"/>
            <w:noWrap w:val="0"/>
            <w:vAlign w:val="center"/>
          </w:tcPr>
          <w:p w14:paraId="5E075630">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715" w:type="dxa"/>
            <w:noWrap w:val="0"/>
            <w:vAlign w:val="center"/>
          </w:tcPr>
          <w:p w14:paraId="6D8BA634">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套</w:t>
            </w:r>
          </w:p>
        </w:tc>
      </w:tr>
      <w:tr w14:paraId="0A10E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vMerge w:val="continue"/>
            <w:noWrap w:val="0"/>
            <w:vAlign w:val="center"/>
          </w:tcPr>
          <w:p w14:paraId="102EC62A">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tc>
        <w:tc>
          <w:tcPr>
            <w:tcW w:w="1214" w:type="dxa"/>
            <w:vMerge w:val="continue"/>
            <w:noWrap w:val="0"/>
            <w:vAlign w:val="center"/>
          </w:tcPr>
          <w:p w14:paraId="6D95EAAB">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tc>
        <w:tc>
          <w:tcPr>
            <w:tcW w:w="1528" w:type="dxa"/>
            <w:noWrap w:val="0"/>
            <w:vAlign w:val="center"/>
          </w:tcPr>
          <w:p w14:paraId="554CAEA2">
            <w:pPr>
              <w:keepNext w:val="0"/>
              <w:keepLines w:val="0"/>
              <w:pageBreakBefore w:val="0"/>
              <w:widowControl/>
              <w:overflowPunct/>
              <w:topLinePunct w:val="0"/>
              <w:bidi w:val="0"/>
              <w:spacing w:line="360" w:lineRule="auto"/>
              <w:jc w:val="center"/>
              <w:textAlignment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木饰面墙面干挂构造实践教学工具箱</w:t>
            </w:r>
          </w:p>
        </w:tc>
        <w:tc>
          <w:tcPr>
            <w:tcW w:w="4562" w:type="dxa"/>
            <w:noWrap w:val="0"/>
            <w:vAlign w:val="center"/>
          </w:tcPr>
          <w:p w14:paraId="5035DC3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1.实操装置箱体规格(约)：970*450*（225~280）mm。</w:t>
            </w:r>
          </w:p>
          <w:p w14:paraId="23F53E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2.实操装置箱体材质：采用深灰色多层板表面材质。</w:t>
            </w:r>
          </w:p>
          <w:p w14:paraId="15046B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3.实操装置功能：工具箱内容包含“实操构件”、“实操工具”、“使用说明书”、“案例图纸”。学生可通过对案例图纸的识图后，按照使用说明的指引，完成对木饰面墙板与顶面交接构造的安装实操任务。</w:t>
            </w:r>
          </w:p>
          <w:p w14:paraId="039E6C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4.具体配套内容如下：</w:t>
            </w:r>
          </w:p>
          <w:p w14:paraId="2BD4F7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①实操构件包含：竖龙骨（预留安装孔位置）、阻燃板基层（预留安装孔位置）、木饰面墙面板、卡式主龙骨、副龙骨（内嵌安装孔）、墙顶交接收口型材等。②实操工具:卷尺、螺丝刀等。</w:t>
            </w:r>
          </w:p>
          <w:p w14:paraId="6994080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③使用说明书：至少需包含工具箱内容介绍和安装步骤说明指引，配套电子版和纸质版，电子版可采用二维码的形式贴于工具箱表面。</w:t>
            </w:r>
          </w:p>
          <w:p w14:paraId="5B27BF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④案例图纸：至少需要包含案例平面图、天花布置图、立面图、构造节点大样图等内容。</w:t>
            </w:r>
          </w:p>
        </w:tc>
        <w:tc>
          <w:tcPr>
            <w:tcW w:w="799" w:type="dxa"/>
            <w:noWrap w:val="0"/>
            <w:vAlign w:val="center"/>
          </w:tcPr>
          <w:p w14:paraId="1149594E">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715" w:type="dxa"/>
            <w:noWrap w:val="0"/>
            <w:vAlign w:val="center"/>
          </w:tcPr>
          <w:p w14:paraId="28FCB40A">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套</w:t>
            </w:r>
          </w:p>
        </w:tc>
      </w:tr>
      <w:tr w14:paraId="1580F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vMerge w:val="continue"/>
            <w:noWrap w:val="0"/>
            <w:vAlign w:val="center"/>
          </w:tcPr>
          <w:p w14:paraId="2B319671">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tc>
        <w:tc>
          <w:tcPr>
            <w:tcW w:w="1214" w:type="dxa"/>
            <w:vMerge w:val="continue"/>
            <w:noWrap w:val="0"/>
            <w:vAlign w:val="center"/>
          </w:tcPr>
          <w:p w14:paraId="3F6A60B8">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tc>
        <w:tc>
          <w:tcPr>
            <w:tcW w:w="1528" w:type="dxa"/>
            <w:noWrap w:val="0"/>
            <w:vAlign w:val="center"/>
          </w:tcPr>
          <w:p w14:paraId="5BC69A1E">
            <w:pPr>
              <w:keepNext w:val="0"/>
              <w:keepLines w:val="0"/>
              <w:pageBreakBefore w:val="0"/>
              <w:widowControl/>
              <w:overflowPunct/>
              <w:topLinePunct w:val="0"/>
              <w:bidi w:val="0"/>
              <w:spacing w:line="360" w:lineRule="auto"/>
              <w:jc w:val="center"/>
              <w:textAlignment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硬包墙面干挂构造实践教学工具箱</w:t>
            </w:r>
          </w:p>
        </w:tc>
        <w:tc>
          <w:tcPr>
            <w:tcW w:w="4562" w:type="dxa"/>
            <w:noWrap w:val="0"/>
            <w:vAlign w:val="center"/>
          </w:tcPr>
          <w:p w14:paraId="41A6BDF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1.实操装置箱体规格(约)：970*450*225mm。</w:t>
            </w:r>
          </w:p>
          <w:p w14:paraId="323CB5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2.实操装置箱体材质：采用深灰色多层板表面材质。</w:t>
            </w:r>
          </w:p>
          <w:p w14:paraId="0A04D8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3.实操装置功能：工具箱内容包含“实操构件”、“实操工具”、“使用说明书”、“案例图纸”。学生可通过对案例图纸的识图后，按照使用说明的指引，完成对硬包/墙咔墙面构造的安装实操任务。</w:t>
            </w:r>
          </w:p>
          <w:p w14:paraId="2B0259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4.具体配套内容如下：</w:t>
            </w:r>
          </w:p>
          <w:p w14:paraId="6C753B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①实操构件包含：竖龙骨（预留安装孔位置）、阻燃板基层（预留安装孔位置）、干挂条、金属线（内嵌安装孔）、硬包墙面板（内嵌安装螺母）、墙咔墙面板（内嵌安装螺母）等。②实操工具:卷尺、螺丝刀等。</w:t>
            </w:r>
          </w:p>
          <w:p w14:paraId="575B0C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③使用说明书：至少需包含工具箱内容介绍和安装步骤说明指引，配套电子版和纸质版，电子版可采用二维码的形式贴于工具箱表面。</w:t>
            </w:r>
          </w:p>
          <w:p w14:paraId="4D69BC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④案例图纸：至少需要包含案例平面图、立面图、构造节点大样图等内容。</w:t>
            </w:r>
          </w:p>
        </w:tc>
        <w:tc>
          <w:tcPr>
            <w:tcW w:w="799" w:type="dxa"/>
            <w:noWrap w:val="0"/>
            <w:vAlign w:val="center"/>
          </w:tcPr>
          <w:p w14:paraId="2B1AC7DD">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715" w:type="dxa"/>
            <w:noWrap w:val="0"/>
            <w:vAlign w:val="center"/>
          </w:tcPr>
          <w:p w14:paraId="515F400D">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套</w:t>
            </w:r>
          </w:p>
        </w:tc>
      </w:tr>
      <w:tr w14:paraId="6517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vMerge w:val="continue"/>
            <w:noWrap w:val="0"/>
            <w:vAlign w:val="center"/>
          </w:tcPr>
          <w:p w14:paraId="3246165C">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tc>
        <w:tc>
          <w:tcPr>
            <w:tcW w:w="1214" w:type="dxa"/>
            <w:vMerge w:val="continue"/>
            <w:noWrap w:val="0"/>
            <w:vAlign w:val="center"/>
          </w:tcPr>
          <w:p w14:paraId="777ED2E0">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tc>
        <w:tc>
          <w:tcPr>
            <w:tcW w:w="1528" w:type="dxa"/>
            <w:noWrap w:val="0"/>
            <w:vAlign w:val="center"/>
          </w:tcPr>
          <w:p w14:paraId="21B0D71C">
            <w:pPr>
              <w:keepNext w:val="0"/>
              <w:keepLines w:val="0"/>
              <w:pageBreakBefore w:val="0"/>
              <w:widowControl/>
              <w:overflowPunct/>
              <w:topLinePunct w:val="0"/>
              <w:bidi w:val="0"/>
              <w:spacing w:line="360" w:lineRule="auto"/>
              <w:jc w:val="center"/>
              <w:textAlignment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轻钢龙骨隔墙构造实践教学工具箱</w:t>
            </w:r>
          </w:p>
        </w:tc>
        <w:tc>
          <w:tcPr>
            <w:tcW w:w="4562" w:type="dxa"/>
            <w:noWrap w:val="0"/>
            <w:vAlign w:val="center"/>
          </w:tcPr>
          <w:p w14:paraId="7C8190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1.实操装置箱体规格(约)：970*450*225mm。</w:t>
            </w:r>
          </w:p>
          <w:p w14:paraId="29CD2A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2.实操装置箱体材质：采用深灰色多层板表面材质。</w:t>
            </w:r>
          </w:p>
          <w:p w14:paraId="349E45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3.实操装置功能：工具箱内容包含“实操构件”、“实操工具”、“使用说明书”、“案例图纸”。学生可通过对案例图纸的识图后，按照使用说明的指引，完成对轻钢龙骨隔墙构造的安装实操任务。</w:t>
            </w:r>
          </w:p>
          <w:p w14:paraId="24366C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4.具体配套内容如下：</w:t>
            </w:r>
          </w:p>
          <w:p w14:paraId="669E59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①实操构件：隔音棉、沿顶龙骨（预留安装孔位置）、沿地龙骨（预留安装孔位置）、竖龙骨（预留安装孔位置，龙骨表面做静电喷涂处理）、通贯龙骨、支撑卡、面层板材（石膏板替代材料），龙骨采用75系列龙骨。</w:t>
            </w:r>
          </w:p>
          <w:p w14:paraId="14D945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②实操工具:卷尺、螺丝刀等。</w:t>
            </w:r>
          </w:p>
          <w:p w14:paraId="3A6806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③使用说明书：至少需包含工具箱内容介绍和安装步骤说明指引，配套电子版和纸质版，电子版可采用二维码的形式贴于工具箱表面。</w:t>
            </w:r>
          </w:p>
          <w:p w14:paraId="53C3EA6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④案例图纸：至少需要包含案例平面图、新建隔墙图、构造节点大样图等内容。</w:t>
            </w:r>
          </w:p>
        </w:tc>
        <w:tc>
          <w:tcPr>
            <w:tcW w:w="799" w:type="dxa"/>
            <w:noWrap w:val="0"/>
            <w:vAlign w:val="center"/>
          </w:tcPr>
          <w:p w14:paraId="3F31B3F3">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715" w:type="dxa"/>
            <w:noWrap w:val="0"/>
            <w:vAlign w:val="center"/>
          </w:tcPr>
          <w:p w14:paraId="6936E3CD">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套</w:t>
            </w:r>
          </w:p>
        </w:tc>
      </w:tr>
      <w:tr w14:paraId="1BD36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vMerge w:val="continue"/>
            <w:noWrap w:val="0"/>
            <w:vAlign w:val="center"/>
          </w:tcPr>
          <w:p w14:paraId="5C764139">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tc>
        <w:tc>
          <w:tcPr>
            <w:tcW w:w="1214" w:type="dxa"/>
            <w:vMerge w:val="continue"/>
            <w:noWrap w:val="0"/>
            <w:vAlign w:val="center"/>
          </w:tcPr>
          <w:p w14:paraId="40C1121E">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tc>
        <w:tc>
          <w:tcPr>
            <w:tcW w:w="1528" w:type="dxa"/>
            <w:noWrap w:val="0"/>
            <w:vAlign w:val="center"/>
          </w:tcPr>
          <w:p w14:paraId="1FB68B51">
            <w:pPr>
              <w:keepNext w:val="0"/>
              <w:keepLines w:val="0"/>
              <w:pageBreakBefore w:val="0"/>
              <w:widowControl/>
              <w:overflowPunct/>
              <w:topLinePunct w:val="0"/>
              <w:bidi w:val="0"/>
              <w:spacing w:line="360" w:lineRule="auto"/>
              <w:jc w:val="center"/>
              <w:textAlignment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装修工程模拟实操基层</w:t>
            </w:r>
          </w:p>
        </w:tc>
        <w:tc>
          <w:tcPr>
            <w:tcW w:w="4562" w:type="dxa"/>
            <w:noWrap w:val="0"/>
            <w:vAlign w:val="center"/>
          </w:tcPr>
          <w:p w14:paraId="6EF29ED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1.实操装置箱体规格(约)：970*450*225mm。</w:t>
            </w:r>
          </w:p>
          <w:p w14:paraId="6F676B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2.实操装置箱体材质：采用深灰色多层板表面材质。</w:t>
            </w:r>
          </w:p>
          <w:p w14:paraId="42D673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3.实操装置功能：工具箱内容包含“实操构件”、“实操工具”、“使用说明书”。学生可按照使用说明的指引，完成对装修工程模拟实操基层的安装实操任务。</w:t>
            </w:r>
          </w:p>
          <w:p w14:paraId="000F0F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4.具体配套内容如下：</w:t>
            </w:r>
          </w:p>
          <w:p w14:paraId="765AE5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①实操基层构件：基层立柱（采用铝型方管内嵌安装孔，表面印有刻度尺）、顶面基层框架（采用铝方管内嵌穿孔≥2mm厚铝质网板，并内嵌安装螺母，整体框架采用浅灰色静电喷涂喷涂处理）、实操基层模块化网板（需根据本项目所有实践教学工具箱的安装需求确定安装孔位，并内嵌螺母。材质采用≥2mm厚铝制网板，表面采用浅灰色静电喷涂喷涂处理）等。</w:t>
            </w:r>
          </w:p>
          <w:p w14:paraId="138A37B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②配套实操工具：卷尺、套筒扳手等。</w:t>
            </w:r>
          </w:p>
          <w:p w14:paraId="598099F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③使用说明书：至少需包含工具箱内容介绍和安装步骤说明指引，配套电子版和纸质版，电子版可采用二维码的形式贴于工具箱表面。</w:t>
            </w:r>
          </w:p>
        </w:tc>
        <w:tc>
          <w:tcPr>
            <w:tcW w:w="799" w:type="dxa"/>
            <w:noWrap w:val="0"/>
            <w:vAlign w:val="center"/>
          </w:tcPr>
          <w:p w14:paraId="0CF69D78">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p>
        </w:tc>
        <w:tc>
          <w:tcPr>
            <w:tcW w:w="715" w:type="dxa"/>
            <w:noWrap w:val="0"/>
            <w:vAlign w:val="center"/>
          </w:tcPr>
          <w:p w14:paraId="212C8149">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套</w:t>
            </w:r>
          </w:p>
        </w:tc>
      </w:tr>
      <w:tr w14:paraId="55570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1" w:type="dxa"/>
            <w:vMerge w:val="continue"/>
            <w:noWrap w:val="0"/>
            <w:vAlign w:val="center"/>
          </w:tcPr>
          <w:p w14:paraId="5F03E00D">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tc>
        <w:tc>
          <w:tcPr>
            <w:tcW w:w="1214" w:type="dxa"/>
            <w:vMerge w:val="continue"/>
            <w:noWrap w:val="0"/>
            <w:vAlign w:val="center"/>
          </w:tcPr>
          <w:p w14:paraId="4AEE8BBC">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tc>
        <w:tc>
          <w:tcPr>
            <w:tcW w:w="1528" w:type="dxa"/>
            <w:noWrap w:val="0"/>
            <w:vAlign w:val="center"/>
          </w:tcPr>
          <w:p w14:paraId="392CB1B8">
            <w:pPr>
              <w:pStyle w:val="7"/>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pacing w:val="-2"/>
                <w:sz w:val="24"/>
                <w:szCs w:val="24"/>
                <w:highlight w:val="none"/>
                <w:lang w:eastAsia="zh-CN"/>
                <w14:textFill>
                  <w14:solidFill>
                    <w14:schemeClr w14:val="tx1"/>
                  </w14:solidFill>
                </w14:textFill>
              </w:rPr>
              <w:t>数字化虚拟仿真资源平台</w:t>
            </w:r>
          </w:p>
        </w:tc>
        <w:tc>
          <w:tcPr>
            <w:tcW w:w="4562" w:type="dxa"/>
            <w:noWrap w:val="0"/>
            <w:vAlign w:val="center"/>
          </w:tcPr>
          <w:p w14:paraId="4F0905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一、系统至少支撑以下内容：</w:t>
            </w:r>
          </w:p>
          <w:p w14:paraId="74119F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1.装修材料数字化物料库模块</w:t>
            </w:r>
          </w:p>
          <w:p w14:paraId="1E7B2D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主要用于提升装修材料认知与选材实训能力，主要包括材料数字化数据管理和材料设计选材深化实训两大功能。</w:t>
            </w:r>
          </w:p>
          <w:p w14:paraId="4E0F6F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①材料数字化数据内容包括产品名称、价格、品牌、产品类别、案例图/效果图，规格属性等材料信息;</w:t>
            </w:r>
          </w:p>
          <w:p w14:paraId="54E041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②所包含材料数据≥30000个；</w:t>
            </w:r>
          </w:p>
          <w:p w14:paraId="5B03B8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③材料品类≥200种品类。</w:t>
            </w:r>
          </w:p>
          <w:p w14:paraId="54DDD2C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2.空间选材虚拟设计模块</w:t>
            </w:r>
          </w:p>
          <w:p w14:paraId="376222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①材料设计选材深化实训支持物料空间分析图制作，创建项目后可上传项目效果图，并通过系统功能实现空间分析图制作并导出；</w:t>
            </w:r>
          </w:p>
          <w:p w14:paraId="70C622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②电子物料板制作，创建项目后可通过系统“电子物料设计”功能，</w:t>
            </w:r>
            <w:bookmarkStart w:id="2" w:name="_GoBack"/>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在线</w:t>
            </w:r>
            <w:bookmarkEnd w:id="2"/>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制作电子物料板，材料可从系统物料库中选择任意材料进行设计制作，进而实现选材虚拟设计实训。</w:t>
            </w:r>
          </w:p>
          <w:p w14:paraId="401DBD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③系统还需支持“材料清单生成、材料白皮书生成”等功能，可实现将项目所选择的物料一键导出物料表和物料白皮书。</w:t>
            </w:r>
          </w:p>
          <w:p w14:paraId="4D4037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二、运行环境要求：</w:t>
            </w:r>
          </w:p>
          <w:p w14:paraId="7522E7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1.该平台应布置在校外云端，由供应商提供布置环境。</w:t>
            </w:r>
          </w:p>
          <w:p w14:paraId="078626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★2.该平台要求可通过国产（CPU、操作系统为国产主流品牌）PC端浏览器，流畅访问，使用功能不受限。（提供承诺函）</w:t>
            </w:r>
          </w:p>
        </w:tc>
        <w:tc>
          <w:tcPr>
            <w:tcW w:w="799" w:type="dxa"/>
            <w:noWrap w:val="0"/>
            <w:vAlign w:val="center"/>
          </w:tcPr>
          <w:p w14:paraId="6C38C3D9">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715" w:type="dxa"/>
            <w:noWrap w:val="0"/>
            <w:vAlign w:val="center"/>
          </w:tcPr>
          <w:p w14:paraId="641022D1">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套</w:t>
            </w:r>
          </w:p>
        </w:tc>
      </w:tr>
      <w:tr w14:paraId="5D93E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701" w:type="dxa"/>
            <w:vMerge w:val="restart"/>
            <w:noWrap w:val="0"/>
            <w:vAlign w:val="center"/>
          </w:tcPr>
          <w:p w14:paraId="2725DC54">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w:t>
            </w:r>
          </w:p>
        </w:tc>
        <w:tc>
          <w:tcPr>
            <w:tcW w:w="1214" w:type="dxa"/>
            <w:vMerge w:val="restart"/>
            <w:noWrap w:val="0"/>
            <w:vAlign w:val="center"/>
          </w:tcPr>
          <w:p w14:paraId="653889BB">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适老化课程项目建设</w:t>
            </w:r>
          </w:p>
        </w:tc>
        <w:tc>
          <w:tcPr>
            <w:tcW w:w="1528" w:type="dxa"/>
            <w:noWrap w:val="0"/>
            <w:vAlign w:val="center"/>
          </w:tcPr>
          <w:p w14:paraId="63FDED75">
            <w:pPr>
              <w:keepNext w:val="0"/>
              <w:keepLines w:val="0"/>
              <w:pageBreakBefore w:val="0"/>
              <w:overflowPunct/>
              <w:topLinePunct w:val="0"/>
              <w:bidi w:val="0"/>
              <w:spacing w:line="360" w:lineRule="auto"/>
              <w:jc w:val="center"/>
              <w:rPr>
                <w:rFonts w:hint="eastAsia" w:ascii="宋体" w:hAnsi="宋体" w:eastAsia="宋体" w:cs="宋体"/>
                <w:color w:val="000000" w:themeColor="text1"/>
                <w:spacing w:val="27"/>
                <w:sz w:val="24"/>
                <w:szCs w:val="24"/>
                <w:highlight w:val="none"/>
                <w14:textFill>
                  <w14:solidFill>
                    <w14:schemeClr w14:val="tx1"/>
                  </w14:solidFill>
                </w14:textFill>
              </w:rPr>
            </w:pPr>
            <w:r>
              <w:rPr>
                <w:rFonts w:hint="eastAsia" w:ascii="宋体" w:hAnsi="宋体" w:eastAsia="宋体" w:cs="宋体"/>
                <w:color w:val="000000" w:themeColor="text1"/>
                <w:spacing w:val="-7"/>
                <w:sz w:val="24"/>
                <w:szCs w:val="24"/>
                <w:highlight w:val="none"/>
                <w14:textFill>
                  <w14:solidFill>
                    <w14:schemeClr w14:val="tx1"/>
                  </w14:solidFill>
                </w14:textFill>
              </w:rPr>
              <w:t>引入智能化</w:t>
            </w:r>
            <w:r>
              <w:rPr>
                <w:rFonts w:hint="eastAsia" w:ascii="宋体" w:hAnsi="宋体" w:eastAsia="宋体" w:cs="宋体"/>
                <w:color w:val="000000" w:themeColor="text1"/>
                <w:spacing w:val="-2"/>
                <w:sz w:val="24"/>
                <w:szCs w:val="24"/>
                <w:highlight w:val="none"/>
                <w14:textFill>
                  <w14:solidFill>
                    <w14:schemeClr w14:val="tx1"/>
                  </w14:solidFill>
                </w14:textFill>
              </w:rPr>
              <w:t>设备的居住环境改造虚拟仿真实训</w:t>
            </w:r>
            <w:r>
              <w:rPr>
                <w:rFonts w:hint="eastAsia" w:ascii="宋体" w:hAnsi="宋体" w:eastAsia="宋体" w:cs="宋体"/>
                <w:color w:val="000000" w:themeColor="text1"/>
                <w:spacing w:val="27"/>
                <w:sz w:val="24"/>
                <w:szCs w:val="24"/>
                <w:highlight w:val="none"/>
                <w14:textFill>
                  <w14:solidFill>
                    <w14:schemeClr w14:val="tx1"/>
                  </w14:solidFill>
                </w14:textFill>
              </w:rPr>
              <w:t>教学系统</w:t>
            </w:r>
          </w:p>
          <w:p w14:paraId="195F40C9">
            <w:pPr>
              <w:keepNext w:val="0"/>
              <w:keepLines w:val="0"/>
              <w:pageBreakBefore w:val="0"/>
              <w:overflowPunct/>
              <w:topLinePunct w:val="0"/>
              <w:bidi w:val="0"/>
              <w:spacing w:line="360" w:lineRule="auto"/>
              <w:jc w:val="center"/>
              <w:rPr>
                <w:rFonts w:hint="eastAsia" w:ascii="宋体" w:hAnsi="宋体" w:eastAsia="宋体" w:cs="宋体"/>
                <w:color w:val="000000" w:themeColor="text1"/>
                <w:spacing w:val="27"/>
                <w:sz w:val="24"/>
                <w:szCs w:val="24"/>
                <w:highlight w:val="none"/>
                <w:lang w:eastAsia="zh-CN"/>
                <w14:textFill>
                  <w14:solidFill>
                    <w14:schemeClr w14:val="tx1"/>
                  </w14:solidFill>
                </w14:textFill>
              </w:rPr>
            </w:pPr>
            <w:r>
              <w:rPr>
                <w:rFonts w:hint="eastAsia" w:ascii="宋体" w:hAnsi="宋体" w:eastAsia="宋体" w:cs="宋体"/>
                <w:color w:val="000000" w:themeColor="text1"/>
                <w:spacing w:val="27"/>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核心产品</w:t>
            </w:r>
            <w:r>
              <w:rPr>
                <w:rFonts w:hint="eastAsia" w:ascii="宋体" w:hAnsi="宋体" w:eastAsia="宋体" w:cs="宋体"/>
                <w:color w:val="000000" w:themeColor="text1"/>
                <w:spacing w:val="27"/>
                <w:sz w:val="24"/>
                <w:szCs w:val="24"/>
                <w:highlight w:val="none"/>
                <w:lang w:eastAsia="zh-CN"/>
                <w14:textFill>
                  <w14:solidFill>
                    <w14:schemeClr w14:val="tx1"/>
                  </w14:solidFill>
                </w14:textFill>
              </w:rPr>
              <w:t>）</w:t>
            </w:r>
          </w:p>
        </w:tc>
        <w:tc>
          <w:tcPr>
            <w:tcW w:w="4562" w:type="dxa"/>
            <w:noWrap w:val="0"/>
            <w:vAlign w:val="center"/>
          </w:tcPr>
          <w:p w14:paraId="67AF96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一、虚拟仿真教学管理及资源共享云平台</w:t>
            </w:r>
          </w:p>
          <w:p w14:paraId="7ED471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系统须集资源管理、虚拟仿真软件、AI技术与可拓展学习资源于一体的泛在学习平台。采用响应式布局，支持高保真虚拟仿真教学软件的管理与运行。能够通过智慧化实训环境，精准赋能适老化项目管理人才培养。</w:t>
            </w:r>
          </w:p>
          <w:p w14:paraId="6E3CCD5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2.平台须采用多语言架构，支持中英文双语界面一键切换。</w:t>
            </w:r>
          </w:p>
          <w:p w14:paraId="2EC3D9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3.平台应具有资源兼容性，兼容符合WebGL标准的虚拟仿真实验项目，支持高精细度3D渲染模型的无插件在线运行。</w:t>
            </w:r>
          </w:p>
          <w:p w14:paraId="05BE65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▲4.平台须满足数据互通需求，应具备开放式API接口，支持与国家智慧教育平台、智慧职教、实验空间、职业院校教务系统等第三方平台进行学情数据联通与同步。（出具免费对接开放底层协议的说明和截图）</w:t>
            </w:r>
          </w:p>
          <w:p w14:paraId="51397C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5.支持学情记录汇总，应对学生实训实操学习情况：开始时间、结束时间、步骤得分、仿真操作详情、试题情况、任务评价等进行数据收集，统计，分析。</w:t>
            </w:r>
          </w:p>
          <w:p w14:paraId="7CBEB6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6.支持可视化数据分析，系统须集成大数据统计引擎，支持以列表、饼状图、线形图等多种可视化方式实时呈现学情数据汇总。</w:t>
            </w:r>
          </w:p>
          <w:p w14:paraId="5061C4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7.首页须具备动态发布系统，支持展示行业动态、团队介绍、合作伙伴及网站实时访问量统计。</w:t>
            </w:r>
          </w:p>
          <w:p w14:paraId="302DE30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8.支持虚拟仿真实验的在线浏览与操作。学生可根据教学计划选择“学习模式”或“测评模式”进行实训。</w:t>
            </w:r>
          </w:p>
          <w:p w14:paraId="3634BF8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9.平台支持集成在线答题系统；支持附件上传实验报告（含图文），心得体会留言及提交功能。</w:t>
            </w:r>
          </w:p>
          <w:p w14:paraId="5AF04D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10.提供个人信息管理中心，支持查看个人实验进度、历史操作记录及成绩反馈。</w:t>
            </w:r>
          </w:p>
          <w:p w14:paraId="5647F8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11.教师用户权限具备所辖班级学生账号的管理权限，支持学生信息的批量导入、导出、新增、修改及重置密码。</w:t>
            </w:r>
          </w:p>
          <w:p w14:paraId="74F151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12.支持题库管理，在线编辑、批量导入/导出试题，并可根据实验项目关联相应题库。</w:t>
            </w:r>
          </w:p>
          <w:p w14:paraId="6C63B1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13.支持教师成绩管理流程，支持下载实验报告、手动评分、查看成绩分布详情及导出成绩报表。</w:t>
            </w:r>
          </w:p>
          <w:p w14:paraId="7E751A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二、管理员端系统控制功能</w:t>
            </w:r>
          </w:p>
          <w:p w14:paraId="5BD4064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14.支持管理员实时监控全站核心指标（总浏览量、操作总次数、学生总数、实验项目数），并查看成绩分布饼状图、操作人数动态线形图等。</w:t>
            </w:r>
          </w:p>
          <w:p w14:paraId="384887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15.支持系统定制化，对系统名称、版权、SEO标题、功能按钮、中心简介、Logo等全局参数进行中英文双语配置。</w:t>
            </w:r>
          </w:p>
          <w:p w14:paraId="2C3BD2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16.支持实验管理，实现虚拟仿真资源的上传、实验参数配置（如预习分值设定）及列表维护。</w:t>
            </w:r>
          </w:p>
          <w:p w14:paraId="515B3E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17.支持内容管理，包括动态新闻、团队成员（含照片及简介）、合作伙伴信息的发布与更新。</w:t>
            </w:r>
          </w:p>
          <w:p w14:paraId="0B1944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18.支持层级管理，对教师账号、管理员账号以及年级/班级组织架构的增删改查。</w:t>
            </w:r>
          </w:p>
          <w:p w14:paraId="30128E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三、引入智能化设备的居住环境改造虚拟仿真实训教学软件</w:t>
            </w:r>
          </w:p>
          <w:p w14:paraId="3EBC26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19.系统应具备高保真三维渲染效果，确保模型与场景交互流畅；支持在1440*900及以上分辨率环境下，在线平稳运行虚拟仿真实验。</w:t>
            </w:r>
          </w:p>
          <w:p w14:paraId="6ACCD0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▲20.软件支持身份认证与授权系统，仅需一个账号即可管理名下虚仿软件。学生的学习和教师的教学不受地域限制，支持在任意空间和电脑上进行操作。（提供截图）</w:t>
            </w:r>
          </w:p>
          <w:p w14:paraId="3BD08F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▲21.软件具备数字签名，避免恶意软件入侵和其他危害，避免杀毒软件误报。（提供截图）</w:t>
            </w:r>
          </w:p>
          <w:p w14:paraId="0AE290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22.软件采用面向对象设计，操作者可通过对话框、菜单等操作。</w:t>
            </w:r>
          </w:p>
          <w:p w14:paraId="08DE7E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23.整个三维场景中画面运行流畅，无停滞感，系统响应及时；界面设计合理、美观，人机交互性好。</w:t>
            </w:r>
          </w:p>
          <w:p w14:paraId="79B16E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24.仿真软件系统支持账号登录，并将学情信息汇总到学情分析平台。可与职业院校、高校平台、国家智慧教育、智慧职教、实验空间以及教务系统等进行数据对接，支持各平台汇总学情数据，以列表、统计图等方式展示呈现。</w:t>
            </w:r>
          </w:p>
          <w:p w14:paraId="32DCCB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25.软件包括学习和测评两种模式。</w:t>
            </w:r>
          </w:p>
          <w:p w14:paraId="51939D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▲26.学习模式包括任务导入、入户评估、改造体验、设计方案、方案确认、效果评估、知识延伸。（提供截图）</w:t>
            </w:r>
          </w:p>
          <w:p w14:paraId="114E1C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27.任务导入包括任务背景，房屋情况，理论知识，同时支持语音播报的学习模式。</w:t>
            </w:r>
          </w:p>
          <w:p w14:paraId="54C1DB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28.任务背景，主要介绍案例中老年人性别年龄，身体健康情况，兴趣爱好，生活习惯等基本信息，并且同时支持语音播报。</w:t>
            </w:r>
          </w:p>
          <w:p w14:paraId="5527A6C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29.房屋情况，包括房龄，户型等。</w:t>
            </w:r>
          </w:p>
          <w:p w14:paraId="75AFA4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30.理论知识，包括适老化改造标准、指导文件。</w:t>
            </w:r>
          </w:p>
          <w:p w14:paraId="7BF3D4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31．虚拟仿真场景须涵盖客厅、卧室、卫生间、厨房等核心室内空间及辅助器具，完整构建适老化室内空间改造实训环境。</w:t>
            </w:r>
          </w:p>
          <w:p w14:paraId="0D5A93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32.三维场景模型包括根据具体案例进行适老化改造后环境，包括但不限于符合适老化标准的卧室、客厅、厨房、卫生间、阳台、开关、餐桌椅、床、坐便器、洗手池、扶手、呼叫器、机械臂、智能镜、带观察窗的室内门等。</w:t>
            </w:r>
          </w:p>
          <w:p w14:paraId="084CBA4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33.引入智能化设备的居住环境改造案例中改造内容应包括拆除隔墙、消除高差、增加储物空间、无障碍家居与设备、创新适老智能轨道、引入智能化设备等</w:t>
            </w:r>
          </w:p>
          <w:p w14:paraId="738A05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34.学习模式中，菜单导航栏，可实现跳步，在满足线性学习需求，依标准顺序执行的同时，支持非线性学习。标记三种学习状态即未完成、正在进行、已完成。</w:t>
            </w:r>
          </w:p>
          <w:p w14:paraId="17B841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35.入户评估和改造体验中，知识呈现方式包括人物对话，知识点交互题，知识内容文字或图片，三维动画演示，三维交互操作。</w:t>
            </w:r>
          </w:p>
          <w:p w14:paraId="1B2F3FF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36.入户评估，以鼠标、键盘输入设备实现人机交互，在三维场景中模拟操作入户评估。</w:t>
            </w:r>
          </w:p>
          <w:p w14:paraId="7D9E499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37.入户评估，包括准备工作，客厅，浴室，卧室，厨房，辅助器具。</w:t>
            </w:r>
          </w:p>
          <w:p w14:paraId="4C5E1F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38.准备工作，必备物品包括鞋套、尺子、相机、笔、本、介绍资料、产品目录、评估量表、测量工具、鞋套、工牌、《建筑与市政工程无障碍通用规范》（干扰项），参与评估人数，预计评估时长，服装包括运动装、工装。</w:t>
            </w:r>
          </w:p>
          <w:p w14:paraId="1FC5E1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39.评估过程中，模拟改造团队工作人员与老年人沟通情境，支持智能人机对话，可输入对话文字，支持自动对话，自动播放时对话文本与声音同步呈现。</w:t>
            </w:r>
          </w:p>
          <w:p w14:paraId="31AB46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40.居家适老化改造需求评估量化表，在入户评估中，支持进度条定位，实时填写记录。支持改造体验中浏览查看。</w:t>
            </w:r>
          </w:p>
          <w:p w14:paraId="048762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▲41.具备适老化环境设计与改造AI即时答疑功能，支持学生做中学过程中遇到问题使用移动端扫码随问随答。（提供截图）</w:t>
            </w:r>
          </w:p>
          <w:p w14:paraId="4BECCE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▲42.AI即时答疑功能支持老师自建答疑数据库，建立二维码，关联高频问题，老师可实现高频问题动态调整。（提供截图）</w:t>
            </w:r>
          </w:p>
          <w:p w14:paraId="409688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43.AI即时答疑，支持调用大模型，支持高频问题统计分析，便于老师掌握学生的学习不足情况。</w:t>
            </w:r>
          </w:p>
          <w:p w14:paraId="3DCF35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▲44.AI即时答疑工具能够根据学生虚仿软件中所学内容给出高频疑惑推荐。（提供截图）</w:t>
            </w:r>
          </w:p>
          <w:p w14:paraId="606DF3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45.支持量尺工具测量待评估物体的高度、长度，显示测量结果。</w:t>
            </w:r>
          </w:p>
          <w:p w14:paraId="630B3E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46.支持三维场景中，特定场景漫游。</w:t>
            </w:r>
          </w:p>
          <w:p w14:paraId="6128446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47.浴室包括≥19个评估项，即地面高低差、浴室门、墙体拆除、干湿分离、淋浴椅、防滑垫、淋浴区扶手、淋雨花洒、冷热水标识贴、马桶、坐便器扶手、呼叫器、洗手台、洗手台扶手、热水器、适宜水温、开关、镜子、夜间照明等。</w:t>
            </w:r>
          </w:p>
          <w:p w14:paraId="1C9CAB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48.卧室包括≥16个评估项，即卧室门、窗户、床位置摆放、床高度、护理床、床边扶手、床头柜、书桌、座椅、防撞条、脚灯、紧急呼叫器、灯开关、移动马桶、脚登、地板等。</w:t>
            </w:r>
          </w:p>
          <w:p w14:paraId="294535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49.客厅包括≥19个评估项，即室温调节、光照调节、湿度调节、餐桌、延长线与电线固定、插排、走道宽度、门把手、门距、走道扶手、鞋凳、灯开关高度、沙发、手杖位置、防撞条、家具摆放、窗帘、地板材质、墙壁颜色等。</w:t>
            </w:r>
          </w:p>
          <w:p w14:paraId="78313E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50.厨房包括≥8个评估项，即墙体拆除、置物空间、踏脚凳、地板、防滑垫、操作台、水龙头、照明等。</w:t>
            </w:r>
          </w:p>
          <w:p w14:paraId="377767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51.辅助器具需求包括≥9个评估项，即助餐辅助、助行辅助、如厕辅助、洗浴辅助、感知辅助、康复辅助、照护辅助、智能辅助、居家环境安全等。</w:t>
            </w:r>
          </w:p>
          <w:p w14:paraId="4BBA0B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52.浴室包括≥19个改造项，即地面高低差、浴室门、墙体拆除、干湿分离、淋浴椅、防滑垫、淋浴区扶手、淋雨花洒、冷热水标识贴、马桶、坐便器扶手、呼叫器、洗手台、洗手台扶手、热水器、适宜水温、开关、镜子、夜间照明等。</w:t>
            </w:r>
          </w:p>
          <w:p w14:paraId="2AB402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53.卧室包括≥17个改造项，即卧室门、窗户、储物柜、床位置摆放、床高度、护理床、床边扶手、床头柜、书桌、座椅、防撞条、脚灯、紧急呼叫器、灯开关、移动马桶、脚登、地板等。</w:t>
            </w:r>
          </w:p>
          <w:p w14:paraId="1A75D4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54.客厅包括≥19个改造项，即室温调节、光照调节、湿度调节、餐桌、延长线与电线固定、插排、走道宽度、门把手、门距、走道扶手、鞋凳、灯开关高度、沙发、手杖位置、防撞条、家具摆放、窗帘、地板材质、墙壁颜色等。</w:t>
            </w:r>
          </w:p>
          <w:p w14:paraId="306AFC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55.厨房包括≥8个改造项，即墙体拆除、置物空间、踏脚凳、地板、防滑垫、操作台、水龙头、照明等。</w:t>
            </w:r>
          </w:p>
          <w:p w14:paraId="4DFA8F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56.辅助器具需求包括≥9个改造项，即助餐辅助、助行辅助、如厕辅助、洗浴辅助、感知辅助、康复辅助、照护辅助、智能辅助、居家环境安全等。</w:t>
            </w:r>
          </w:p>
          <w:p w14:paraId="647A53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▲57.关于适老化改造知识的题目数量≥140道，其中卧室≥30道，浴室≥20道，客厅≥30道，厨房≥20道，辅助器具≥20道。（提供截图）</w:t>
            </w:r>
          </w:p>
          <w:p w14:paraId="7C61A5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58.软件中根据情境需要，以动画或模型形式展示介绍相应辅具用具，包括但不限于OT桌、PT床、便盆、穿衣板、护理床、康复脚踏车、上下肢康复训练器、喂食器、洗浴床、医用转移板等。</w:t>
            </w:r>
          </w:p>
          <w:p w14:paraId="0A3A2F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▲59.在入户评估中，支持以动画方式展示老年人生活情况，包括坐便椅使用，老年人在无扶手沙发上坐起、老年人抬脚取高处物品、室内空间轮椅回转。（提供截图）</w:t>
            </w:r>
          </w:p>
          <w:p w14:paraId="5EB54D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60.各空间评估项要有对应的需求评估量化表，支持评估时填写保存，改造时查看。支持完整评估表随时调出查阅。</w:t>
            </w:r>
          </w:p>
          <w:p w14:paraId="391346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61.改造体验，虚拟仿真交互操作，实现适老化环境改造，包括但不限于地面高低差、墙体拆除、室内门更换、洗手台及扶手、马桶、可升降花洒、扶手、淋浴椅、地面防滑、呼叫器、适老化餐桌椅、智能家电、床、可升降晾衣架、智能电子镜、机械臂等。（提供截图）</w:t>
            </w:r>
          </w:p>
          <w:p w14:paraId="3D290EA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62.效果评估，支持将问题分类统计，标注正确数/总数，选错题目及答案。（提供截图）</w:t>
            </w:r>
          </w:p>
          <w:p w14:paraId="521D11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▲63.知识延伸，包括文本内容的知识扩展以及可通过扫码扩展音频视频素材，二维码内容支持平台管理。（提供截图）</w:t>
            </w:r>
          </w:p>
          <w:p w14:paraId="3BA145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64.功能菜单默认为自动展开，支持手动收起。</w:t>
            </w:r>
          </w:p>
          <w:p w14:paraId="411713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65.支持文本信息与音频载体配合呈现多维目标。</w:t>
            </w:r>
          </w:p>
          <w:p w14:paraId="2D5F2D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66.支持在仿真软件中，融入可随时编辑的拓展案例资源。包括但不限于二维建筑剖面图，改造前、后效果图。</w:t>
            </w:r>
          </w:p>
          <w:p w14:paraId="17567E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▲67.支持二维码学习平台知识动态扩充，融入多维多媒体数字教材，支持通过手机移动端一站式扫码可浏览更多文本、图片、视频内容。二维码图案不变，内容支持动态更新。（提供截图）</w:t>
            </w:r>
          </w:p>
          <w:p w14:paraId="7B8225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▲68.测评模式包括任务、评估、改造、方案、确认、成绩。（提供截图）</w:t>
            </w:r>
          </w:p>
          <w:p w14:paraId="1FBAE0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69.测评模式无操作引导，具有步骤完成按钮。</w:t>
            </w:r>
          </w:p>
          <w:p w14:paraId="33A541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70.测评模式下，测评考核点根据《既有建筑维护与改造通用规范》、《城市居家适老化改造指导手册》及《建筑与市政工程无障碍通用规范》等国家标准文件相关适老化内容设置测评点，依照案例中具体情况结合评分要求进行赋分和评分。</w:t>
            </w:r>
          </w:p>
          <w:p w14:paraId="0670598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▲71.考核成绩，完成评估、改造、形成设计方案并确认方案、理论测评试题后可查看考核成绩。预留传参，支持与任意平台对接分数。（提供截图）</w:t>
            </w:r>
          </w:p>
          <w:p w14:paraId="471BD7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72.测评模式中理论试题，题目顺序随机，保证试卷考核知识内容和难易程度一致。</w:t>
            </w:r>
          </w:p>
          <w:p w14:paraId="48E074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▲73.根据改造体验，自动生成立体设计方案，支持修改、编辑、保存。（提供截图）</w:t>
            </w:r>
          </w:p>
          <w:p w14:paraId="41DDC4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74.设计方案按空间改造项汇总，可点击查看、浏览、修改编辑，支持漫游预览三维设计方案；三维场景中机械臂辅助老年人行走移动、日常生活辅助的动画。</w:t>
            </w:r>
          </w:p>
          <w:p w14:paraId="1F907A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75.运用虚拟仿真技术构建房间、场景，方便师生进行交互式的实训体验，大幅度提高教学质量和效果，具有安全、无医疗风险、反复应用等优点。</w:t>
            </w:r>
          </w:p>
          <w:p w14:paraId="3A90B65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76.支持“W、A、S、D”按键或鼠标点击控制视角在特定场景漫游。</w:t>
            </w:r>
          </w:p>
          <w:p w14:paraId="65DBCA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77.知识内容题目，支持作答后系统给出正误反馈，知识点解析。</w:t>
            </w:r>
          </w:p>
          <w:p w14:paraId="203FF7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▲78.国产产品，具有独立自主知识产权。（提供软件著作权证明材料）</w:t>
            </w:r>
          </w:p>
          <w:p w14:paraId="4579D67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79.软件支持桌面式PC版、WebGL版。</w:t>
            </w:r>
          </w:p>
          <w:p w14:paraId="2C83F1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★80.该平台要求可通过国产PC端安装、布置、流畅运行，使用功能不受限。（提供承诺函）</w:t>
            </w:r>
          </w:p>
        </w:tc>
        <w:tc>
          <w:tcPr>
            <w:tcW w:w="799" w:type="dxa"/>
            <w:noWrap w:val="0"/>
            <w:vAlign w:val="center"/>
          </w:tcPr>
          <w:p w14:paraId="64115418">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715" w:type="dxa"/>
            <w:noWrap w:val="0"/>
            <w:vAlign w:val="center"/>
          </w:tcPr>
          <w:p w14:paraId="71CFAD8B">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套</w:t>
            </w:r>
          </w:p>
        </w:tc>
      </w:tr>
      <w:tr w14:paraId="32D05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701" w:type="dxa"/>
            <w:vMerge w:val="continue"/>
            <w:noWrap w:val="0"/>
            <w:vAlign w:val="center"/>
          </w:tcPr>
          <w:p w14:paraId="3E40D3A9">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tc>
        <w:tc>
          <w:tcPr>
            <w:tcW w:w="1214" w:type="dxa"/>
            <w:vMerge w:val="continue"/>
            <w:noWrap w:val="0"/>
            <w:vAlign w:val="center"/>
          </w:tcPr>
          <w:p w14:paraId="3DDA2F9B">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tc>
        <w:tc>
          <w:tcPr>
            <w:tcW w:w="1528" w:type="dxa"/>
            <w:noWrap w:val="0"/>
            <w:vAlign w:val="center"/>
          </w:tcPr>
          <w:p w14:paraId="38F9B5FC">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高龄失智老年人的居住环境改造案例虚拟仿真实训教学系统</w:t>
            </w:r>
          </w:p>
        </w:tc>
        <w:tc>
          <w:tcPr>
            <w:tcW w:w="4562" w:type="dxa"/>
            <w:noWrap w:val="0"/>
            <w:vAlign w:val="center"/>
          </w:tcPr>
          <w:p w14:paraId="3009A0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一、虚拟仿真教学管理及资源共享云平台</w:t>
            </w:r>
          </w:p>
          <w:p w14:paraId="0FFA2B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bookmarkStart w:id="0" w:name="OLE_LINK10"/>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1.系统须集资源管理、虚拟仿真软件、AI技术与可拓展学习资源于一体的泛在学习平台。采用响应式布局，支持高保真虚拟仿真教学软件的管理与运行。</w:t>
            </w:r>
            <w:bookmarkEnd w:id="0"/>
          </w:p>
          <w:p w14:paraId="5A2731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2.平台须采用多语言架构，支持中英文双语界面一键切换。</w:t>
            </w:r>
          </w:p>
          <w:p w14:paraId="14902E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3.平台应具有资源兼容性，兼容符合WebGL标准的虚拟仿真实验项目，支持高精细度3D渲染模型的无插件在线运行。</w:t>
            </w:r>
          </w:p>
          <w:p w14:paraId="2BC8C8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▲4.平台须满足数据互通需求，具备开放式API接口，支持与国家智慧教育平台、智慧职教、实验空间、职业院校教务系统等第三方平台进行学情数据联通与同步。（提供截图）</w:t>
            </w:r>
          </w:p>
          <w:p w14:paraId="230C9FC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5.支持学情记录汇总，应对学生实训实操学习情况：开始时间、结束时间、步骤得分、仿真操作详情、试题情况、任务评价等进行数据收集，统计，分析。</w:t>
            </w:r>
          </w:p>
          <w:p w14:paraId="289116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6.支持可视化数据分析，系统须集成大数据统计引擎，支持以列表、饼状图、线形图等多种可视化方式实时呈现学情数据汇总。</w:t>
            </w:r>
          </w:p>
          <w:p w14:paraId="1D36DF7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7.首页须具备动态发布系统，支持展示行业动态、团队介绍、合作伙伴及网站实时访问量统计。</w:t>
            </w:r>
          </w:p>
          <w:p w14:paraId="6E7B36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8.支持虚拟仿真实验的在线浏览与操作。学生可根据教学计划选择“学习模式”或“测评模式”进行实训。</w:t>
            </w:r>
          </w:p>
          <w:p w14:paraId="1CD79C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9.平台支持集成在线答题系统；支持附件上传实验报告（含图文），心得体会留言及提交功能。</w:t>
            </w:r>
          </w:p>
          <w:p w14:paraId="5DAF7C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10.提供个人信息管理中心，支持查看个人实验进度、历史操作记录及成绩反馈。</w:t>
            </w:r>
          </w:p>
          <w:p w14:paraId="338D6C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11.教师用户权限具备所辖班级学生账号的管理权限，支持学生信息的批量导入、导出、新增、修改及重置密码。</w:t>
            </w:r>
          </w:p>
          <w:p w14:paraId="3DB452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12.支持题库管理，在线编辑、批量导入/导出试题，并可根据实验项目关联相应题库。</w:t>
            </w:r>
          </w:p>
          <w:p w14:paraId="12C5D3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13.支持教师成绩管理流程，支持下载实验报告、手动评分、查看成绩分布详情及导出成绩报表。</w:t>
            </w:r>
          </w:p>
          <w:p w14:paraId="21EB9A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管理员端系统控制功能</w:t>
            </w:r>
          </w:p>
          <w:p w14:paraId="1E63CB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14.支持管理员实时监控全站核心指标（总浏览量、操作总次数、学生总数、实验项目数），并查看成绩分布饼状图、操作人数动态线形图等。</w:t>
            </w:r>
          </w:p>
          <w:p w14:paraId="36A83B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15.支持系统定制化，对系统名称、版权、SEO标题、功能按钮、中心简介、Logo等全局参数进行中英文双语配置。</w:t>
            </w:r>
          </w:p>
          <w:p w14:paraId="583FA5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16.支持实验管理，实现虚拟仿真资源的上传、实验参数配置（如预习分值设定）及列表维护。</w:t>
            </w:r>
          </w:p>
          <w:p w14:paraId="1A825B3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17.支持内容管理，包括动态新闻、团队成员（含照片及简介）、合作伙伴信息的发布与更新。</w:t>
            </w:r>
          </w:p>
          <w:p w14:paraId="3E0847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18.支持层级管理，对教师账号、管理员账号以及年级/班级组织架构的增删改查。</w:t>
            </w:r>
          </w:p>
          <w:p w14:paraId="6BB8CF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二、高龄失智老年人的居住环境改造案例虚拟仿真实训教学系统</w:t>
            </w:r>
          </w:p>
          <w:p w14:paraId="410EEF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19.系统应具备高保真三维渲染效果，确保模型与场景交互流畅；支持在1440*900及以上分辨率环境下，在线平稳运行虚拟仿真实验。</w:t>
            </w:r>
          </w:p>
          <w:p w14:paraId="095490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20.软件支持身份认证与授权系统，仅需一个账号即可管理名下虚仿软件，便于使用电脑变更过程中的软件授权。学生的学习和教师的教学不受地域限制，可在任意空间和电脑上进行操作。</w:t>
            </w:r>
          </w:p>
          <w:p w14:paraId="449C2D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21软件具备数字签名，避免恶意软件入侵和其他危害，避免杀毒软件误报。</w:t>
            </w:r>
          </w:p>
          <w:p w14:paraId="02D4B0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22.软件采用面向对象设计，操作者可通过对话框、菜单等简便的操作。</w:t>
            </w:r>
          </w:p>
          <w:p w14:paraId="07DF2C7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23.在整个三维场景中画面运行流畅，无停滞感，系统响应及时；界面设计合理、美观，人机交互性好。</w:t>
            </w:r>
          </w:p>
          <w:p w14:paraId="49C0D5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24.仿真软件系统支持账号登录，并将学情信息汇总到学情分析平台。可与职业院校、高校平台、国家智慧教育、智慧职教、实验空间以及教务系统等进行数据对接，支持各平台汇总学情数据，以列表、统计图等方式展示呈现。（提供截图）</w:t>
            </w:r>
          </w:p>
          <w:p w14:paraId="0D4B89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25.软件包括学习和测评两种模式。</w:t>
            </w:r>
          </w:p>
          <w:p w14:paraId="120E8A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26.学习模式包括任务导入、入户评估、改造体验、设计方案、方案确认、效果评估、知识延伸。</w:t>
            </w:r>
          </w:p>
          <w:p w14:paraId="02FB49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27.任务导入包括任务背景，房屋情况，理论知识，同时支持语音播报的学习模式。</w:t>
            </w:r>
          </w:p>
          <w:p w14:paraId="52416C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28.任务背景，主要介绍案例中老年人性别年龄，身体健康情况，兴趣爱好，生活习惯等基本信息，并且同时支持语音播报。</w:t>
            </w:r>
          </w:p>
          <w:p w14:paraId="561C32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29.房屋情况，包括房龄，户型等。</w:t>
            </w:r>
          </w:p>
          <w:p w14:paraId="5DA3E48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30.理论知识，包括适老化改造标准、指导文件。</w:t>
            </w:r>
          </w:p>
          <w:p w14:paraId="0CE162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31.适老化改造室内空间包括客厅、卧室、卫生间、厨房、辅助器具。</w:t>
            </w:r>
          </w:p>
          <w:p w14:paraId="6CDF88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32.三维场景模型包括改造前环境，包括但不限于厨房、卫生间、插座、坐便器、洗手池等。</w:t>
            </w:r>
          </w:p>
          <w:p w14:paraId="2E2A438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33.三维场景模型包括根据具体案例进行适老化改造后环境，包括但不限于符合适老化标准的厨房、卫生间、阳台、开关、坐便器、洗手池、扶手、适老化门把手等。</w:t>
            </w:r>
          </w:p>
          <w:p w14:paraId="59059A4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34.学习模式中，菜单导航栏，可实现跳步，在满足线性学习需求，依标准顺序执行的同时，支持非线性学习。标记三种学习状态即未完成、正在进行、已完成。</w:t>
            </w:r>
          </w:p>
          <w:p w14:paraId="2628469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35.入户评估和改造体验中，知识呈现方式包括人物对话，知识点交互题，知识内容文字或图片，三维动画演示，三维交互操作。</w:t>
            </w:r>
          </w:p>
          <w:p w14:paraId="793097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36.入户评估，以鼠标、键盘输入设备实现人机交互，在三维场景中模拟操作入户评估。</w:t>
            </w:r>
          </w:p>
          <w:p w14:paraId="05944C3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37.入户评估，包括准备工作，卫生间，厨房，辅助器具。</w:t>
            </w:r>
          </w:p>
          <w:p w14:paraId="69AD2A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38.准备工作，必备物品包括鞋套、尺子、相机、笔、本、介绍资料、产品目录、评估量表、测量工具、鞋套、工牌、《建筑与市政工程无障碍通用规范》（干扰项），参与评估人数，预计评估时长，服装包括运动装、工装。</w:t>
            </w:r>
          </w:p>
          <w:p w14:paraId="4F9B61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39.评估过程中，模拟改造团队工作人员与老年人沟通情境，支持智能人机对话，可输入对话文字，支持自动对话，自动播放时对话文本与声音同步呈现。</w:t>
            </w:r>
          </w:p>
          <w:p w14:paraId="604C95E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40.居家适老化改造需求评估量化表，在入户评估中，支持进度条定位，实时填写记录。支持改造体验中浏览查看。</w:t>
            </w:r>
          </w:p>
          <w:p w14:paraId="00B9A25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▲41.具备适老化环境设计与改造AI即时答疑功能，支持学生做中学过程中遇到问题使用移动端扫码随问随答。（提供截图）</w:t>
            </w:r>
          </w:p>
          <w:p w14:paraId="46AF5A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▲42.AI即时答疑功能支持老师自建答疑数据库，建立二维码，关联高频问题，老师可实现高频问题动态调整。（提供截图）</w:t>
            </w:r>
          </w:p>
          <w:p w14:paraId="0BF60E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43.AI即时答疑，支持调用大模型，支持高频问题统计分析。</w:t>
            </w:r>
          </w:p>
          <w:p w14:paraId="4CF6D5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44.AI即时答疑工具能够根据学生虚仿软件中所学内容给出高频疑惑推荐。</w:t>
            </w:r>
          </w:p>
          <w:p w14:paraId="44C7F1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▲45.支持量尺工具测量待评估物体的高度、长度，显示测量结果。（提供截图）</w:t>
            </w:r>
          </w:p>
          <w:p w14:paraId="0BA896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46.支持三维场景中，特定场景漫游。</w:t>
            </w:r>
          </w:p>
          <w:p w14:paraId="70EBFD8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47.主卫生间≥8个评估项：</w:t>
            </w:r>
            <w:bookmarkStart w:id="1" w:name="OLE_LINK2"/>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水盆、水龙头、储物柜、干湿分离、置物架、水池角阀、门把手、插座。</w:t>
            </w:r>
          </w:p>
          <w:p w14:paraId="29111C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48.厨房包≥4个评估项，即更换上水角阀，更换水龙头，更换橱柜台面，整修吊柜。</w:t>
            </w:r>
          </w:p>
          <w:p w14:paraId="6EC26F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49.次卫生间≥3个评估项，即风道瓷砖、坐便器、防臭地漏。</w:t>
            </w:r>
            <w:bookmarkEnd w:id="1"/>
          </w:p>
          <w:p w14:paraId="29EA62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50.主卫生间≥8个改造项：水盆、水龙头、储物柜、干湿分离、置物架、水池角阀、门把手、插座。</w:t>
            </w:r>
          </w:p>
          <w:p w14:paraId="559156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51.厨房包≥4个改造项，即更换上水角阀，更换水龙头，更换橱柜台面，整修吊柜。</w:t>
            </w:r>
          </w:p>
          <w:p w14:paraId="50D96E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52.次卫生间≥3个改造项，即风道瓷砖、坐便器、防臭地漏。</w:t>
            </w:r>
          </w:p>
          <w:p w14:paraId="112D2C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53.关于适老化改造知识的题目数量≥60道。</w:t>
            </w:r>
          </w:p>
          <w:p w14:paraId="140954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54.软件中根据情境需要，以动画或模型形式展示介绍相应辅具用具，包括但不限于OT桌、PT床、便盆、穿衣板、护理床、康复脚踏车、上下肢康复训练器、喂食器、洗浴床、医用转移板等。</w:t>
            </w:r>
          </w:p>
          <w:p w14:paraId="447E36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55.在入户评估中，以动画方式展示老年人生活情况，包括坐便椅使用，取物、使用水龙头等。</w:t>
            </w:r>
          </w:p>
          <w:p w14:paraId="438BEC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56.各空间评估项要有对应的需求评估量化表，支持评估时填写保存，改造时查看。支持完整评估表随时调出查阅。</w:t>
            </w:r>
          </w:p>
          <w:p w14:paraId="4ADFDAB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57.改造体验，虚拟仿真交互操作，实现适老化环境改造，包括但不限于门把手、洗手台及扶手、马桶、置物架、储物柜、干湿分离、水池角阀、插座、橱柜台面、吊柜、风道瓷砖、防臭地漏等。</w:t>
            </w:r>
          </w:p>
          <w:p w14:paraId="621A23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58.效果评估，支持将问题分类统计，标注正确数/总数，选错题目及答案。</w:t>
            </w:r>
          </w:p>
          <w:p w14:paraId="797092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59.知识延伸，包括文本内容的知识扩展以及可通过扫码扩展音频视频素材，二维码内容支持平台管理。</w:t>
            </w:r>
          </w:p>
          <w:p w14:paraId="227E71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60.功能菜单默认为自动展开，支持手动收起。</w:t>
            </w:r>
          </w:p>
          <w:p w14:paraId="0112856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61.支持文本信息与音频载体配合呈现多维目标。</w:t>
            </w:r>
          </w:p>
          <w:p w14:paraId="6E3BED0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62.支持在仿真软件中，融入可随时编辑的拓展案例资源。包括但不限于二维建筑剖面图，改造前、后效果图。</w:t>
            </w:r>
          </w:p>
          <w:p w14:paraId="2745B9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63.支持二维码学习平台知识动态扩充，融入多维多媒体数字教材，通过手机移动端一站式扫码可浏览更多文本、图片、视频内容。二维码图案不变，内容支持永久动态更新，服务终身在线。</w:t>
            </w:r>
          </w:p>
          <w:p w14:paraId="716535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64.测评模式包括任务、评估、改造、方案、确认、成绩。</w:t>
            </w:r>
          </w:p>
          <w:p w14:paraId="5A3C9A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65.测评模式无操作引导，具有步骤完成按钮。</w:t>
            </w:r>
          </w:p>
          <w:p w14:paraId="0CC166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66.测评模式下，测评考核点根据《既有建筑维护与改造通用规范》、《城市居家适老化改造指导手册》及《建筑与市政工程无障碍通用规范》等国家标准文件相关适老化内容设置测评点，依照案例中具体情况结合评分要求进行赋分和评分。</w:t>
            </w:r>
          </w:p>
          <w:p w14:paraId="1966C0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67.考核成绩，完成评估、改造、形成设计方案并确认方案、理论测评试题后可查看考核成绩。预留传参，支持与任意平台对接分数。</w:t>
            </w:r>
          </w:p>
          <w:p w14:paraId="3E1969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68.测评模式中理论试题，题目顺序随机，保证试卷考核知识内容和难易程度一致。</w:t>
            </w:r>
          </w:p>
          <w:p w14:paraId="78B9FEB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69.根据改造体验，自动生成立体设计方案，支持修改、编辑、保存。</w:t>
            </w:r>
          </w:p>
          <w:p w14:paraId="1BA9C6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70.设计方案按空间改造项汇总，可点击查看、浏览、修改编辑，支持漫游预览三维设计方案。</w:t>
            </w:r>
          </w:p>
          <w:p w14:paraId="7C26374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71.运用虚拟仿真技术构建房间、场景，方便师生进行交互式的实训体验，大幅度提高教学质量和效果，具有安全、无医疗风险、反复应用等优点。通过此实训软件帮助学生学习适老化改造知识并熟练掌握为用户提供适老化改造设计方案操作技能的高自由度软件。</w:t>
            </w:r>
          </w:p>
          <w:p w14:paraId="5600D5A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72.支持“W、A、S、D”按键或鼠标点击控制视角在特定场景漫游。</w:t>
            </w:r>
          </w:p>
          <w:p w14:paraId="278D0A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73.知识内容题目，支持作答后系统给出正误反馈，知识点解析。</w:t>
            </w:r>
          </w:p>
          <w:p w14:paraId="7F8C17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▲74.国产产品，具有独立自主知识产权。（提供软件著作权证明材料）</w:t>
            </w:r>
          </w:p>
          <w:p w14:paraId="1F8805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75.软件支持桌面式PC版、WebGL版。</w:t>
            </w:r>
          </w:p>
          <w:p w14:paraId="1B6BD1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★76.该平台要求可通过国产PC端安装、布置、流畅运行，使用功能不受限。（提供承诺函）</w:t>
            </w:r>
          </w:p>
        </w:tc>
        <w:tc>
          <w:tcPr>
            <w:tcW w:w="799" w:type="dxa"/>
            <w:noWrap w:val="0"/>
            <w:vAlign w:val="center"/>
          </w:tcPr>
          <w:p w14:paraId="52AD4563">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715" w:type="dxa"/>
            <w:noWrap w:val="0"/>
            <w:vAlign w:val="center"/>
          </w:tcPr>
          <w:p w14:paraId="20B853B4">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套</w:t>
            </w:r>
          </w:p>
        </w:tc>
      </w:tr>
      <w:tr w14:paraId="62045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vMerge w:val="continue"/>
            <w:noWrap w:val="0"/>
            <w:vAlign w:val="center"/>
          </w:tcPr>
          <w:p w14:paraId="190ACBE8">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tc>
        <w:tc>
          <w:tcPr>
            <w:tcW w:w="1214" w:type="dxa"/>
            <w:vMerge w:val="continue"/>
            <w:noWrap w:val="0"/>
            <w:vAlign w:val="center"/>
          </w:tcPr>
          <w:p w14:paraId="57866E27">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tc>
        <w:tc>
          <w:tcPr>
            <w:tcW w:w="1528" w:type="dxa"/>
            <w:noWrap w:val="0"/>
            <w:vAlign w:val="center"/>
          </w:tcPr>
          <w:p w14:paraId="180BAC76">
            <w:pPr>
              <w:keepNext w:val="0"/>
              <w:keepLines w:val="0"/>
              <w:pageBreakBefore w:val="0"/>
              <w:overflowPunct/>
              <w:topLinePunct w:val="0"/>
              <w:bidi w:val="0"/>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老旧小区室外公共区域的改造案例虚拟仿真实训教学系统</w:t>
            </w:r>
          </w:p>
        </w:tc>
        <w:tc>
          <w:tcPr>
            <w:tcW w:w="4562" w:type="dxa"/>
            <w:noWrap w:val="0"/>
            <w:vAlign w:val="center"/>
          </w:tcPr>
          <w:p w14:paraId="00E416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一、虚拟仿真教学管理及资源共享云平台</w:t>
            </w:r>
          </w:p>
          <w:p w14:paraId="28D803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系统须集资源管理、虚拟仿真软件、AI技术与可拓展学习资源于一体的泛在学习平台。采用响应式布局，支持高保真虚拟仿真教学软件的管理与运行。能够通过智慧化实训环境，精准赋能适老化项目管理人才培养。</w:t>
            </w:r>
          </w:p>
          <w:p w14:paraId="2A5B1E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2.平台须采用多语言架构，支持中英文双语界面一键切换。</w:t>
            </w:r>
          </w:p>
          <w:p w14:paraId="472EF44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3.平台应具有资源兼容性，兼容符合WebGL标准的虚拟仿真实验项目，支持高精细度3D渲染模型的无插件在线运行。</w:t>
            </w:r>
          </w:p>
          <w:p w14:paraId="728731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4.平台须满足数据互通需求，应具备开放式API接口，支持与国家智慧教育平台、智慧职教、实验空间、职业院校教务系统等第三方平台进行学情数据联通与同步。</w:t>
            </w:r>
          </w:p>
          <w:p w14:paraId="5465FF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5.支持学情记录汇总，应对学生实训实操学习情况：开始时间、结束时间、步骤得分、仿真操作详情、试题情况、任务评价等进行数据收集，统计，分析。</w:t>
            </w:r>
          </w:p>
          <w:p w14:paraId="733AC9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6.支持可视化数据分析，系统须集成大数据统计引擎，支持以列表、饼状图、线形图等多种可视化方式实时呈现学情数据汇总。</w:t>
            </w:r>
          </w:p>
          <w:p w14:paraId="113BF3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7.首页须具备动态发布系统，支持展示行业动态、团队介绍、合作伙伴及网站实时访问量统计。</w:t>
            </w:r>
          </w:p>
          <w:p w14:paraId="7F3578A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8.支持虚拟仿真实验的在线浏览与操作。学生可根据教学计划选择“学习模式”或“测评模式”进行实训。</w:t>
            </w:r>
          </w:p>
          <w:p w14:paraId="5E4735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9.平台支持集成在线答题系统；支持附件上传实验报告（含图文），心得体会留言及提交功能。</w:t>
            </w:r>
          </w:p>
          <w:p w14:paraId="55C6F7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10.提供个人信息管理中心，支持查看个人实验进度、历史操作记录及成绩反馈。</w:t>
            </w:r>
          </w:p>
          <w:p w14:paraId="62DE423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11.教师用户权限具备所辖班级学生账号的管理权限，支持学生信息的批量导入、导出、新增、修改及重置密码。</w:t>
            </w:r>
          </w:p>
          <w:p w14:paraId="4E250F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12.支持题库管理，在线编辑、批量导入/导出试题，并可根据实验项目关联相应题库。</w:t>
            </w:r>
          </w:p>
          <w:p w14:paraId="281483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13.支持教师成绩管理流程，支持下载实验报告、手动评分、查看成绩分布详情及导出成绩报表。</w:t>
            </w:r>
          </w:p>
          <w:p w14:paraId="5811F9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管理员端系统控制功能</w:t>
            </w:r>
          </w:p>
          <w:p w14:paraId="29A2F3D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14.支持管理员实时监控全站核心指标（总浏览量、操作总次数、学生总数、实验项目数），并查看成绩分布饼状图、操作人数动态线形图等。</w:t>
            </w:r>
          </w:p>
          <w:p w14:paraId="59058E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15.支持系统定制化，对系统名称、版权、SEO标题、功能按钮、中心简介、Logo等全局参数进行中英文双语配置。</w:t>
            </w:r>
          </w:p>
          <w:p w14:paraId="6C9A49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16.支持实验管理，实现虚拟仿真资源的上传、实验参数配置（如预习分值设定）及列表维护。</w:t>
            </w:r>
          </w:p>
          <w:p w14:paraId="363C2D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17.支持内容管理，包括动态新闻、团队成员（含照片及简介）、合作伙伴信息的发布与更新。</w:t>
            </w:r>
          </w:p>
          <w:p w14:paraId="7CC957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18.支持层级管理，对教师账号、管理员账号以及年级/班级组织架构的增删改查。</w:t>
            </w:r>
          </w:p>
          <w:p w14:paraId="6FB484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二、老旧小区室外公共区域的改造案例虚拟仿真实训教学系统</w:t>
            </w:r>
          </w:p>
          <w:p w14:paraId="73B44C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19.系统应具备高保真三维渲染效果，确保模型与场景交互流畅；支持在1440*900及以上分辨率环境下，在线平稳运行虚拟仿真实验。</w:t>
            </w:r>
          </w:p>
          <w:p w14:paraId="1EF5F7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20.软件要具备高效轻便的知识产权技术保护措施，支持身份认证与授权系统，仅需一个账号即可管理名下虚仿软件，便于使用电脑变更过程中的软件授权。学生的学习和教师的教学不受地域限制，可在任意空间和电脑上进行操作。</w:t>
            </w:r>
          </w:p>
          <w:p w14:paraId="596AA1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▲21.软件具备数字签名，避免恶意软件入侵和其他危害，避免杀毒软件误报。（提供截图）</w:t>
            </w:r>
          </w:p>
          <w:p w14:paraId="0F9512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22.软件采用面向对象设计，操作者可通过对话框、菜单等简便的操作。</w:t>
            </w:r>
          </w:p>
          <w:p w14:paraId="55D3C2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23.在整个三维场景中画面运行流畅，无停滞感，系统响应及时；界面设计合理、美观，人机交互性好。</w:t>
            </w:r>
          </w:p>
          <w:p w14:paraId="178F1A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24.仿真软件系统支持账号登录，并将学情信息汇总到学情分析平台。可与职业院校、高校平台、国家智慧教育、智慧职教、实验空间以及教务系统等进行数据对接，支持各平台汇总学情数据，以列表、统计图等方式展示呈现。</w:t>
            </w:r>
          </w:p>
          <w:p w14:paraId="7831E67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25.软件包括学习和测评两种模式。</w:t>
            </w:r>
          </w:p>
          <w:p w14:paraId="55325C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26.学习模式包括任务导入、入户评估、改造体验、设计方案、方案确认、效果评估、知识延伸。</w:t>
            </w:r>
          </w:p>
          <w:p w14:paraId="2F3FDC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27.任务导入包括任务背景，理论知识，同时支持语音播报的学习模式。</w:t>
            </w:r>
          </w:p>
          <w:p w14:paraId="104E9D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28.任务背景，主要介绍案例中居民居住情况，小区设施情况，活动规律等基本信息，并且同时支持语音播报。</w:t>
            </w:r>
          </w:p>
          <w:p w14:paraId="5AED23C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29.理论知识，包括适老化改造标准、指导文件。</w:t>
            </w:r>
          </w:p>
          <w:p w14:paraId="48DF06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▲30.虚拟仿真场景须完整覆盖室外适老化改造要素，包含楼道、楼梯台阶、防滑条、扶手、单元门牌、单元门坡道、坡道扶手等核心设施。（提供截图）</w:t>
            </w:r>
          </w:p>
          <w:p w14:paraId="160940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31.三维场景模型包括改造前环境，包括但不限于楼道、楼梯台阶、防滑条、扶手、单元门牌、单元门坡道、坡道扶手等核心设施等。</w:t>
            </w:r>
          </w:p>
          <w:p w14:paraId="4FF9C0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32.学习模式中，菜单导航栏，可实现跳步，在满足线性学习需求，依标准顺序执行的同时，支持非线性学习。标记三种学习状态即未完成、正在进行、已完成。</w:t>
            </w:r>
          </w:p>
          <w:p w14:paraId="04C44C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33.入户评估和改造体验中，知识呈现方式包括人物对话，知识点交互题，知识内容文字或图片，三维动画演示，三维交互操作。</w:t>
            </w:r>
          </w:p>
          <w:p w14:paraId="68C46B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34.入户评估，以鼠标、键盘输入设备实现人机交互，在三维场景中模拟操作入户评估。</w:t>
            </w:r>
          </w:p>
          <w:p w14:paraId="6C7713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35.准备工作，必备物品包括鞋套、尺子、相机、笔、本、介绍资料、产品目录、评估量表、测量工具、鞋套、工牌、《建筑与市政工程无障碍通用规范》（干扰项），参与评估人数，预计评估时长，服装包括运动装、工装。</w:t>
            </w:r>
          </w:p>
          <w:p w14:paraId="3B174A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36.评估过程中，模拟改造团队工作人员与老年人沟通情境，支持智能人机对话，可输入对话文字，支持自动对话，自动播放时对话文本与声音同步呈现。</w:t>
            </w:r>
          </w:p>
          <w:p w14:paraId="57D8E2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37.居家适老化改造需求评估量化表，在入户评估中，支持进度条定位，实时填写记录。支持改造体验中浏览查看。</w:t>
            </w:r>
          </w:p>
          <w:p w14:paraId="55F928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38.具备适老化环境设计与改造AI即时答疑功能，支持学生做中学过程中遇到问题使用移动端扫码随问随答。</w:t>
            </w:r>
          </w:p>
          <w:p w14:paraId="5F7CE5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39.AI即时答疑功能支持老师自建答疑数据库，建立二维码，关联高频问题，老师可实现高频问题动态调整。</w:t>
            </w:r>
          </w:p>
          <w:p w14:paraId="0E749B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40.AI即时答疑，支持调用大模型，支持高频问题统计分析，便于老师掌握学生的学习不足情况。</w:t>
            </w:r>
          </w:p>
          <w:p w14:paraId="3D4CFE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41.AI即时答疑工具能够根据学生虚仿软件中所学内容给出高频疑惑推荐。</w:t>
            </w:r>
          </w:p>
          <w:p w14:paraId="1C6C8A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42.支持量尺工具测量待评估物体的高度、长度，显示测量结果。</w:t>
            </w:r>
          </w:p>
          <w:p w14:paraId="30A3A8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43.支持三维场景中，特定场景漫游。</w:t>
            </w:r>
          </w:p>
          <w:p w14:paraId="69F265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44.关于适老化改造知识的题目数量≥14道。</w:t>
            </w:r>
          </w:p>
          <w:p w14:paraId="7D6D8A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45.在入户评估中，以动画方式展示老年人生活情况，包括上下楼梯、出入单元门、上下坡道等。</w:t>
            </w:r>
          </w:p>
          <w:p w14:paraId="3AE669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46.各空间评估项要有对应的需求评估量化表，支持评估时填写保存，改造时查看。支持完整评估表随时调出查阅。</w:t>
            </w:r>
          </w:p>
          <w:p w14:paraId="235BC5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47.改造体验，虚拟仿真交互操作，实现适老化环境改造，包括但不限于楼道、楼梯台阶、防滑条、扶手、单元门牌、单元门无障碍坡道、坡道扶手等核心设施等。</w:t>
            </w:r>
          </w:p>
          <w:p w14:paraId="472E98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48.效果评估，支持将问题分类统计，标注正确数/总数，选错题目及答案。</w:t>
            </w:r>
          </w:p>
          <w:p w14:paraId="7029D4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49.知识延伸，包括文本内容的知识扩展以及可通过扫码扩展音频视频素材，二维码内容支持平台管理。</w:t>
            </w:r>
          </w:p>
          <w:p w14:paraId="417A71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50.功能菜单默认为自动展开，支持手动收起。</w:t>
            </w:r>
          </w:p>
          <w:p w14:paraId="0B76B36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51.支持文本信息与音频载体配合呈现多维目标。</w:t>
            </w:r>
          </w:p>
          <w:p w14:paraId="6C789E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52.支持在仿真软件中，融入可随时编辑的拓展案例资源。包括但不限于二维建筑剖面图，改造前、后效果图。</w:t>
            </w:r>
          </w:p>
          <w:p w14:paraId="60CD1A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53.支持二维码学习平台知识动态扩充，融入多维多媒体数字教材，通过手机移动端一站式扫码可浏览更多文本、图片、视频内容。二维码图案不变，内容支持永久动态更新，服务终身在线。</w:t>
            </w:r>
          </w:p>
          <w:p w14:paraId="705256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54.测评模式包括任务、评估、改造、方案、确认、成绩。</w:t>
            </w:r>
          </w:p>
          <w:p w14:paraId="5C57F9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55.测评模式无操作引导，具有步骤完成按钮。</w:t>
            </w:r>
          </w:p>
          <w:p w14:paraId="3979725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56.测评模式下，测评考核点根据《既有建筑维护与改造通用规范》、《城市居家适老化改造指导手册》及《建筑与市政工程无障碍通用规范》等国家标准文件相关适老化内容设置测评点，依照案例中具体情况结合评分要求进行赋分和评分。</w:t>
            </w:r>
          </w:p>
          <w:p w14:paraId="223640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57.考核成绩，完成评估、改造、形成设计方案并确认方案、理论测评试题后可查看考核成绩。预留传参，支持与任意平台对接分数。</w:t>
            </w:r>
          </w:p>
          <w:p w14:paraId="56506C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58.测评模式中理论试题，题目顺序随机，保证试卷考核知识内容和难易程度一致。</w:t>
            </w:r>
          </w:p>
          <w:p w14:paraId="7DBA48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59.根据改造体验，自动生成立体设计方案，支持修改、编辑、保存。</w:t>
            </w:r>
          </w:p>
          <w:p w14:paraId="705F66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60.设计方案按空间改造项汇总，可点击查看、浏览、修改编辑，支持漫游预览三维设计方案。</w:t>
            </w:r>
          </w:p>
          <w:p w14:paraId="188807B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61.运用虚拟仿真技术构建房间、场景，方便师生进行交互式的实训体验，大幅度提高教学质量和效果，具有安全、无医疗风险、反复应用等优点。通过此实训软件帮助学生学习适老化改造知识并熟练掌握为用户提供适老化改造设计方案操作技能的高自由度软件。</w:t>
            </w:r>
          </w:p>
          <w:p w14:paraId="3678327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62.支持“W、A、S、D”按键或鼠标点击控制视角在特定场景漫游。</w:t>
            </w:r>
          </w:p>
          <w:p w14:paraId="6180F6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63.知识内容题目，支持作答后系统给出正误反馈，知识点解析。</w:t>
            </w:r>
          </w:p>
          <w:p w14:paraId="12066B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▲64.国产产品，具有独立自主知识产权。（提供软件著作权证明材料）</w:t>
            </w:r>
          </w:p>
          <w:p w14:paraId="2F29EE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65.软件支持桌面式PC版、WebGL版。</w:t>
            </w:r>
          </w:p>
          <w:p w14:paraId="39D63A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★66.该平台要求可通过国产PC端安装、布置、流畅运行，使用功能不受限。（提供承诺函）</w:t>
            </w:r>
          </w:p>
        </w:tc>
        <w:tc>
          <w:tcPr>
            <w:tcW w:w="799" w:type="dxa"/>
            <w:noWrap w:val="0"/>
            <w:vAlign w:val="center"/>
          </w:tcPr>
          <w:p w14:paraId="682BA7A2">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715" w:type="dxa"/>
            <w:noWrap w:val="0"/>
            <w:vAlign w:val="center"/>
          </w:tcPr>
          <w:p w14:paraId="0C49DED3">
            <w:pPr>
              <w:keepNext w:val="0"/>
              <w:keepLines w:val="0"/>
              <w:pageBreakBefore w:val="0"/>
              <w:overflowPunct/>
              <w:topLinePunct w:val="0"/>
              <w:bidi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套</w:t>
            </w:r>
          </w:p>
        </w:tc>
      </w:tr>
      <w:tr w14:paraId="0490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19" w:type="dxa"/>
            <w:gridSpan w:val="6"/>
            <w:noWrap w:val="0"/>
            <w:vAlign w:val="center"/>
          </w:tcPr>
          <w:p w14:paraId="1E243A3A">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说明：1.带“★”号的参数和带“▲”号参数均应以采购需求中要求的形式(如带“★”号的参数和带“▲”号参数在采购需求中无形式要求的，可以不限于原厂印刷的产品说明书、制造商官方网站截图、第三方机构检验报告、带标识(说明)的功能截图等任意形式)提供相应的证明材料。任意一条带“★”号的参数未响应或者不满足的，将按废标处理。任意一条带“▲”号参数未响应或者不满足的，将按相应的扣分处理。</w:t>
            </w:r>
          </w:p>
          <w:p w14:paraId="794563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2.需求清单中“（提供截图）”指投标人通过使用截屏/图工具，截取有关设备(或软件)本身所具备的功能或配置等重要信息与招标文件要求相匹配。截图本身无法直接体现的，可在截图内/外结合标注、文字等辅助方式加以佐证。</w:t>
            </w:r>
          </w:p>
          <w:p w14:paraId="665143C9">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3.需求清单中的</w:t>
            </w:r>
            <w:r>
              <w:rPr>
                <w:rFonts w:hint="eastAsia" w:ascii="宋体" w:hAnsi="宋体" w:eastAsia="宋体" w:cs="宋体"/>
                <w:b w:val="0"/>
                <w:bCs w:val="0"/>
                <w:color w:val="000000" w:themeColor="text1"/>
                <w:sz w:val="24"/>
                <w:szCs w:val="24"/>
                <w:highlight w:val="none"/>
                <w:lang w:val="en-CA" w:eastAsia="zh-CN"/>
                <w14:textFill>
                  <w14:solidFill>
                    <w14:schemeClr w14:val="tx1"/>
                  </w14:solidFill>
                </w14:textFill>
              </w:rPr>
              <w:t>“支持..；具备..；配备..”等描述，为已具备的功能要求，且后期使用费用包含在投标报价中；</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成交后，中标人不允许以任何形式就以上</w:t>
            </w:r>
            <w:r>
              <w:rPr>
                <w:rFonts w:hint="eastAsia" w:ascii="宋体" w:hAnsi="宋体" w:eastAsia="宋体" w:cs="宋体"/>
                <w:b w:val="0"/>
                <w:bCs w:val="0"/>
                <w:color w:val="000000" w:themeColor="text1"/>
                <w:sz w:val="24"/>
                <w:szCs w:val="24"/>
                <w:highlight w:val="none"/>
                <w:lang w:val="en-CA" w:eastAsia="zh-CN"/>
                <w14:textFill>
                  <w14:solidFill>
                    <w14:schemeClr w14:val="tx1"/>
                  </w14:solidFill>
                </w14:textFill>
              </w:rPr>
              <w:t>已具备的功能</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向采购人收取费用，否则一律按虚假应标处理，由中标人承担因此产生的一切后果和责任。</w:t>
            </w:r>
          </w:p>
        </w:tc>
      </w:tr>
    </w:tbl>
    <w:p w14:paraId="5F706595">
      <w:pPr>
        <w:rPr>
          <w:rFonts w:hint="eastAsia" w:ascii="宋体" w:hAnsi="宋体" w:eastAsia="宋体" w:cs="宋体"/>
          <w:b/>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pacing w:val="6"/>
          <w:sz w:val="24"/>
          <w:szCs w:val="24"/>
          <w:highlight w:val="none"/>
          <w:lang w:val="en-US" w:eastAsia="zh-CN"/>
          <w14:textFill>
            <w14:solidFill>
              <w14:schemeClr w14:val="tx1"/>
            </w14:solidFill>
          </w14:textFill>
        </w:rPr>
        <w:br w:type="page"/>
      </w:r>
    </w:p>
    <w:p w14:paraId="33667398">
      <w:pPr>
        <w:jc w:val="center"/>
        <w:rPr>
          <w:rFonts w:hint="eastAsia" w:ascii="宋体" w:hAnsi="宋体" w:eastAsia="宋体" w:cs="宋体"/>
          <w:b/>
          <w:bCs/>
          <w:color w:val="000000" w:themeColor="text1"/>
          <w:spacing w:val="6"/>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pacing w:val="6"/>
          <w:sz w:val="24"/>
          <w:szCs w:val="24"/>
          <w:highlight w:val="none"/>
          <w:lang w:val="en-US" w:eastAsia="zh-CN"/>
          <w14:textFill>
            <w14:solidFill>
              <w14:schemeClr w14:val="tx1"/>
            </w14:solidFill>
          </w14:textFill>
        </w:rPr>
        <w:t>采购包2大空间数字技术虚实融合创新工坊采购需求清单</w:t>
      </w:r>
    </w:p>
    <w:tbl>
      <w:tblPr>
        <w:tblStyle w:val="4"/>
        <w:tblW w:w="9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550"/>
        <w:gridCol w:w="5748"/>
        <w:gridCol w:w="799"/>
        <w:gridCol w:w="749"/>
      </w:tblGrid>
      <w:tr w14:paraId="6A2C9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29" w:type="dxa"/>
            <w:noWrap w:val="0"/>
            <w:vAlign w:val="center"/>
          </w:tcPr>
          <w:p w14:paraId="3EEF1864">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序号</w:t>
            </w:r>
          </w:p>
        </w:tc>
        <w:tc>
          <w:tcPr>
            <w:tcW w:w="1550" w:type="dxa"/>
            <w:noWrap w:val="0"/>
            <w:vAlign w:val="center"/>
          </w:tcPr>
          <w:p w14:paraId="4BBFD5D5">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名称</w:t>
            </w:r>
          </w:p>
        </w:tc>
        <w:tc>
          <w:tcPr>
            <w:tcW w:w="5748" w:type="dxa"/>
            <w:noWrap w:val="0"/>
            <w:vAlign w:val="center"/>
          </w:tcPr>
          <w:p w14:paraId="67693B7C">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技术要求</w:t>
            </w:r>
          </w:p>
        </w:tc>
        <w:tc>
          <w:tcPr>
            <w:tcW w:w="799" w:type="dxa"/>
            <w:noWrap w:val="0"/>
            <w:vAlign w:val="center"/>
          </w:tcPr>
          <w:p w14:paraId="62D17FE0">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数量</w:t>
            </w:r>
          </w:p>
        </w:tc>
        <w:tc>
          <w:tcPr>
            <w:tcW w:w="749" w:type="dxa"/>
            <w:noWrap w:val="0"/>
            <w:vAlign w:val="center"/>
          </w:tcPr>
          <w:p w14:paraId="597F6736">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单位</w:t>
            </w:r>
          </w:p>
        </w:tc>
      </w:tr>
      <w:tr w14:paraId="5B1F9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14:paraId="76AABFC4">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1</w:t>
            </w:r>
          </w:p>
        </w:tc>
        <w:tc>
          <w:tcPr>
            <w:tcW w:w="1550" w:type="dxa"/>
            <w:noWrap w:val="0"/>
            <w:vAlign w:val="center"/>
          </w:tcPr>
          <w:p w14:paraId="755DE3D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移动式虚拟现实显示设备</w:t>
            </w:r>
          </w:p>
        </w:tc>
        <w:tc>
          <w:tcPr>
            <w:tcW w:w="5748" w:type="dxa"/>
            <w:noWrap w:val="0"/>
            <w:vAlign w:val="center"/>
          </w:tcPr>
          <w:p w14:paraId="000319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1.≥高通XR2 Gen2(同级别处理能力的国产均可)处理器，≥12GB LPDDR5内存，≥1256GBUFS3机身存储，≥Wi-Fi 7无线网络，兼容802.11 a/b/g/n/ac/ax/be协议，支持2.4GHz、5GHz频段，蓝牙：≥5.3版本，操作系统：≥Android 14，也可</w:t>
            </w:r>
            <w:r>
              <w:rPr>
                <w:rFonts w:hint="eastAsia" w:ascii="宋体" w:hAnsi="宋体" w:eastAsia="宋体" w:cs="宋体"/>
                <w:b w:val="0"/>
                <w:bCs w:val="0"/>
                <w:color w:val="000000" w:themeColor="text1"/>
                <w:kern w:val="0"/>
                <w:sz w:val="24"/>
                <w:szCs w:val="24"/>
                <w:highlight w:val="none"/>
                <w:lang w:val="en-US" w:eastAsia="zh-CN"/>
                <w14:textFill>
                  <w14:solidFill>
                    <w14:schemeClr w14:val="tx1"/>
                  </w14:solidFill>
                </w14:textFill>
              </w:rPr>
              <w:t>支持其它国产操作系统</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w:t>
            </w:r>
          </w:p>
          <w:p w14:paraId="5BF0E2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2.≥2.56英寸x 2SFRTF屏幕；总分辨率≥4320x2160，单眼分辨率≥2160x2160，像素密度≥1200 PPI；刷新率支持72Hz/90Hz；视场角≥105；搭载Pancake光学透镜。</w:t>
            </w:r>
          </w:p>
          <w:p w14:paraId="3750E7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3.支持瞳距55-75mm电机无级调节；配置≥9轴传感器，支持头部3DoF、6DoF精准定位，传感器采样频率≥1KHz；具备人脸佩戴感应功能。</w:t>
            </w:r>
          </w:p>
          <w:p w14:paraId="09C2F6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4.搭载四目单色鱼眼相机、双目RGB相机、MR深度摄像头；支持MR透视功能。</w:t>
            </w:r>
          </w:p>
          <w:p w14:paraId="2CB965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▲5.支持双手≥25自由度追踪，内置≥4种手势识别模型；支持头部6DoF追踪；配备双6DoF宽频触感手柄；配置三色LED指示灯，可显示设备开机、关机、充电状态。</w:t>
            </w:r>
          </w:p>
        </w:tc>
        <w:tc>
          <w:tcPr>
            <w:tcW w:w="799" w:type="dxa"/>
            <w:noWrap w:val="0"/>
            <w:vAlign w:val="center"/>
          </w:tcPr>
          <w:p w14:paraId="10A328E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16</w:t>
            </w:r>
          </w:p>
        </w:tc>
        <w:tc>
          <w:tcPr>
            <w:tcW w:w="749" w:type="dxa"/>
            <w:noWrap w:val="0"/>
            <w:vAlign w:val="center"/>
          </w:tcPr>
          <w:p w14:paraId="6BA4C7F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套</w:t>
            </w:r>
          </w:p>
        </w:tc>
      </w:tr>
      <w:tr w14:paraId="09908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14:paraId="3C88EA0C">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2</w:t>
            </w:r>
          </w:p>
        </w:tc>
        <w:tc>
          <w:tcPr>
            <w:tcW w:w="1550" w:type="dxa"/>
            <w:noWrap w:val="0"/>
            <w:vAlign w:val="center"/>
          </w:tcPr>
          <w:p w14:paraId="3B834F1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虚拟现实设备存储柜</w:t>
            </w:r>
          </w:p>
        </w:tc>
        <w:tc>
          <w:tcPr>
            <w:tcW w:w="5748" w:type="dxa"/>
            <w:noWrap w:val="0"/>
            <w:vAlign w:val="center"/>
          </w:tcPr>
          <w:p w14:paraId="020119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1.本设备为移动式虚拟现实一体机收纳及充电专用设备。</w:t>
            </w:r>
          </w:p>
          <w:p w14:paraId="6279F5F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2.设备具备集中管控能力，支持可统一管理全部配套教学设备。</w:t>
            </w:r>
          </w:p>
          <w:p w14:paraId="75D460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3.设备可满足人员依据学习需求调取使用相关设备的使用要求。</w:t>
            </w:r>
          </w:p>
          <w:p w14:paraId="301AA4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4.设备具备充电功能，可对虚拟现实一体机开展充电作业。</w:t>
            </w:r>
          </w:p>
        </w:tc>
        <w:tc>
          <w:tcPr>
            <w:tcW w:w="799" w:type="dxa"/>
            <w:noWrap w:val="0"/>
            <w:vAlign w:val="center"/>
          </w:tcPr>
          <w:p w14:paraId="0C2F04A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w:t>
            </w:r>
          </w:p>
        </w:tc>
        <w:tc>
          <w:tcPr>
            <w:tcW w:w="749" w:type="dxa"/>
            <w:noWrap w:val="0"/>
            <w:vAlign w:val="center"/>
          </w:tcPr>
          <w:p w14:paraId="0671356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套</w:t>
            </w:r>
          </w:p>
        </w:tc>
      </w:tr>
      <w:tr w14:paraId="2CA8F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14:paraId="5C4EDEFA">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3</w:t>
            </w:r>
          </w:p>
        </w:tc>
        <w:tc>
          <w:tcPr>
            <w:tcW w:w="1550" w:type="dxa"/>
            <w:noWrap w:val="0"/>
            <w:vAlign w:val="center"/>
          </w:tcPr>
          <w:p w14:paraId="494FDD5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大屏无线投屏智慧平板一体机</w:t>
            </w:r>
          </w:p>
        </w:tc>
        <w:tc>
          <w:tcPr>
            <w:tcW w:w="5748" w:type="dxa"/>
            <w:noWrap w:val="0"/>
            <w:vAlign w:val="center"/>
          </w:tcPr>
          <w:p w14:paraId="1843BD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1.显示尺寸：≥86 英寸，分辨率≥4K，显示比例 16:9，设备具备防眩光功能。</w:t>
            </w:r>
          </w:p>
          <w:p w14:paraId="6AC2C6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2.触控方式：采用红外触控技术。</w:t>
            </w:r>
          </w:p>
          <w:p w14:paraId="609275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3.系统兼容：可在 Windows、安卓系统下正常使用触控书写功能。</w:t>
            </w:r>
          </w:p>
          <w:p w14:paraId="7A0CF1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▲4.触控点数：支持十点触控、十点书写。</w:t>
            </w:r>
          </w:p>
          <w:p w14:paraId="45E4D0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5.书写延迟：书写延迟≤90ms。</w:t>
            </w:r>
          </w:p>
          <w:p w14:paraId="1649EAF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6.防护性能：触摸屏配备防遮挡功能，触摸接收器出现单点、多点遮挡情况时，仍可正常书写。</w:t>
            </w:r>
          </w:p>
        </w:tc>
        <w:tc>
          <w:tcPr>
            <w:tcW w:w="799" w:type="dxa"/>
            <w:noWrap w:val="0"/>
            <w:vAlign w:val="center"/>
          </w:tcPr>
          <w:p w14:paraId="13F0DAA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w:t>
            </w:r>
          </w:p>
        </w:tc>
        <w:tc>
          <w:tcPr>
            <w:tcW w:w="749" w:type="dxa"/>
            <w:noWrap w:val="0"/>
            <w:vAlign w:val="center"/>
          </w:tcPr>
          <w:p w14:paraId="3DC01DF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套</w:t>
            </w:r>
          </w:p>
        </w:tc>
      </w:tr>
      <w:tr w14:paraId="57084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14:paraId="7640F926">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4</w:t>
            </w:r>
          </w:p>
        </w:tc>
        <w:tc>
          <w:tcPr>
            <w:tcW w:w="1550" w:type="dxa"/>
            <w:noWrap w:val="0"/>
            <w:vAlign w:val="center"/>
          </w:tcPr>
          <w:p w14:paraId="3F73FEF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独立装一次性眼罩</w:t>
            </w:r>
          </w:p>
        </w:tc>
        <w:tc>
          <w:tcPr>
            <w:tcW w:w="5748" w:type="dxa"/>
            <w:noWrap w:val="0"/>
            <w:vAlign w:val="center"/>
          </w:tcPr>
          <w:p w14:paraId="062695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1.白色无纺布。</w:t>
            </w:r>
          </w:p>
          <w:p w14:paraId="1268A3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2.眼罩尺寸(约)20.5*11.5cm，能与VR头显尽量贴合。</w:t>
            </w:r>
          </w:p>
        </w:tc>
        <w:tc>
          <w:tcPr>
            <w:tcW w:w="799" w:type="dxa"/>
            <w:noWrap w:val="0"/>
            <w:vAlign w:val="center"/>
          </w:tcPr>
          <w:p w14:paraId="16EB7D4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1000</w:t>
            </w:r>
          </w:p>
        </w:tc>
        <w:tc>
          <w:tcPr>
            <w:tcW w:w="749" w:type="dxa"/>
            <w:noWrap w:val="0"/>
            <w:vAlign w:val="center"/>
          </w:tcPr>
          <w:p w14:paraId="2D511CA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个</w:t>
            </w:r>
          </w:p>
        </w:tc>
      </w:tr>
      <w:tr w14:paraId="4EDCE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14:paraId="491ACC62">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5</w:t>
            </w:r>
          </w:p>
        </w:tc>
        <w:tc>
          <w:tcPr>
            <w:tcW w:w="1550" w:type="dxa"/>
            <w:noWrap w:val="0"/>
            <w:vAlign w:val="center"/>
          </w:tcPr>
          <w:p w14:paraId="6EA9D60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道具枪</w:t>
            </w:r>
          </w:p>
        </w:tc>
        <w:tc>
          <w:tcPr>
            <w:tcW w:w="5748" w:type="dxa"/>
            <w:noWrap w:val="0"/>
            <w:vAlign w:val="center"/>
          </w:tcPr>
          <w:p w14:paraId="4A3CB4B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1.3D打印制作，方便组装，支持可嵌入手柄中作为剧情交互使用；</w:t>
            </w:r>
          </w:p>
          <w:p w14:paraId="7E4D8E99">
            <w:pP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2.组装后尺寸长度≥18cm。</w:t>
            </w:r>
          </w:p>
        </w:tc>
        <w:tc>
          <w:tcPr>
            <w:tcW w:w="799" w:type="dxa"/>
            <w:noWrap w:val="0"/>
            <w:vAlign w:val="center"/>
          </w:tcPr>
          <w:p w14:paraId="1F2A30F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16</w:t>
            </w:r>
          </w:p>
        </w:tc>
        <w:tc>
          <w:tcPr>
            <w:tcW w:w="749" w:type="dxa"/>
            <w:noWrap w:val="0"/>
            <w:vAlign w:val="center"/>
          </w:tcPr>
          <w:p w14:paraId="455FB27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套</w:t>
            </w:r>
          </w:p>
        </w:tc>
      </w:tr>
      <w:tr w14:paraId="16FB0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29" w:type="dxa"/>
            <w:noWrap w:val="0"/>
            <w:vAlign w:val="center"/>
          </w:tcPr>
          <w:p w14:paraId="6DC5A0A5">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6</w:t>
            </w:r>
          </w:p>
        </w:tc>
        <w:tc>
          <w:tcPr>
            <w:tcW w:w="1550" w:type="dxa"/>
            <w:noWrap w:val="0"/>
            <w:vAlign w:val="center"/>
          </w:tcPr>
          <w:p w14:paraId="77DC402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传音耳罩</w:t>
            </w:r>
          </w:p>
        </w:tc>
        <w:tc>
          <w:tcPr>
            <w:tcW w:w="5748" w:type="dxa"/>
            <w:noWrap w:val="0"/>
            <w:vAlign w:val="center"/>
          </w:tcPr>
          <w:p w14:paraId="31D95B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采用亲肤海绵复合材质，支持定位标卡扣式安装，原声传导。</w:t>
            </w:r>
          </w:p>
        </w:tc>
        <w:tc>
          <w:tcPr>
            <w:tcW w:w="799" w:type="dxa"/>
            <w:noWrap w:val="0"/>
            <w:vAlign w:val="center"/>
          </w:tcPr>
          <w:p w14:paraId="24E3613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16</w:t>
            </w:r>
          </w:p>
        </w:tc>
        <w:tc>
          <w:tcPr>
            <w:tcW w:w="749" w:type="dxa"/>
            <w:noWrap w:val="0"/>
            <w:vAlign w:val="center"/>
          </w:tcPr>
          <w:p w14:paraId="5607D73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套</w:t>
            </w:r>
          </w:p>
        </w:tc>
      </w:tr>
      <w:tr w14:paraId="3A4D9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14:paraId="46FC712F">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7</w:t>
            </w:r>
          </w:p>
        </w:tc>
        <w:tc>
          <w:tcPr>
            <w:tcW w:w="1550" w:type="dxa"/>
            <w:noWrap w:val="0"/>
            <w:vAlign w:val="center"/>
          </w:tcPr>
          <w:p w14:paraId="07AAF70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磁吸电池</w:t>
            </w:r>
          </w:p>
        </w:tc>
        <w:tc>
          <w:tcPr>
            <w:tcW w:w="5748" w:type="dxa"/>
            <w:noWrap w:val="0"/>
            <w:vAlign w:val="center"/>
          </w:tcPr>
          <w:p w14:paraId="744137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1.≥1个充电底座，≥2个充电电池；支持快速充电盒涓流充电，保证设备电池充电状态；</w:t>
            </w:r>
          </w:p>
          <w:p w14:paraId="3DC4F5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2.磁吸电池容量≥7000毫安；</w:t>
            </w:r>
          </w:p>
        </w:tc>
        <w:tc>
          <w:tcPr>
            <w:tcW w:w="799" w:type="dxa"/>
            <w:noWrap w:val="0"/>
            <w:vAlign w:val="center"/>
          </w:tcPr>
          <w:p w14:paraId="2B9F883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16</w:t>
            </w:r>
          </w:p>
        </w:tc>
        <w:tc>
          <w:tcPr>
            <w:tcW w:w="749" w:type="dxa"/>
            <w:noWrap w:val="0"/>
            <w:vAlign w:val="center"/>
          </w:tcPr>
          <w:p w14:paraId="2D6F3A0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套</w:t>
            </w:r>
          </w:p>
        </w:tc>
      </w:tr>
      <w:tr w14:paraId="6C7D3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14:paraId="2994E65E">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8</w:t>
            </w:r>
          </w:p>
        </w:tc>
        <w:tc>
          <w:tcPr>
            <w:tcW w:w="1550" w:type="dxa"/>
            <w:noWrap w:val="0"/>
            <w:vAlign w:val="center"/>
          </w:tcPr>
          <w:p w14:paraId="271345B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AI-LBE 行进式沉浸交互实训平台</w:t>
            </w:r>
          </w:p>
        </w:tc>
        <w:tc>
          <w:tcPr>
            <w:tcW w:w="5748" w:type="dxa"/>
            <w:noWrap w:val="0"/>
            <w:vAlign w:val="center"/>
          </w:tcPr>
          <w:p w14:paraId="1AFE0B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一、系统管理功能</w:t>
            </w:r>
          </w:p>
          <w:p w14:paraId="07B93B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1.系统配置客户端，支持电脑、平板终端操作，可实现VR设备及LBE内容的统一管理。</w:t>
            </w:r>
          </w:p>
          <w:p w14:paraId="2D513E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具备设备应用管理功能：支持查询可运行LBE应用数量；支持选中应用后，从未运行VR设备列表中任选设备启动应用体验；支持查看已运行VR设备的应用名称、设备编号、体验用户名；支持单台设备应用关闭及全部设备应用批量关闭操作。</w:t>
            </w:r>
          </w:p>
          <w:p w14:paraId="1DE7C6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3.具备设备状态管理功能：支持查询所有已运行、未运行VR设备的编号及所属场地位置；支持查看已运行设备的体验用户名、LBE应用名称等用户信息；支持编辑未运行设备的待体验用户信息。</w:t>
            </w:r>
          </w:p>
          <w:p w14:paraId="2AA50BE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4.具备设备基础管理功能：支持VR设备编号设置，可实时监控设备开机状态，展示已启动、未启动设备编号信息。</w:t>
            </w:r>
          </w:p>
          <w:p w14:paraId="2D2132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二、服务端设备（共计2台）</w:t>
            </w:r>
          </w:p>
          <w:p w14:paraId="09A7C2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5.处理器：搭载国产处理器，内核主频≥3.0GHz，核心数≥8核。</w:t>
            </w:r>
          </w:p>
          <w:p w14:paraId="39ED79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6.主板：采用全固态电容，集成智能数字故障指示器。</w:t>
            </w:r>
          </w:p>
          <w:p w14:paraId="041605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7.内存：配置≥16GBDDR43200Mhz双通道内存。</w:t>
            </w:r>
          </w:p>
          <w:p w14:paraId="247470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8.硬盘：配置≥256GM.2SSD固态硬盘+1T机械硬盘。</w:t>
            </w:r>
          </w:p>
          <w:p w14:paraId="574DEB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9.键鼠：配备USB接口键盘、鼠标。</w:t>
            </w:r>
          </w:p>
          <w:p w14:paraId="1885E6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10.显卡：采用集成显卡。</w:t>
            </w:r>
          </w:p>
          <w:p w14:paraId="45F5F94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11.声卡：配备前置2个、后置3个音频接口，支持双声道输出及MIC输入功能。</w:t>
            </w:r>
          </w:p>
          <w:p w14:paraId="07474E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12.网卡：集成千兆网卡，配备网络设备物理开关。</w:t>
            </w:r>
          </w:p>
          <w:p w14:paraId="2F0100D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13.接口：配备≥13个USB接口，其中后置USB3.2接口≥6个；原生显示接口≥3个，支持三屏输出。</w:t>
            </w:r>
          </w:p>
          <w:p w14:paraId="52834E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14.扩展接口：配备≥3个PCIE接口，其中PCIE4.0x16接口≥2个；配备≥1个COM口。</w:t>
            </w:r>
          </w:p>
          <w:p w14:paraId="79998B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15.电源：配备≥200W高效节能电源。</w:t>
            </w:r>
          </w:p>
          <w:p w14:paraId="335CF9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16.机箱：配备前置隐藏式硬盘指示灯。</w:t>
            </w:r>
          </w:p>
          <w:p w14:paraId="2585C5D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17.显示器：搭配同品牌≥24.5寸显示器，刷新率≥100Hz，静态对比度≥4000:1，分辨率≥1920*1080，配备VGA+HDMI接口。</w:t>
            </w:r>
          </w:p>
          <w:p w14:paraId="4A3FA3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18.安全功能：支持USB端口屏蔽，可设置仅识别鼠标功能，需提供功能佐证图片。</w:t>
            </w:r>
          </w:p>
          <w:p w14:paraId="138F68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19.设备稳定性：整机平均无故障时间MTBF值≥600000小时。</w:t>
            </w:r>
          </w:p>
          <w:p w14:paraId="67DB5B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20.降噪指标：设备空闲状态下声压级≤9dB。</w:t>
            </w:r>
          </w:p>
          <w:p w14:paraId="3E8CEA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22.操作系统：预装国产操作系统。</w:t>
            </w:r>
          </w:p>
        </w:tc>
        <w:tc>
          <w:tcPr>
            <w:tcW w:w="799" w:type="dxa"/>
            <w:noWrap w:val="0"/>
            <w:vAlign w:val="center"/>
          </w:tcPr>
          <w:p w14:paraId="156C58D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w:t>
            </w:r>
          </w:p>
        </w:tc>
        <w:tc>
          <w:tcPr>
            <w:tcW w:w="749" w:type="dxa"/>
            <w:noWrap w:val="0"/>
            <w:vAlign w:val="center"/>
          </w:tcPr>
          <w:p w14:paraId="702891E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套</w:t>
            </w:r>
          </w:p>
        </w:tc>
      </w:tr>
      <w:tr w14:paraId="7DC16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14:paraId="6571C56D">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9</w:t>
            </w:r>
          </w:p>
        </w:tc>
        <w:tc>
          <w:tcPr>
            <w:tcW w:w="1550" w:type="dxa"/>
            <w:noWrap w:val="0"/>
            <w:vAlign w:val="center"/>
          </w:tcPr>
          <w:p w14:paraId="593614C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跟着走-主题行进式沉浸剧</w:t>
            </w:r>
          </w:p>
        </w:tc>
        <w:tc>
          <w:tcPr>
            <w:tcW w:w="5748" w:type="dxa"/>
            <w:noWrap w:val="0"/>
            <w:vAlign w:val="center"/>
          </w:tcPr>
          <w:p w14:paraId="49ABC2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1.系统核心技术架构要求：内容需基于LBE大空间交互技术，融合增强现实、虚拟现实、人工智能技术搭建。</w:t>
            </w:r>
          </w:p>
          <w:p w14:paraId="13D40C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核心功能要求：系统需支持高精度定位、动态环境适配、多设备协同管理功能，支持用户在真实历史场景中通过头部转动、手势控制完成虚拟空间全景漫游，支持通过手势映射虚拟空间位移指令，实现站立式沉浸式剧情漫游体验。</w:t>
            </w:r>
          </w:p>
          <w:p w14:paraId="622580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高精度定位功能要求：采用专业定位算法，支持室内高精度定位，动态场景无累计漂移；支持A0、A1尺寸静态Marker与动态Marker混合部署，可触发体验内容、快速恢复定位；具备物理空间固定障碍物标定功能，可标记障碍物并给出安全提示。</w:t>
            </w:r>
          </w:p>
          <w:p w14:paraId="54A3C5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4.动态环境适配功能要求：支持室内常规光照自适应调节，配备红外辅助定位模块，适配低光运行场景。</w:t>
            </w:r>
          </w:p>
          <w:p w14:paraId="02F2D5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▲5.多设备协同管理功能要求：支持同一场景内多设备同步体验，设备用户可相互可见；具备用户距离感应功能，用户间距小于安全距离时，场景内自动相互可见。</w:t>
            </w:r>
          </w:p>
          <w:p w14:paraId="44E2ADA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6.3D资源渲染要求：体验内容中的虚拟场景、人物、道具等3D资源需具备高仿真度，采用虚拟现实实时渲染技术，支持任意视角、任意距离观察实验场景及实验现象。</w:t>
            </w:r>
          </w:p>
          <w:p w14:paraId="3505B1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7.场景内容整体要求：系统需内置抗战有我、月光伏击、血战东团堡据点、胜利与记忆四大核心场景内容。</w:t>
            </w:r>
          </w:p>
          <w:p w14:paraId="69F7993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8.序幕《抗战有我》场景要求：设置正太铁路沿线战壕场景，配备AI机器人、八路军班长引导模块；支持学习汉阳造步枪、迫击炮、机关枪等武器使用方法，展示对应历史背景，用户可通过穿越点进入战斗场景。</w:t>
            </w:r>
          </w:p>
          <w:p w14:paraId="12F73A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9.第一幕《月光伏击》场景要求：场景还原1940年正太铁路沿线环境；设定炸毁铁路、伏击日军火车核心任务，支持夜间场景操作，用户可完成破坏铁轨、铺设地雷操作，火车脱轨后开展对日战斗；系统可根据任务完成度、击毙敌人数量自动计分。</w:t>
            </w:r>
          </w:p>
          <w:p w14:paraId="230416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10.第二幕《血战东团堡据点》场景要求：承接月光伏击剧情，设置日军据点围攻场景，包含三场连贯战斗流程：</w:t>
            </w:r>
          </w:p>
          <w:p w14:paraId="535A5C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①第一场战斗：支持迫击炮攻击前哨操作，模拟日军毒气作战场景，触发八路军中毒撤退剧情；用户需在规定时限内击毁探照灯、调整迫击炮轰击碉堡。</w:t>
            </w:r>
          </w:p>
          <w:p w14:paraId="2D768E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②第二场战斗：设置夜间突袭核心工事场景，用户可通过机关枪提供火力掩护、配合爆破队作业，完成炸药包炸开据点东门操作；还原九连一排全员牺牲、日军大队长反扑被白刃战击退剧情。</w:t>
            </w:r>
          </w:p>
          <w:p w14:paraId="61CE50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③第三场战斗：开启总攻剧情，用户跟随班长推进作战，清剿残余敌军，完成全歼敌军、缴获武器物资操作，展示战友牺牲遗留家书剧情内容。</w:t>
            </w:r>
          </w:p>
          <w:p w14:paraId="57E307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11.终章《胜利与记忆》场景要求：设置抗战胜利表彰大会场景，支持用户领取“抗战英雄”虚拟勋章；可回顾全程体验成长历程，还原缅怀牺牲战友、铭记历史、珍爱和平的核心内容。</w:t>
            </w:r>
          </w:p>
        </w:tc>
        <w:tc>
          <w:tcPr>
            <w:tcW w:w="799" w:type="dxa"/>
            <w:noWrap w:val="0"/>
            <w:vAlign w:val="center"/>
          </w:tcPr>
          <w:p w14:paraId="15652E7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10</w:t>
            </w:r>
          </w:p>
        </w:tc>
        <w:tc>
          <w:tcPr>
            <w:tcW w:w="749" w:type="dxa"/>
            <w:noWrap w:val="0"/>
            <w:vAlign w:val="center"/>
          </w:tcPr>
          <w:p w14:paraId="323E819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点</w:t>
            </w:r>
          </w:p>
        </w:tc>
      </w:tr>
      <w:tr w14:paraId="79DC1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14:paraId="1DC996A7">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10</w:t>
            </w:r>
          </w:p>
        </w:tc>
        <w:tc>
          <w:tcPr>
            <w:tcW w:w="1550" w:type="dxa"/>
            <w:noWrap w:val="0"/>
            <w:vAlign w:val="center"/>
          </w:tcPr>
          <w:p w14:paraId="431AFED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长征-主题行进式沉浸剧</w:t>
            </w:r>
          </w:p>
        </w:tc>
        <w:tc>
          <w:tcPr>
            <w:tcW w:w="5748" w:type="dxa"/>
            <w:noWrap w:val="0"/>
            <w:vAlign w:val="center"/>
          </w:tcPr>
          <w:p w14:paraId="75507C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一、系统基础技术架构要求</w:t>
            </w:r>
          </w:p>
          <w:p w14:paraId="7FDCCC4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1.系统需基于LBE大空间交互技术，融合增强现实、虚拟现实、人工智能技术搭建整体内容体系。</w:t>
            </w:r>
          </w:p>
          <w:p w14:paraId="2C797A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系统需集成高精度定位、动态环境适配、多设备协同管理核心功能，支持用户在真实历史场景中通过头部转动、手势控制完成虚拟空间全景漫游；支持可通过手势映射生成虚拟空间位移指令，实现站立式全沉浸式剧情体验。</w:t>
            </w:r>
          </w:p>
          <w:p w14:paraId="790745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①高精度定位功能：采用专业定位算法，实现室内高精度定位，动态场景运行过程中无累计漂移；支持A0、A1尺寸静态Marker与动态Marker混合部署，可实现体验内容触发、定位快速恢复；具备物理空间固定障碍物标定能力，可完成障碍物标记并输出安全提示。</w:t>
            </w:r>
          </w:p>
          <w:p w14:paraId="23AC31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▲②动态环境适配功能：适配常规室内光照环境，具备光照自适应能力；搭载红外辅助定位模块，可满足低光场景正常使用需求。</w:t>
            </w:r>
          </w:p>
          <w:p w14:paraId="15092C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▲③多设备协同管理功能：支持同一场景内多终端同时在线体验，各终端用户场景内相互可见；具备用户距离感应功能，用户间距小于预设安全距离时，场景内自动可视互通。</w:t>
            </w:r>
          </w:p>
          <w:p w14:paraId="0EA4C09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3.系统虚拟资源需采用虚拟现实实时渲染技术，场景、人物、道具等3D资源具备高仿真度，支持以任意视角、任意距离查看场景及实验现象。</w:t>
            </w:r>
          </w:p>
          <w:p w14:paraId="693505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二、系统必备体验场景内容要求</w:t>
            </w:r>
          </w:p>
          <w:p w14:paraId="22998C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4.系统必须包含历史叩问、告别瑞金、血战湘江、遵义会议、四渡赤水、强渡大渡河、飞夺泸定桥、翻越夹金山、穿越草地、陕北会师十大完整长征主题体验场景，各场景功能及内容要求如下：</w:t>
            </w:r>
          </w:p>
          <w:p w14:paraId="694C72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①历史叩问场景：设置红军长征纪念堂体验空间，通过空间曲面视频呈现人物对话内容，依托长征路线图讲解实现时空穿越导入，搭建长征纪念殿堂场景，配套3D地图完成开篇内容铺垫。</w:t>
            </w:r>
          </w:p>
          <w:p w14:paraId="3E5E5F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②告别瑞金场景：还原中央红军第五次反围剿失败后撤离瑞金、叶坪村军民送别核心场景，配套专属讲解内容，呈现军民离别核心内容。</w:t>
            </w:r>
          </w:p>
          <w:p w14:paraId="02280DE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③血战湘江场景：还原湘江浮桥渡江作战场景，包含敌机轰炸、战场作战、江水浸染等场景效果；体现红军兵力损耗数据，梳理错误指挥相关教训，配套对应讲解内容。</w:t>
            </w:r>
          </w:p>
          <w:p w14:paraId="476E1F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▲④遵义会议场景：完整还原遵义会议会址场景，重现会议路线争论、核心领导地位确立全过程，体现实事求是决策理念，诠释长征战略转折价值，衔接后续战役场景内容。（提供截图）</w:t>
            </w:r>
          </w:p>
          <w:p w14:paraId="28E02C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⑤四渡赤水场景：完整还原黔北山川、土城镇、娄山关、茅台镇、乌江等核心地域场景；支持娄山关场景互动战斗功能，体验者可使用虚拟冲锋枪、迫击炮攻击NPC敌人，系统具备单场击倒敌人数量统计功能；采用全景CG动画呈现茅台镇、赤水大瀑布场景，包含蒋介石贵阳行营、乌江收尾场景，完整展示四渡赤水战术逻辑及战略胜利意义。</w:t>
            </w:r>
          </w:p>
          <w:p w14:paraId="046356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⑥强渡大渡河场景：还原安顺场红军强渡大渡河作战场景，支持第三视角观看作战全过程，体验者可参与上岸冲锋战斗；系统具备单场击倒敌人数量、累计击倒敌人数量统计功能，完整还原红军突破江河天险作战过程，配套讲解内容诠释红军战斗精神，对应驳斥相关历史预判。（提供截图）</w:t>
            </w:r>
          </w:p>
          <w:p w14:paraId="013DAE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⑦飞夺泸定桥场景：还原红军勇士铁索桥作战场景，支持体验者沉浸式渡桥及冲锋战斗操作；系统具备单场、累计击倒敌人数量统计功能；内置铁索晃动、战场爆炸等特效及配套音效，完整还原尖刀班作战、夺桥胜利全过程。</w:t>
            </w:r>
          </w:p>
          <w:p w14:paraId="1CBAA6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⑧翻越夹金山场景：还原夹金山风雪行军、悬崖通行、雪崩风险场景，复刻军需处长牺牲核心情节；包含风雪变换、日照金山等场景特效，配套讲解内容衔接草地行军体验模块。</w:t>
            </w:r>
          </w:p>
          <w:p w14:paraId="4F1D9CD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⑨穿越草地场景：还原川西北沼泽草原行军场景，复刻骡马陷泥潭、战士困境及《金色的鱼钩》老班长牺牲情节，还原降雨、沼泽等自然环境场景，配套讲解内容展示草地行军核心困境。</w:t>
            </w:r>
          </w:p>
          <w:p w14:paraId="377258A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▲⑩陕北会师场景：还原吴起镇红军会师核心场景，搭配民俗场景、配套音效呈现会师欢庆氛围，支持通过讲解内容总结长征历史意义与精神传承内核。</w:t>
            </w:r>
          </w:p>
        </w:tc>
        <w:tc>
          <w:tcPr>
            <w:tcW w:w="799" w:type="dxa"/>
            <w:noWrap w:val="0"/>
            <w:vAlign w:val="center"/>
          </w:tcPr>
          <w:p w14:paraId="3FB7ABB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10</w:t>
            </w:r>
          </w:p>
        </w:tc>
        <w:tc>
          <w:tcPr>
            <w:tcW w:w="749" w:type="dxa"/>
            <w:noWrap w:val="0"/>
            <w:vAlign w:val="center"/>
          </w:tcPr>
          <w:p w14:paraId="0A275AD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点</w:t>
            </w:r>
          </w:p>
        </w:tc>
      </w:tr>
      <w:tr w14:paraId="2C600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29" w:type="dxa"/>
            <w:noWrap w:val="0"/>
            <w:vAlign w:val="center"/>
          </w:tcPr>
          <w:p w14:paraId="29374056">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11</w:t>
            </w:r>
          </w:p>
        </w:tc>
        <w:tc>
          <w:tcPr>
            <w:tcW w:w="1550" w:type="dxa"/>
            <w:noWrap w:val="0"/>
            <w:vAlign w:val="center"/>
          </w:tcPr>
          <w:p w14:paraId="2724C09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数字资产</w:t>
            </w:r>
          </w:p>
        </w:tc>
        <w:tc>
          <w:tcPr>
            <w:tcW w:w="5748" w:type="dxa"/>
            <w:noWrap w:val="0"/>
            <w:vAlign w:val="center"/>
          </w:tcPr>
          <w:p w14:paraId="7E51FF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提供“</w:t>
            </w:r>
            <w:r>
              <w:rPr>
                <w:rFonts w:hint="eastAsia" w:ascii="宋体" w:hAnsi="宋体" w:eastAsia="宋体" w:cs="宋体"/>
                <w:b w:val="0"/>
                <w:bCs w:val="0"/>
                <w:color w:val="000000" w:themeColor="text1"/>
                <w:spacing w:val="-5"/>
                <w:sz w:val="24"/>
                <w:szCs w:val="24"/>
                <w:highlight w:val="none"/>
                <w14:textFill>
                  <w14:solidFill>
                    <w14:schemeClr w14:val="tx1"/>
                  </w14:solidFill>
                </w14:textFill>
              </w:rPr>
              <w:t>跟着走-主题行进式沉浸剧</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pacing w:val="-5"/>
                <w:sz w:val="24"/>
                <w:szCs w:val="24"/>
                <w:highlight w:val="none"/>
                <w14:textFill>
                  <w14:solidFill>
                    <w14:schemeClr w14:val="tx1"/>
                  </w14:solidFill>
                </w14:textFill>
              </w:rPr>
              <w:t>长征-主题行进式沉浸剧</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”里面的所有角色、场景、道具、交互的数字资产，放进硬盘中提交，硬盘容量与品牌不做限定。</w:t>
            </w:r>
          </w:p>
        </w:tc>
        <w:tc>
          <w:tcPr>
            <w:tcW w:w="799" w:type="dxa"/>
            <w:noWrap w:val="0"/>
            <w:vAlign w:val="center"/>
          </w:tcPr>
          <w:p w14:paraId="07FF015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w:t>
            </w:r>
          </w:p>
        </w:tc>
        <w:tc>
          <w:tcPr>
            <w:tcW w:w="749" w:type="dxa"/>
            <w:noWrap w:val="0"/>
            <w:vAlign w:val="center"/>
          </w:tcPr>
          <w:p w14:paraId="6652201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套</w:t>
            </w:r>
          </w:p>
        </w:tc>
      </w:tr>
      <w:tr w14:paraId="42E9B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29" w:type="dxa"/>
            <w:noWrap w:val="0"/>
            <w:vAlign w:val="center"/>
          </w:tcPr>
          <w:p w14:paraId="4F6F0B9F">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12</w:t>
            </w:r>
          </w:p>
        </w:tc>
        <w:tc>
          <w:tcPr>
            <w:tcW w:w="1550" w:type="dxa"/>
            <w:noWrap w:val="0"/>
            <w:vAlign w:val="center"/>
          </w:tcPr>
          <w:p w14:paraId="631540A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研学资料包</w:t>
            </w:r>
          </w:p>
        </w:tc>
        <w:tc>
          <w:tcPr>
            <w:tcW w:w="5748" w:type="dxa"/>
            <w:noWrap w:val="0"/>
            <w:vAlign w:val="center"/>
          </w:tcPr>
          <w:p w14:paraId="6311DB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提供“</w:t>
            </w:r>
            <w:r>
              <w:rPr>
                <w:rFonts w:hint="eastAsia" w:ascii="宋体" w:hAnsi="宋体" w:eastAsia="宋体" w:cs="宋体"/>
                <w:b w:val="0"/>
                <w:bCs w:val="0"/>
                <w:color w:val="000000" w:themeColor="text1"/>
                <w:spacing w:val="-5"/>
                <w:sz w:val="24"/>
                <w:szCs w:val="24"/>
                <w:highlight w:val="none"/>
                <w14:textFill>
                  <w14:solidFill>
                    <w14:schemeClr w14:val="tx1"/>
                  </w14:solidFill>
                </w14:textFill>
              </w:rPr>
              <w:t>跟着走-主题行进式沉浸剧</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pacing w:val="-5"/>
                <w:sz w:val="24"/>
                <w:szCs w:val="24"/>
                <w:highlight w:val="none"/>
                <w14:textFill>
                  <w14:solidFill>
                    <w14:schemeClr w14:val="tx1"/>
                  </w14:solidFill>
                </w14:textFill>
              </w:rPr>
              <w:t>长征-主题行进式沉浸剧</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”可供研学讲解使用的所有资料，放进硬盘中提交，硬盘容量与品牌不做限定。</w:t>
            </w:r>
          </w:p>
        </w:tc>
        <w:tc>
          <w:tcPr>
            <w:tcW w:w="799" w:type="dxa"/>
            <w:noWrap w:val="0"/>
            <w:vAlign w:val="center"/>
          </w:tcPr>
          <w:p w14:paraId="4F4A814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w:t>
            </w:r>
          </w:p>
        </w:tc>
        <w:tc>
          <w:tcPr>
            <w:tcW w:w="749" w:type="dxa"/>
            <w:noWrap w:val="0"/>
            <w:vAlign w:val="center"/>
          </w:tcPr>
          <w:p w14:paraId="2930B22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套</w:t>
            </w:r>
          </w:p>
        </w:tc>
      </w:tr>
      <w:tr w14:paraId="40CE5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atLeast"/>
          <w:jc w:val="center"/>
        </w:trPr>
        <w:tc>
          <w:tcPr>
            <w:tcW w:w="729" w:type="dxa"/>
            <w:noWrap w:val="0"/>
            <w:vAlign w:val="center"/>
          </w:tcPr>
          <w:p w14:paraId="192CF525">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13</w:t>
            </w:r>
          </w:p>
        </w:tc>
        <w:tc>
          <w:tcPr>
            <w:tcW w:w="1550" w:type="dxa"/>
            <w:noWrap w:val="0"/>
            <w:vAlign w:val="center"/>
          </w:tcPr>
          <w:p w14:paraId="2D04AE7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路由器</w:t>
            </w:r>
          </w:p>
        </w:tc>
        <w:tc>
          <w:tcPr>
            <w:tcW w:w="5748" w:type="dxa"/>
            <w:noWrap w:val="0"/>
            <w:vAlign w:val="center"/>
          </w:tcPr>
          <w:p w14:paraId="2E538E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1.处理器规格：≥四核CPU。</w:t>
            </w:r>
          </w:p>
          <w:p w14:paraId="06628D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2.≥内存规格：2GB DDRIV内存</w:t>
            </w:r>
          </w:p>
          <w:p w14:paraId="5B2D1E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3.接口配置：配备≥2 个万兆SFP+光纤扩展口、≥4 个 10/100/1000M RJ45 电口，支持自定义端口类型。</w:t>
            </w:r>
          </w:p>
          <w:p w14:paraId="3B305E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4.网络协议：支持 IPSec、PPTP、L2TP VPN 协议。</w:t>
            </w:r>
          </w:p>
        </w:tc>
        <w:tc>
          <w:tcPr>
            <w:tcW w:w="799" w:type="dxa"/>
            <w:noWrap w:val="0"/>
            <w:vAlign w:val="center"/>
          </w:tcPr>
          <w:p w14:paraId="5EC4671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w:t>
            </w:r>
          </w:p>
        </w:tc>
        <w:tc>
          <w:tcPr>
            <w:tcW w:w="749" w:type="dxa"/>
            <w:noWrap w:val="0"/>
            <w:vAlign w:val="center"/>
          </w:tcPr>
          <w:p w14:paraId="4530478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套</w:t>
            </w:r>
          </w:p>
        </w:tc>
      </w:tr>
      <w:tr w14:paraId="40E77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14:paraId="5645B13B">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14</w:t>
            </w:r>
          </w:p>
        </w:tc>
        <w:tc>
          <w:tcPr>
            <w:tcW w:w="1550" w:type="dxa"/>
            <w:noWrap w:val="0"/>
            <w:vAlign w:val="center"/>
          </w:tcPr>
          <w:p w14:paraId="6CD07A8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无线 AP</w:t>
            </w:r>
          </w:p>
        </w:tc>
        <w:tc>
          <w:tcPr>
            <w:tcW w:w="5748" w:type="dxa"/>
            <w:noWrap w:val="0"/>
            <w:vAlign w:val="center"/>
          </w:tcPr>
          <w:p w14:paraId="6FFA7A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1.支持11AX（Wi-Fi 6）双频并发，无线最高速率可达2900Mbps。</w:t>
            </w:r>
          </w:p>
          <w:p w14:paraId="3FA55DB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2.无线发射功率可线性调节，能够按需调整信号覆盖范围。</w:t>
            </w:r>
          </w:p>
          <w:p w14:paraId="48429F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3.配备双频天线，保障区域无线信号质量。</w:t>
            </w:r>
          </w:p>
          <w:p w14:paraId="3F2865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4.具备频谱导航功能，可引导双频客户端优先接入 5GHz 频段，均衡 2.4GHz、5GHz 频段负载，稳定网络运行性能。</w:t>
            </w:r>
          </w:p>
        </w:tc>
        <w:tc>
          <w:tcPr>
            <w:tcW w:w="799" w:type="dxa"/>
            <w:noWrap w:val="0"/>
            <w:vAlign w:val="center"/>
          </w:tcPr>
          <w:p w14:paraId="35BAAC4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2</w:t>
            </w:r>
          </w:p>
        </w:tc>
        <w:tc>
          <w:tcPr>
            <w:tcW w:w="749" w:type="dxa"/>
            <w:noWrap w:val="0"/>
            <w:vAlign w:val="center"/>
          </w:tcPr>
          <w:p w14:paraId="46630F0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套</w:t>
            </w:r>
          </w:p>
        </w:tc>
      </w:tr>
      <w:tr w14:paraId="4A1BB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14:paraId="7BE13F1F">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15</w:t>
            </w:r>
          </w:p>
        </w:tc>
        <w:tc>
          <w:tcPr>
            <w:tcW w:w="1550" w:type="dxa"/>
            <w:noWrap w:val="0"/>
            <w:vAlign w:val="center"/>
          </w:tcPr>
          <w:p w14:paraId="7EBE3E6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PoE 交换机</w:t>
            </w:r>
          </w:p>
        </w:tc>
        <w:tc>
          <w:tcPr>
            <w:tcW w:w="5748" w:type="dxa"/>
            <w:noWrap w:val="0"/>
            <w:vAlign w:val="center"/>
          </w:tcPr>
          <w:p w14:paraId="185546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1.配备≥24个10/100/1000Base-TRJ45端口，≥4个独立SFP+端口。</w:t>
            </w:r>
          </w:p>
          <w:p w14:paraId="49455F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2.支持IEEE802.3at、IEEE802.3af标准PoE供电。</w:t>
            </w:r>
          </w:p>
          <w:p w14:paraId="1AB83D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3.整机最大PoE供电功率215W，单端口最大PoE供电功率30W。</w:t>
            </w:r>
          </w:p>
          <w:p w14:paraId="4EE75A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4.具备智能开局、自动组网配置能力，支持网络拓扑图形化展示。</w:t>
            </w:r>
          </w:p>
          <w:p w14:paraId="7DBEEE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4.支持四元绑定、ARP防护、IP防护、DoS防护及802.1X认证功能。</w:t>
            </w:r>
          </w:p>
          <w:p w14:paraId="2704E3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6.兼容VLAN、QoS、ACL、生成树、组播、IPv6相关网络协议及功能。</w:t>
            </w:r>
          </w:p>
        </w:tc>
        <w:tc>
          <w:tcPr>
            <w:tcW w:w="799" w:type="dxa"/>
            <w:noWrap w:val="0"/>
            <w:vAlign w:val="center"/>
          </w:tcPr>
          <w:p w14:paraId="1C1B2394">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w:t>
            </w:r>
          </w:p>
        </w:tc>
        <w:tc>
          <w:tcPr>
            <w:tcW w:w="749" w:type="dxa"/>
            <w:noWrap w:val="0"/>
            <w:vAlign w:val="center"/>
          </w:tcPr>
          <w:p w14:paraId="10E9495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套</w:t>
            </w:r>
          </w:p>
        </w:tc>
      </w:tr>
      <w:tr w14:paraId="5775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729" w:type="dxa"/>
            <w:noWrap w:val="0"/>
            <w:vAlign w:val="center"/>
          </w:tcPr>
          <w:p w14:paraId="10B987DD">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16</w:t>
            </w:r>
          </w:p>
        </w:tc>
        <w:tc>
          <w:tcPr>
            <w:tcW w:w="1550" w:type="dxa"/>
            <w:noWrap w:val="0"/>
            <w:vAlign w:val="center"/>
          </w:tcPr>
          <w:p w14:paraId="029D4B7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现场部署与调试服务</w:t>
            </w:r>
          </w:p>
        </w:tc>
        <w:tc>
          <w:tcPr>
            <w:tcW w:w="5748" w:type="dxa"/>
            <w:noWrap w:val="0"/>
            <w:vAlign w:val="center"/>
          </w:tcPr>
          <w:p w14:paraId="46DF82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现场部署虚拟现实软硬件设备调试及培训；安装及调试服务费用。包括虚拟现实头盔、电脑工作站、软件系统等在内的软硬件设备调试服务费用。</w:t>
            </w:r>
          </w:p>
        </w:tc>
        <w:tc>
          <w:tcPr>
            <w:tcW w:w="799" w:type="dxa"/>
            <w:noWrap w:val="0"/>
            <w:vAlign w:val="center"/>
          </w:tcPr>
          <w:p w14:paraId="4761E1B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w:t>
            </w:r>
          </w:p>
        </w:tc>
        <w:tc>
          <w:tcPr>
            <w:tcW w:w="749" w:type="dxa"/>
            <w:noWrap w:val="0"/>
            <w:vAlign w:val="center"/>
          </w:tcPr>
          <w:p w14:paraId="50B450C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次</w:t>
            </w:r>
          </w:p>
        </w:tc>
      </w:tr>
      <w:tr w14:paraId="463CA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729" w:type="dxa"/>
            <w:noWrap w:val="0"/>
            <w:vAlign w:val="center"/>
          </w:tcPr>
          <w:p w14:paraId="41E301FA">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17</w:t>
            </w:r>
          </w:p>
        </w:tc>
        <w:tc>
          <w:tcPr>
            <w:tcW w:w="1550" w:type="dxa"/>
            <w:noWrap w:val="0"/>
            <w:vAlign w:val="center"/>
          </w:tcPr>
          <w:p w14:paraId="6BA933D2">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视觉定位 MARK 墙贴</w:t>
            </w:r>
          </w:p>
        </w:tc>
        <w:tc>
          <w:tcPr>
            <w:tcW w:w="5748" w:type="dxa"/>
            <w:noWrap w:val="0"/>
            <w:vAlign w:val="center"/>
          </w:tcPr>
          <w:p w14:paraId="5FB99B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符合国标和实际使用，定制图案 高耐磨防滑软地贴</w:t>
            </w:r>
          </w:p>
        </w:tc>
        <w:tc>
          <w:tcPr>
            <w:tcW w:w="799" w:type="dxa"/>
            <w:noWrap w:val="0"/>
            <w:vAlign w:val="center"/>
          </w:tcPr>
          <w:p w14:paraId="3146504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80</w:t>
            </w:r>
          </w:p>
        </w:tc>
        <w:tc>
          <w:tcPr>
            <w:tcW w:w="749" w:type="dxa"/>
            <w:noWrap w:val="0"/>
            <w:vAlign w:val="center"/>
          </w:tcPr>
          <w:p w14:paraId="2358AF9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平米</w:t>
            </w:r>
          </w:p>
        </w:tc>
      </w:tr>
      <w:tr w14:paraId="49686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729" w:type="dxa"/>
            <w:noWrap w:val="0"/>
            <w:vAlign w:val="center"/>
          </w:tcPr>
          <w:p w14:paraId="50E55D89">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18</w:t>
            </w:r>
          </w:p>
        </w:tc>
        <w:tc>
          <w:tcPr>
            <w:tcW w:w="1550" w:type="dxa"/>
            <w:noWrap w:val="0"/>
            <w:vAlign w:val="center"/>
          </w:tcPr>
          <w:p w14:paraId="47138CF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视觉定位 MARK地贴</w:t>
            </w:r>
          </w:p>
        </w:tc>
        <w:tc>
          <w:tcPr>
            <w:tcW w:w="5748" w:type="dxa"/>
            <w:noWrap w:val="0"/>
            <w:vAlign w:val="center"/>
          </w:tcPr>
          <w:p w14:paraId="518655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符合国标和实际使用，定制图案 耐磨防反光墙贴及压边</w:t>
            </w:r>
          </w:p>
        </w:tc>
        <w:tc>
          <w:tcPr>
            <w:tcW w:w="799" w:type="dxa"/>
            <w:noWrap w:val="0"/>
            <w:vAlign w:val="center"/>
          </w:tcPr>
          <w:p w14:paraId="71A9574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80</w:t>
            </w:r>
          </w:p>
        </w:tc>
        <w:tc>
          <w:tcPr>
            <w:tcW w:w="749" w:type="dxa"/>
            <w:noWrap w:val="0"/>
            <w:vAlign w:val="center"/>
          </w:tcPr>
          <w:p w14:paraId="23E7505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平米</w:t>
            </w:r>
          </w:p>
        </w:tc>
      </w:tr>
      <w:tr w14:paraId="27EAD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729" w:type="dxa"/>
            <w:noWrap w:val="0"/>
            <w:vAlign w:val="center"/>
          </w:tcPr>
          <w:p w14:paraId="412CA026">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19</w:t>
            </w:r>
          </w:p>
        </w:tc>
        <w:tc>
          <w:tcPr>
            <w:tcW w:w="1550" w:type="dxa"/>
            <w:noWrap w:val="0"/>
            <w:vAlign w:val="center"/>
          </w:tcPr>
          <w:p w14:paraId="50B4B3A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线材辅件</w:t>
            </w:r>
          </w:p>
        </w:tc>
        <w:tc>
          <w:tcPr>
            <w:tcW w:w="5748" w:type="dxa"/>
            <w:noWrap w:val="0"/>
            <w:vAlign w:val="center"/>
          </w:tcPr>
          <w:p w14:paraId="6C97FD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符合国标和实际使用的电源线、插线板、网线、pvc 线槽等</w:t>
            </w:r>
          </w:p>
        </w:tc>
        <w:tc>
          <w:tcPr>
            <w:tcW w:w="799" w:type="dxa"/>
            <w:noWrap w:val="0"/>
            <w:vAlign w:val="center"/>
          </w:tcPr>
          <w:p w14:paraId="32FEB7A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w:t>
            </w:r>
          </w:p>
        </w:tc>
        <w:tc>
          <w:tcPr>
            <w:tcW w:w="749" w:type="dxa"/>
            <w:noWrap w:val="0"/>
            <w:vAlign w:val="center"/>
          </w:tcPr>
          <w:p w14:paraId="5BAC2130">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批</w:t>
            </w:r>
          </w:p>
        </w:tc>
      </w:tr>
      <w:tr w14:paraId="46484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29" w:type="dxa"/>
            <w:noWrap w:val="0"/>
            <w:vAlign w:val="center"/>
          </w:tcPr>
          <w:p w14:paraId="326FAD4F">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20</w:t>
            </w:r>
          </w:p>
        </w:tc>
        <w:tc>
          <w:tcPr>
            <w:tcW w:w="1550" w:type="dxa"/>
            <w:noWrap w:val="0"/>
            <w:vAlign w:val="center"/>
          </w:tcPr>
          <w:p w14:paraId="49157F7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环境设计</w:t>
            </w:r>
          </w:p>
        </w:tc>
        <w:tc>
          <w:tcPr>
            <w:tcW w:w="5748" w:type="dxa"/>
            <w:noWrap w:val="0"/>
            <w:vAlign w:val="center"/>
          </w:tcPr>
          <w:p w14:paraId="7CDD5D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1.环境设计效果图1套；</w:t>
            </w:r>
          </w:p>
          <w:p w14:paraId="73C293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2.强弱电改造：相关设备的强弱电布线及相应的电线、开关、插座、面板等；</w:t>
            </w:r>
          </w:p>
          <w:p w14:paraId="3041F8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3.根据摆放位置，进行插板处理，具体数量根据数量及位置进行实际调整；</w:t>
            </w:r>
          </w:p>
          <w:p w14:paraId="365EC25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4.网络综合布线：网络跳线、PVC槽管、PVC槽管接头、插排、网络布线等；</w:t>
            </w:r>
          </w:p>
          <w:p w14:paraId="09DB09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5.建筑垃圾清理；</w:t>
            </w:r>
          </w:p>
          <w:p w14:paraId="358704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6.文化布置1套。</w:t>
            </w:r>
          </w:p>
        </w:tc>
        <w:tc>
          <w:tcPr>
            <w:tcW w:w="799" w:type="dxa"/>
            <w:noWrap w:val="0"/>
            <w:vAlign w:val="center"/>
          </w:tcPr>
          <w:p w14:paraId="5C151DD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w:t>
            </w:r>
          </w:p>
        </w:tc>
        <w:tc>
          <w:tcPr>
            <w:tcW w:w="749" w:type="dxa"/>
            <w:noWrap w:val="0"/>
            <w:vAlign w:val="center"/>
          </w:tcPr>
          <w:p w14:paraId="0A9933A3">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套</w:t>
            </w:r>
          </w:p>
        </w:tc>
      </w:tr>
      <w:tr w14:paraId="549AF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729" w:type="dxa"/>
            <w:noWrap w:val="0"/>
            <w:vAlign w:val="center"/>
          </w:tcPr>
          <w:p w14:paraId="25A86604">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21</w:t>
            </w:r>
          </w:p>
        </w:tc>
        <w:tc>
          <w:tcPr>
            <w:tcW w:w="1550" w:type="dxa"/>
            <w:noWrap w:val="0"/>
            <w:vAlign w:val="center"/>
          </w:tcPr>
          <w:p w14:paraId="64FE3CAB">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MR 数字艺术展示平台</w:t>
            </w:r>
          </w:p>
        </w:tc>
        <w:tc>
          <w:tcPr>
            <w:tcW w:w="5748" w:type="dxa"/>
            <w:noWrap w:val="0"/>
            <w:vAlign w:val="center"/>
          </w:tcPr>
          <w:p w14:paraId="5405B2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一、内置资源</w:t>
            </w:r>
          </w:p>
          <w:p w14:paraId="72E13B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▲1.内置角色模型资源数量≥10套，提供角色模型全套源文件，放置硬盘中交付。</w:t>
            </w:r>
          </w:p>
          <w:p w14:paraId="6110BF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2.模型采用次世代流程制作，内置模型文件格式为EXE。</w:t>
            </w:r>
          </w:p>
          <w:p w14:paraId="307D79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3.所有模型支持拖拽查看细节，可作为教学案例开展模型与动画文件分析工作。</w:t>
            </w:r>
          </w:p>
          <w:p w14:paraId="02A646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二、数字文创展示平台</w:t>
            </w:r>
          </w:p>
          <w:p w14:paraId="1FFA1E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▲4.以文创思维及文化传播为背景，在数字文创展示平台搭建≥5个与陕西特色文物相关的模型，并提供这些模型的全套源文件，放置硬盘中交付。</w:t>
            </w:r>
          </w:p>
          <w:p w14:paraId="69CFDB8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5.所有数字模型采用次世代PBR建模技术、虚幻引擎技术制作，为数字可视化模型，文件格式为EXE。</w:t>
            </w:r>
          </w:p>
          <w:p w14:paraId="2EFC6A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6.模型支持拖拽查看细节，可作为教学实践案例。</w:t>
            </w:r>
          </w:p>
          <w:p w14:paraId="4F91EB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7.配套模型案例数量≥5个。</w:t>
            </w:r>
          </w:p>
          <w:p w14:paraId="6961E7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8.配套参考资源数量≥60张。</w:t>
            </w:r>
          </w:p>
          <w:p w14:paraId="4F5771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9.数字资产总容量≥5000MB，支持EXE、FBX、JPG等文件格式。</w:t>
            </w:r>
          </w:p>
          <w:p w14:paraId="55744F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三、展示单元</w:t>
            </w:r>
          </w:p>
          <w:p w14:paraId="1B953F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10.显示尺寸：≥55英寸，屏幕比例16:9。</w:t>
            </w:r>
          </w:p>
          <w:p w14:paraId="3E56CE5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11.色彩参数：支持1.07B色彩，覆盖99%sRGB色域。</w:t>
            </w:r>
          </w:p>
          <w:p w14:paraId="017D24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12.屏幕类型：支持OLED屏、AM-OLED。</w:t>
            </w:r>
          </w:p>
          <w:p w14:paraId="119815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13.物理分辨率：1920（H）×1080（V）。</w:t>
            </w:r>
          </w:p>
          <w:p w14:paraId="102B08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14.帧频率：120HZ。</w:t>
            </w:r>
          </w:p>
          <w:p w14:paraId="493E20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15.显示亮度：400cd/m2(Typ.)。</w:t>
            </w:r>
          </w:p>
          <w:p w14:paraId="36FE24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16.对比度：150000：1。</w:t>
            </w:r>
          </w:p>
          <w:p w14:paraId="1104A5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17.可视角度：60/60/60/60(Min.)(CR≥10)。</w:t>
            </w:r>
          </w:p>
          <w:p w14:paraId="7E644BC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18.光源寿命：≥30Khours。</w:t>
            </w:r>
          </w:p>
          <w:p w14:paraId="1CBDBB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19.灯管类型：自发光。</w:t>
            </w:r>
          </w:p>
          <w:p w14:paraId="32BF26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20.触控功能：可配置电容/红外触摸，支持多点触控。</w:t>
            </w:r>
          </w:p>
          <w:p w14:paraId="362558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21.响应时间：≤8(Typ.)(GtoG)ms。</w:t>
            </w:r>
          </w:p>
        </w:tc>
        <w:tc>
          <w:tcPr>
            <w:tcW w:w="799" w:type="dxa"/>
            <w:noWrap w:val="0"/>
            <w:vAlign w:val="center"/>
          </w:tcPr>
          <w:p w14:paraId="2596A1F1">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w:t>
            </w:r>
          </w:p>
        </w:tc>
        <w:tc>
          <w:tcPr>
            <w:tcW w:w="749" w:type="dxa"/>
            <w:noWrap w:val="0"/>
            <w:vAlign w:val="center"/>
          </w:tcPr>
          <w:p w14:paraId="5BA73417">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套</w:t>
            </w:r>
          </w:p>
        </w:tc>
      </w:tr>
      <w:tr w14:paraId="0A57C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14:paraId="71A6B003">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22</w:t>
            </w:r>
          </w:p>
        </w:tc>
        <w:tc>
          <w:tcPr>
            <w:tcW w:w="1550" w:type="dxa"/>
            <w:noWrap w:val="0"/>
            <w:vAlign w:val="center"/>
          </w:tcPr>
          <w:p w14:paraId="719A0686">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激光雕刻模切画笔多功能四合一 3D 打印机</w:t>
            </w:r>
          </w:p>
          <w:p w14:paraId="3744D8A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（含耗材）</w:t>
            </w:r>
          </w:p>
        </w:tc>
        <w:tc>
          <w:tcPr>
            <w:tcW w:w="5748" w:type="dxa"/>
            <w:noWrap w:val="0"/>
            <w:vAlign w:val="center"/>
          </w:tcPr>
          <w:p w14:paraId="1CD176F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kern w:val="44"/>
                <w:sz w:val="24"/>
                <w:szCs w:val="24"/>
                <w:highlight w:val="none"/>
                <w:lang w:val="en-US" w:eastAsia="zh-CN" w:bidi="ar-SA"/>
                <w14:textFill>
                  <w14:solidFill>
                    <w14:schemeClr w14:val="tx1"/>
                  </w14:solidFill>
                </w14:textFill>
              </w:rPr>
              <w:t>1.</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成型技术：熔融沉积成型（FDM）；</w:t>
            </w:r>
          </w:p>
          <w:p w14:paraId="538365C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2.打印尺寸：≤350*320*325mm³</w:t>
            </w:r>
          </w:p>
          <w:p w14:paraId="73C54723">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3.挤出机类型：双挤出轮近程挤出机；</w:t>
            </w:r>
          </w:p>
          <w:p w14:paraId="6EACC0D3">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4.工具头：全金属热端，硬化钢喷嘴，硬化钢挤出机齿轮，内置工具头切刀、40W激光；</w:t>
            </w:r>
          </w:p>
          <w:p w14:paraId="7E52127F">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5.可打印耗材直径：≤1.75mm；</w:t>
            </w:r>
          </w:p>
          <w:p w14:paraId="093DBA3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6.喷嘴直径：标配0.4mm口径硬化钢喷嘴；可拓展0.2mm、0.6mm、0.8mm直径喷嘴；</w:t>
            </w:r>
          </w:p>
          <w:p w14:paraId="7FE04EFE">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7.热端最大流量：≤65mm³/s；</w:t>
            </w:r>
          </w:p>
          <w:p w14:paraId="68F9681C">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8.喷嘴温度：≤350℃；</w:t>
            </w:r>
          </w:p>
          <w:p w14:paraId="38D5D48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9.热床温度：≤120℃；</w:t>
            </w:r>
          </w:p>
          <w:p w14:paraId="1C4449D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10.主动腔温控制：支持；</w:t>
            </w:r>
          </w:p>
          <w:p w14:paraId="4DB815D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11.最高可控腔温:≤65℃；</w:t>
            </w:r>
          </w:p>
          <w:p w14:paraId="779185AF">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12.打印平台：标配纹理打印面板，可拓展低温打印面板、温打印面板、工程打印面板、光面打印面板；</w:t>
            </w:r>
          </w:p>
          <w:p w14:paraId="0215668A">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13.调平方式：全自动调平；</w:t>
            </w:r>
          </w:p>
          <w:p w14:paraId="29030DF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14.监控摄像头：机箱内置摄像头，分辨率≥1920×1080，需具备实时视频流、延时摄影、实时监控打印过程功能；需实时监控打印质量，具备打印异常检出功能，检测到打印异常可及时暂停打印并自动提醒；</w:t>
            </w:r>
          </w:p>
          <w:p w14:paraId="2D1D406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15.喷嘴摄像头：配备带微距镜头的喷嘴摄像头；智能监控系统持续跟踪挤出状态，可即时检测耗材堆积、耗材挤出偏差和挤出故障；</w:t>
            </w:r>
          </w:p>
          <w:p w14:paraId="6423AF26">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16.冷却系统：内置冷却风扇系统，通过闭环控制确保打印模型、打印机箱、电源板和主板的散热；</w:t>
            </w:r>
          </w:p>
          <w:p w14:paraId="2ED1D35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17.主动流量补偿：利用挤出机上伺服电机的传感能力和喷嘴上的高分辨率涡流传感器，可通过测量喷嘴压力和校准每条耗材的参数来精确控制挤出，提升表面平滑度和棱角锐利度；</w:t>
            </w:r>
          </w:p>
          <w:p w14:paraId="18E8945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18.支持耗材：PLA，PETG，TPU，PVA，BVOH，ABS，ASA，PC，PA，PET，PPA-CF，PPA-GF，PPS-CF，PPS-GF；</w:t>
            </w:r>
          </w:p>
          <w:p w14:paraId="40B3292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19.健康管理系统：负责收集和监控整个系统状态，包括：硬件连接、工作状态、机械状态，以及打印过程中AI功能检测到的问题；系统一旦检测异常，可通过APP、软件以及打印机屏幕发送消息提醒用户，每个错误代码均提供详细描述和对应解决方案；</w:t>
            </w:r>
          </w:p>
          <w:p w14:paraId="115876B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20.自动供料：支持≥10卷耗材同时自动供料，耗材主动排湿、耗材烘干，最低烘干温度≥65℃，供料模块可自动读取耗材RFID参数。</w:t>
            </w:r>
          </w:p>
          <w:p w14:paraId="22AD350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21.耗材≥120卷，单卷≥1kg，线径1.75mm±0.02mm，包括PLA、PETG、TPU、PVA、BVOH、 ABS、ASA、PPS-CF、Carbon Fiber、CF-PLA、PA、PC，每种材质≥5卷。</w:t>
            </w:r>
          </w:p>
        </w:tc>
        <w:tc>
          <w:tcPr>
            <w:tcW w:w="799" w:type="dxa"/>
            <w:noWrap w:val="0"/>
            <w:vAlign w:val="center"/>
          </w:tcPr>
          <w:p w14:paraId="2A41528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w:t>
            </w:r>
          </w:p>
        </w:tc>
        <w:tc>
          <w:tcPr>
            <w:tcW w:w="749" w:type="dxa"/>
            <w:noWrap w:val="0"/>
            <w:vAlign w:val="center"/>
          </w:tcPr>
          <w:p w14:paraId="249F502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套</w:t>
            </w:r>
          </w:p>
        </w:tc>
      </w:tr>
      <w:tr w14:paraId="179A8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14:paraId="2A5C95E3">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23</w:t>
            </w:r>
          </w:p>
        </w:tc>
        <w:tc>
          <w:tcPr>
            <w:tcW w:w="1550" w:type="dxa"/>
            <w:noWrap w:val="0"/>
            <w:vAlign w:val="center"/>
          </w:tcPr>
          <w:p w14:paraId="2496538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 xml:space="preserve">光固化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pacing w:val="-5"/>
                <w:sz w:val="24"/>
                <w:szCs w:val="24"/>
                <w:highlight w:val="none"/>
                <w14:textFill>
                  <w14:solidFill>
                    <w14:schemeClr w14:val="tx1"/>
                  </w14:solidFill>
                </w14:textFill>
              </w:rPr>
              <w:t>D 打印机（含清洗机与耗材）</w:t>
            </w:r>
          </w:p>
        </w:tc>
        <w:tc>
          <w:tcPr>
            <w:tcW w:w="5748" w:type="dxa"/>
            <w:noWrap w:val="0"/>
            <w:vAlign w:val="center"/>
          </w:tcPr>
          <w:p w14:paraId="595129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1.打印技术：LCD</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26F814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2.光源类型：蜂窝矩阵光源</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106CF25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3.曝光强度：6500±10%uw/cm²</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58E1139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4.分辨率：16K（15120*6230px）</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3207C3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5.像素尺寸：14*19um</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150821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6.Z轴精度：0.01mm</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147858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7.打印层厚：0.01mm-0.2mm</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4F84FE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8.最大打印速度：170mm/h</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1BF319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9.显示屏幕：</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14:textFill>
                  <w14:solidFill>
                    <w14:schemeClr w14:val="tx1"/>
                  </w14:solidFill>
                </w14:textFill>
              </w:rPr>
              <w:t>3.</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w:t>
            </w:r>
            <w:r>
              <w:rPr>
                <w:rFonts w:hint="eastAsia" w:ascii="宋体" w:hAnsi="宋体" w:eastAsia="宋体" w:cs="宋体"/>
                <w:b w:val="0"/>
                <w:bCs w:val="0"/>
                <w:color w:val="000000" w:themeColor="text1"/>
                <w:sz w:val="24"/>
                <w:szCs w:val="24"/>
                <w:highlight w:val="none"/>
                <w14:textFill>
                  <w14:solidFill>
                    <w14:schemeClr w14:val="tx1"/>
                  </w14:solidFill>
                </w14:textFill>
              </w:rPr>
              <w:t>英寸触摸屏</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68E898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10.配套专用切片软件，具备模型编辑、支撑自动生成、打印参数调整、任务管理等核心功能，支持主流 3D 模型格式导入</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63EB40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11.数据传输方式：USB、WIFI</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0E4581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12.有效打印尺寸</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(约)</w:t>
            </w:r>
            <w:r>
              <w:rPr>
                <w:rFonts w:hint="eastAsia" w:ascii="宋体" w:hAnsi="宋体" w:eastAsia="宋体" w:cs="宋体"/>
                <w:b w:val="0"/>
                <w:bCs w:val="0"/>
                <w:color w:val="000000" w:themeColor="text1"/>
                <w:sz w:val="24"/>
                <w:szCs w:val="24"/>
                <w:highlight w:val="none"/>
                <w14:textFill>
                  <w14:solidFill>
                    <w14:schemeClr w14:val="tx1"/>
                  </w14:solidFill>
                </w14:textFill>
              </w:rPr>
              <w:t>：21</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0</w:t>
            </w:r>
            <w:r>
              <w:rPr>
                <w:rFonts w:hint="eastAsia" w:ascii="宋体" w:hAnsi="宋体" w:eastAsia="宋体" w:cs="宋体"/>
                <w:b w:val="0"/>
                <w:bCs w:val="0"/>
                <w:color w:val="000000" w:themeColor="text1"/>
                <w:sz w:val="24"/>
                <w:szCs w:val="24"/>
                <w:highlight w:val="none"/>
                <w14:textFill>
                  <w14:solidFill>
                    <w14:schemeClr w14:val="tx1"/>
                  </w14:solidFill>
                </w14:textFill>
              </w:rPr>
              <w:t>mm×1</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20</w:t>
            </w:r>
            <w:r>
              <w:rPr>
                <w:rFonts w:hint="eastAsia" w:ascii="宋体" w:hAnsi="宋体" w:eastAsia="宋体" w:cs="宋体"/>
                <w:b w:val="0"/>
                <w:bCs w:val="0"/>
                <w:color w:val="000000" w:themeColor="text1"/>
                <w:sz w:val="24"/>
                <w:szCs w:val="24"/>
                <w:highlight w:val="none"/>
                <w14:textFill>
                  <w14:solidFill>
                    <w14:schemeClr w14:val="tx1"/>
                  </w14:solidFill>
                </w14:textFill>
              </w:rPr>
              <w:t>mm×200mm</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2FDBF6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24"/>
                <w:szCs w:val="24"/>
                <w:highlight w:val="none"/>
                <w14:textFill>
                  <w14:solidFill>
                    <w14:schemeClr w14:val="tx1"/>
                  </w14:solidFill>
                </w14:textFill>
              </w:rPr>
              <w:t>.配套耗材：光固化3D打印机耗材</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3EF172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二、光固化清洗机参数</w:t>
            </w:r>
          </w:p>
          <w:p w14:paraId="038F59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 w:val="0"/>
                <w:bCs w:val="0"/>
                <w:color w:val="000000" w:themeColor="text1"/>
                <w:sz w:val="24"/>
                <w:szCs w:val="24"/>
                <w:highlight w:val="none"/>
                <w14:textFill>
                  <w14:solidFill>
                    <w14:schemeClr w14:val="tx1"/>
                  </w14:solidFill>
                </w14:textFill>
              </w:rPr>
              <w:t>.适配光固化波长</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(约)</w:t>
            </w:r>
            <w:r>
              <w:rPr>
                <w:rFonts w:hint="eastAsia" w:ascii="宋体" w:hAnsi="宋体" w:eastAsia="宋体" w:cs="宋体"/>
                <w:b w:val="0"/>
                <w:bCs w:val="0"/>
                <w:color w:val="000000" w:themeColor="text1"/>
                <w:sz w:val="24"/>
                <w:szCs w:val="24"/>
                <w:highlight w:val="none"/>
                <w14:textFill>
                  <w14:solidFill>
                    <w14:schemeClr w14:val="tx1"/>
                  </w14:solidFill>
                </w14:textFill>
              </w:rPr>
              <w:t>：385nm、405nm</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250129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 w:val="0"/>
                <w:bCs w:val="0"/>
                <w:color w:val="000000" w:themeColor="text1"/>
                <w:sz w:val="24"/>
                <w:szCs w:val="24"/>
                <w:highlight w:val="none"/>
                <w14:textFill>
                  <w14:solidFill>
                    <w14:schemeClr w14:val="tx1"/>
                  </w14:solidFill>
                </w14:textFill>
              </w:rPr>
              <w:t>.输入电压：100-240V</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7CC22D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16</w:t>
            </w:r>
            <w:r>
              <w:rPr>
                <w:rFonts w:hint="eastAsia" w:ascii="宋体" w:hAnsi="宋体" w:eastAsia="宋体" w:cs="宋体"/>
                <w:b w:val="0"/>
                <w:bCs w:val="0"/>
                <w:color w:val="000000" w:themeColor="text1"/>
                <w:sz w:val="24"/>
                <w:szCs w:val="24"/>
                <w:highlight w:val="none"/>
                <w14:textFill>
                  <w14:solidFill>
                    <w14:schemeClr w14:val="tx1"/>
                  </w14:solidFill>
                </w14:textFill>
              </w:rPr>
              <w:t>.有效清洗尺寸</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(约)</w:t>
            </w:r>
            <w:r>
              <w:rPr>
                <w:rFonts w:hint="eastAsia" w:ascii="宋体" w:hAnsi="宋体" w:eastAsia="宋体" w:cs="宋体"/>
                <w:b w:val="0"/>
                <w:bCs w:val="0"/>
                <w:color w:val="000000" w:themeColor="text1"/>
                <w:sz w:val="24"/>
                <w:szCs w:val="24"/>
                <w:highlight w:val="none"/>
                <w14:textFill>
                  <w14:solidFill>
                    <w14:schemeClr w14:val="tx1"/>
                  </w14:solidFill>
                </w14:textFill>
              </w:rPr>
              <w:t>：210mm×160mm×200mm</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16940C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17</w:t>
            </w:r>
            <w:r>
              <w:rPr>
                <w:rFonts w:hint="eastAsia" w:ascii="宋体" w:hAnsi="宋体" w:eastAsia="宋体" w:cs="宋体"/>
                <w:b w:val="0"/>
                <w:bCs w:val="0"/>
                <w:color w:val="000000" w:themeColor="text1"/>
                <w:sz w:val="24"/>
                <w:szCs w:val="24"/>
                <w:highlight w:val="none"/>
                <w14:textFill>
                  <w14:solidFill>
                    <w14:schemeClr w14:val="tx1"/>
                  </w14:solidFill>
                </w14:textFill>
              </w:rPr>
              <w:t>.箱体结构类型：全封闭式</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14AA90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18</w:t>
            </w:r>
            <w:r>
              <w:rPr>
                <w:rFonts w:hint="eastAsia" w:ascii="宋体" w:hAnsi="宋体" w:eastAsia="宋体" w:cs="宋体"/>
                <w:b w:val="0"/>
                <w:bCs w:val="0"/>
                <w:color w:val="000000" w:themeColor="text1"/>
                <w:sz w:val="24"/>
                <w:szCs w:val="24"/>
                <w:highlight w:val="none"/>
                <w14:textFill>
                  <w14:solidFill>
                    <w14:schemeClr w14:val="tx1"/>
                  </w14:solidFill>
                </w14:textFill>
              </w:rPr>
              <w:t>.有效固化尺寸</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(约</w:t>
            </w:r>
            <w:r>
              <w:rPr>
                <w:rFonts w:hint="eastAsia" w:ascii="宋体" w:hAnsi="宋体" w:eastAsia="宋体" w:cs="宋体"/>
                <w:b w:val="0"/>
                <w:bCs w:val="0"/>
                <w:color w:val="000000" w:themeColor="text1"/>
                <w:sz w:val="24"/>
                <w:szCs w:val="24"/>
                <w:highlight w:val="none"/>
                <w14:textFill>
                  <w14:solidFill>
                    <w14:schemeClr w14:val="tx1"/>
                  </w14:solidFill>
                </w14:textFill>
              </w:rPr>
              <w:t>：215mm×165mm×300mm</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5B2CAB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19</w:t>
            </w:r>
            <w:r>
              <w:rPr>
                <w:rFonts w:hint="eastAsia" w:ascii="宋体" w:hAnsi="宋体" w:eastAsia="宋体" w:cs="宋体"/>
                <w:b w:val="0"/>
                <w:bCs w:val="0"/>
                <w:color w:val="000000" w:themeColor="text1"/>
                <w:sz w:val="24"/>
                <w:szCs w:val="24"/>
                <w:highlight w:val="none"/>
                <w14:textFill>
                  <w14:solidFill>
                    <w14:schemeClr w14:val="tx1"/>
                  </w14:solidFill>
                </w14:textFill>
              </w:rPr>
              <w:t>.固化平台材质：镜面不锈钢</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67584C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20</w:t>
            </w:r>
            <w:r>
              <w:rPr>
                <w:rFonts w:hint="eastAsia" w:ascii="宋体" w:hAnsi="宋体" w:eastAsia="宋体" w:cs="宋体"/>
                <w:b w:val="0"/>
                <w:bCs w:val="0"/>
                <w:color w:val="000000" w:themeColor="text1"/>
                <w:sz w:val="24"/>
                <w:szCs w:val="24"/>
                <w:highlight w:val="none"/>
                <w14:textFill>
                  <w14:solidFill>
                    <w14:schemeClr w14:val="tx1"/>
                  </w14:solidFill>
                </w14:textFill>
              </w:rPr>
              <w:t>.最大承载模型重量：</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szCs w:val="24"/>
                <w:highlight w:val="none"/>
                <w14:textFill>
                  <w14:solidFill>
                    <w14:schemeClr w14:val="tx1"/>
                  </w14:solidFill>
                </w14:textFill>
              </w:rPr>
              <w:t>2.5kg</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2966CF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w:t>
            </w:r>
            <w:r>
              <w:rPr>
                <w:rFonts w:hint="eastAsia" w:ascii="宋体" w:hAnsi="宋体" w:eastAsia="宋体" w:cs="宋体"/>
                <w:b w:val="0"/>
                <w:bCs w:val="0"/>
                <w:color w:val="000000" w:themeColor="text1"/>
                <w:sz w:val="24"/>
                <w:szCs w:val="24"/>
                <w:highlight w:val="none"/>
                <w14:textFill>
                  <w14:solidFill>
                    <w14:schemeClr w14:val="tx1"/>
                  </w14:solidFill>
                </w14:textFill>
              </w:rPr>
              <w:t>.清洗桶材质：PP材质</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7011B0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22</w:t>
            </w:r>
            <w:r>
              <w:rPr>
                <w:rFonts w:hint="eastAsia" w:ascii="宋体" w:hAnsi="宋体" w:eastAsia="宋体" w:cs="宋体"/>
                <w:b w:val="0"/>
                <w:bCs w:val="0"/>
                <w:color w:val="000000" w:themeColor="text1"/>
                <w:sz w:val="24"/>
                <w:szCs w:val="24"/>
                <w:highlight w:val="none"/>
                <w14:textFill>
                  <w14:solidFill>
                    <w14:schemeClr w14:val="tx1"/>
                  </w14:solidFill>
                </w14:textFill>
              </w:rPr>
              <w:t>.设备支持语言：中文、英文</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02D5544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22</w:t>
            </w:r>
            <w:r>
              <w:rPr>
                <w:rFonts w:hint="eastAsia" w:ascii="宋体" w:hAnsi="宋体" w:eastAsia="宋体" w:cs="宋体"/>
                <w:b w:val="0"/>
                <w:bCs w:val="0"/>
                <w:color w:val="000000" w:themeColor="text1"/>
                <w:sz w:val="24"/>
                <w:szCs w:val="24"/>
                <w:highlight w:val="none"/>
                <w14:textFill>
                  <w14:solidFill>
                    <w14:schemeClr w14:val="tx1"/>
                  </w14:solidFill>
                </w14:textFill>
              </w:rPr>
              <w:t>.设备工作模式：清洗模式、固化模式</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3BD6F6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24</w:t>
            </w:r>
            <w:r>
              <w:rPr>
                <w:rFonts w:hint="eastAsia" w:ascii="宋体" w:hAnsi="宋体" w:eastAsia="宋体" w:cs="宋体"/>
                <w:b w:val="0"/>
                <w:bCs w:val="0"/>
                <w:color w:val="000000" w:themeColor="text1"/>
                <w:sz w:val="24"/>
                <w:szCs w:val="24"/>
                <w:highlight w:val="none"/>
                <w14:textFill>
                  <w14:solidFill>
                    <w14:schemeClr w14:val="tx1"/>
                  </w14:solidFill>
                </w14:textFill>
              </w:rPr>
              <w:t>.运行档位：快速、常速</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63D41D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25</w:t>
            </w:r>
            <w:r>
              <w:rPr>
                <w:rFonts w:hint="eastAsia" w:ascii="宋体" w:hAnsi="宋体" w:eastAsia="宋体" w:cs="宋体"/>
                <w:b w:val="0"/>
                <w:bCs w:val="0"/>
                <w:color w:val="000000" w:themeColor="text1"/>
                <w:sz w:val="24"/>
                <w:szCs w:val="24"/>
                <w:highlight w:val="none"/>
                <w14:textFill>
                  <w14:solidFill>
                    <w14:schemeClr w14:val="tx1"/>
                  </w14:solidFill>
                </w14:textFill>
              </w:rPr>
              <w:t>.设备功率：60W</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tc>
        <w:tc>
          <w:tcPr>
            <w:tcW w:w="799" w:type="dxa"/>
            <w:noWrap w:val="0"/>
            <w:vAlign w:val="center"/>
          </w:tcPr>
          <w:p w14:paraId="3FAD3DD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w:t>
            </w:r>
          </w:p>
        </w:tc>
        <w:tc>
          <w:tcPr>
            <w:tcW w:w="749" w:type="dxa"/>
            <w:noWrap w:val="0"/>
            <w:vAlign w:val="center"/>
          </w:tcPr>
          <w:p w14:paraId="6574E519">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套</w:t>
            </w:r>
          </w:p>
        </w:tc>
      </w:tr>
      <w:tr w14:paraId="7A816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14:paraId="35D33DFF">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24</w:t>
            </w:r>
          </w:p>
        </w:tc>
        <w:tc>
          <w:tcPr>
            <w:tcW w:w="1550" w:type="dxa"/>
            <w:noWrap w:val="0"/>
            <w:vAlign w:val="center"/>
          </w:tcPr>
          <w:p w14:paraId="423B1E4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产业前沿虚幻引擎技术定制化实践项目</w:t>
            </w:r>
          </w:p>
          <w:p w14:paraId="37A6FDE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27"/>
                <w:sz w:val="24"/>
                <w:szCs w:val="24"/>
                <w:highlight w:val="none"/>
                <w:lang w:eastAsia="zh-CN"/>
                <w14:textFill>
                  <w14:solidFill>
                    <w14:schemeClr w14:val="tx1"/>
                  </w14:solidFill>
                </w14:textFill>
              </w:rPr>
              <w:t>（</w:t>
            </w: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核心产品</w:t>
            </w:r>
            <w:r>
              <w:rPr>
                <w:rFonts w:hint="eastAsia" w:ascii="宋体" w:hAnsi="宋体" w:eastAsia="宋体" w:cs="宋体"/>
                <w:b w:val="0"/>
                <w:bCs w:val="0"/>
                <w:color w:val="000000" w:themeColor="text1"/>
                <w:spacing w:val="27"/>
                <w:sz w:val="24"/>
                <w:szCs w:val="24"/>
                <w:highlight w:val="none"/>
                <w:lang w:eastAsia="zh-CN"/>
                <w14:textFill>
                  <w14:solidFill>
                    <w14:schemeClr w14:val="tx1"/>
                  </w14:solidFill>
                </w14:textFill>
              </w:rPr>
              <w:t>）</w:t>
            </w:r>
          </w:p>
        </w:tc>
        <w:tc>
          <w:tcPr>
            <w:tcW w:w="5748" w:type="dxa"/>
            <w:noWrap w:val="0"/>
            <w:vAlign w:val="center"/>
          </w:tcPr>
          <w:p w14:paraId="385B1A6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1.提供课程结构设计文件≥1套，格式为doc。</w:t>
            </w:r>
          </w:p>
          <w:p w14:paraId="7B58F9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▲2.定制开发引擎项目≥2个，提供对应数字资产源文件。</w:t>
            </w:r>
          </w:p>
          <w:p w14:paraId="3AA166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3.课程知识点视频包含三种形式：理论、理论+实操、产教融合特色视频；总数量≥40个，三种形式视频总时长≥400分钟。</w:t>
            </w:r>
          </w:p>
          <w:p w14:paraId="4F4A69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4.提供视频脚本（逐字稿）≥40个，格式为doc。</w:t>
            </w:r>
          </w:p>
          <w:p w14:paraId="6B2807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5.提供课程概述视频≥1个，单个时长≥5分钟，包含脚本、PPT、视频拍摄与制作。</w:t>
            </w:r>
          </w:p>
          <w:p w14:paraId="262191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6.提供融合立德树人于引擎技术方面的课程视频≥1个，单个时长≥5分钟，包含脚本、PPT、视频拍摄与制作。</w:t>
            </w:r>
          </w:p>
          <w:p w14:paraId="030F46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7.提供融合人文关怀课于引擎技术方面的程视频≥1个，单个时长≥5分钟，包含脚本、PPT、视频拍摄与制作。</w:t>
            </w:r>
          </w:p>
          <w:p w14:paraId="743CFF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8.提供数字创意行业龙头企业导师连线-行业新发展视频课程1个，时长≥5分钟，包含脚本、PPT、视频拍摄与制作。</w:t>
            </w:r>
          </w:p>
          <w:p w14:paraId="0AB296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9.提供数字创意行业龙头企业导师连线-行业新成果课程视频1个，时长≥5分钟，包含脚本、PPT、视频拍摄与制作。</w:t>
            </w:r>
          </w:p>
          <w:p w14:paraId="571DD7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10.提供课程融合课程思政于引擎技术方面的视频≥2个，单个时长≥5分钟，包含脚本、PPT、视频拍摄与制作。</w:t>
            </w:r>
          </w:p>
          <w:p w14:paraId="5BA68E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11.针对理论性讲解内容制作工序指导文件，每门课≥40个，总页数≥400页。</w:t>
            </w:r>
          </w:p>
          <w:p w14:paraId="368746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12.提供拓展学习资料≥25个。</w:t>
            </w:r>
          </w:p>
          <w:p w14:paraId="3FCB0AF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13.提供任务工单≥10个（一个项目对应一个任务工单），格式为doc。</w:t>
            </w:r>
          </w:p>
          <w:p w14:paraId="1666D6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14.提供课程考核标准1套。</w:t>
            </w:r>
          </w:p>
          <w:p w14:paraId="1ECA55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15.提供课程评价标准1套。</w:t>
            </w:r>
          </w:p>
          <w:p w14:paraId="14ECED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16.提供课程题库1套，包含单选题、多选题、判断题、讨论题等，题目数量≥400道。</w:t>
            </w:r>
          </w:p>
          <w:p w14:paraId="2EC7CC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17.提供相关平台上传、内容搭建及数据运作服务。</w:t>
            </w:r>
          </w:p>
          <w:p w14:paraId="07444D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★18.出版虚幻引擎技术方向校企教材≥1本，格式为doc，每本字数≥30万字。(提供承诺)</w:t>
            </w:r>
          </w:p>
        </w:tc>
        <w:tc>
          <w:tcPr>
            <w:tcW w:w="799" w:type="dxa"/>
            <w:noWrap w:val="0"/>
            <w:vAlign w:val="center"/>
          </w:tcPr>
          <w:p w14:paraId="116A4D0F">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1</w:t>
            </w:r>
          </w:p>
        </w:tc>
        <w:tc>
          <w:tcPr>
            <w:tcW w:w="749" w:type="dxa"/>
            <w:noWrap w:val="0"/>
            <w:vAlign w:val="center"/>
          </w:tcPr>
          <w:p w14:paraId="77CFC89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套</w:t>
            </w:r>
          </w:p>
        </w:tc>
      </w:tr>
      <w:tr w14:paraId="295B2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14:paraId="4D8B6ECA">
            <w:pPr>
              <w:jc w:val="cente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vertAlign w:val="baseline"/>
                <w:lang w:val="en-US" w:eastAsia="zh-CN"/>
                <w14:textFill>
                  <w14:solidFill>
                    <w14:schemeClr w14:val="tx1"/>
                  </w14:solidFill>
                </w14:textFill>
              </w:rPr>
              <w:t>25</w:t>
            </w:r>
          </w:p>
        </w:tc>
        <w:tc>
          <w:tcPr>
            <w:tcW w:w="1550" w:type="dxa"/>
            <w:noWrap w:val="0"/>
            <w:vAlign w:val="center"/>
          </w:tcPr>
          <w:p w14:paraId="652E2C2C">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AR 眼镜（支持开发）</w:t>
            </w:r>
          </w:p>
        </w:tc>
        <w:tc>
          <w:tcPr>
            <w:tcW w:w="5748" w:type="dxa"/>
            <w:noWrap w:val="0"/>
            <w:vAlign w:val="center"/>
          </w:tcPr>
          <w:p w14:paraId="100BAE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主机处理器及存储系统：≥高通骁龙XR2+Gen1处理器(同级别处理能力的国产均可)，≥12GBLPDDR5内存，≥128GB存储，≥7620mAh电池容量，分辨率≥4800W后置摄像头，支持PDAF+CAF自动对焦、视场角≥115度，支持GPS+北斗3定位系统，支持NFC功能。</w:t>
            </w:r>
          </w:p>
          <w:p w14:paraId="7FBCFA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显示与感知系统：音频输入输出：麦克风数量≥2个，扬声器数量≥2个；运动传感器：≥IMU9轴（含三轴陀螺仪、三轴加速计、三轴磁力计）；视场角（FOV）：≥50度；亮度指标：屏幕最高亮度≥5000尼特，入眼最高亮度≥500尼特；分辨率：≥3840×1200；帧率：≥90Hz；对比度：100000:1；摄像头配置：含自动对焦摄像头、超大广角镜头，支持空间定位、手势识别能力。</w:t>
            </w:r>
          </w:p>
        </w:tc>
        <w:tc>
          <w:tcPr>
            <w:tcW w:w="799" w:type="dxa"/>
            <w:noWrap w:val="0"/>
            <w:vAlign w:val="center"/>
          </w:tcPr>
          <w:p w14:paraId="4E14C3F8">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3</w:t>
            </w:r>
          </w:p>
        </w:tc>
        <w:tc>
          <w:tcPr>
            <w:tcW w:w="749" w:type="dxa"/>
            <w:noWrap w:val="0"/>
            <w:vAlign w:val="center"/>
          </w:tcPr>
          <w:p w14:paraId="31088C6A">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val="0"/>
                <w:bCs w:val="0"/>
                <w:color w:val="000000" w:themeColor="text1"/>
                <w:spacing w:val="-5"/>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5"/>
                <w:sz w:val="24"/>
                <w:szCs w:val="24"/>
                <w:highlight w:val="none"/>
                <w14:textFill>
                  <w14:solidFill>
                    <w14:schemeClr w14:val="tx1"/>
                  </w14:solidFill>
                </w14:textFill>
              </w:rPr>
              <w:t>套</w:t>
            </w:r>
          </w:p>
        </w:tc>
      </w:tr>
      <w:tr w14:paraId="67269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5" w:type="dxa"/>
            <w:gridSpan w:val="5"/>
            <w:noWrap w:val="0"/>
            <w:vAlign w:val="center"/>
          </w:tcPr>
          <w:p w14:paraId="0C233438">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说明：1.带“★”号的参数和带“▲”号参数均应以采购需求中要求的形式(如带“★”号的参数和带“▲”号参数在采购需求中无形式要求的，可以不限于原厂印刷的产品说明书、制造商官方网站截图、第三方机构检验报告、带标识(说明)的功能截图等任意形式)提供相应的证明材料。任意一条带“★”号的参数未响应或者不满足的，将按废标处理。任意一条带“▲”号参数未响应或者不满足的，将按相应的扣分处理。</w:t>
            </w:r>
          </w:p>
          <w:p w14:paraId="15392C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2.需求清单中“（提供截图）”指投标人通过使用截屏/图工具，截取有关设备(或软件)本身所具备的功能或配置等重要信息与招标文件要求相匹配。截图本身无法直接体现的，可在截图内/外结合标注、文字等辅助方式加以佐证。</w:t>
            </w:r>
          </w:p>
          <w:p w14:paraId="06B795C4">
            <w:pPr>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3.需求清单中的</w:t>
            </w:r>
            <w:r>
              <w:rPr>
                <w:rFonts w:hint="eastAsia" w:ascii="宋体" w:hAnsi="宋体" w:eastAsia="宋体" w:cs="宋体"/>
                <w:b w:val="0"/>
                <w:bCs w:val="0"/>
                <w:color w:val="000000" w:themeColor="text1"/>
                <w:sz w:val="24"/>
                <w:szCs w:val="24"/>
                <w:highlight w:val="none"/>
                <w:lang w:val="en-CA" w:eastAsia="zh-CN"/>
                <w14:textFill>
                  <w14:solidFill>
                    <w14:schemeClr w14:val="tx1"/>
                  </w14:solidFill>
                </w14:textFill>
              </w:rPr>
              <w:t>“支持..；具备..；配备..”等描述，为已具备的功能要求，且后期使用费用包含在投标报价中；</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成交后，中标人不允许以任何形式就以上</w:t>
            </w:r>
            <w:r>
              <w:rPr>
                <w:rFonts w:hint="eastAsia" w:ascii="宋体" w:hAnsi="宋体" w:eastAsia="宋体" w:cs="宋体"/>
                <w:b w:val="0"/>
                <w:bCs w:val="0"/>
                <w:color w:val="000000" w:themeColor="text1"/>
                <w:sz w:val="24"/>
                <w:szCs w:val="24"/>
                <w:highlight w:val="none"/>
                <w:lang w:val="en-CA" w:eastAsia="zh-CN"/>
                <w14:textFill>
                  <w14:solidFill>
                    <w14:schemeClr w14:val="tx1"/>
                  </w14:solidFill>
                </w14:textFill>
              </w:rPr>
              <w:t>已具备的功能</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向采购人收取费用，否则一律按虚假应标处理，由中标人承担因此产生的一切后果和责任。</w:t>
            </w:r>
          </w:p>
        </w:tc>
      </w:tr>
    </w:tbl>
    <w:p w14:paraId="46968131">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宋体" w:hAnsi="宋体" w:eastAsia="宋体" w:cs="宋体"/>
          <w:b/>
          <w:bCs/>
          <w:color w:val="000000" w:themeColor="text1"/>
          <w:spacing w:val="6"/>
          <w:sz w:val="24"/>
          <w:szCs w:val="24"/>
          <w:highlight w:val="none"/>
          <w:lang w:val="en-US" w:eastAsia="zh-CN"/>
          <w14:textFill>
            <w14:solidFill>
              <w14:schemeClr w14:val="tx1"/>
            </w14:solidFill>
          </w14:textFill>
        </w:rPr>
      </w:pPr>
    </w:p>
    <w:p w14:paraId="24D30F52">
      <w:pPr>
        <w:rPr>
          <w:rFonts w:hint="eastAsia" w:ascii="宋体" w:hAnsi="宋体" w:eastAsia="宋体" w:cs="宋体"/>
          <w:color w:val="000000" w:themeColor="text1"/>
          <w:sz w:val="24"/>
          <w:szCs w:val="24"/>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2F19D2"/>
    <w:rsid w:val="027F790B"/>
    <w:rsid w:val="0D2F19D2"/>
    <w:rsid w:val="138033D5"/>
    <w:rsid w:val="13BC6D3C"/>
    <w:rsid w:val="1E672DC4"/>
    <w:rsid w:val="1F3A2287"/>
    <w:rsid w:val="28C01A4F"/>
    <w:rsid w:val="2D0D0FDB"/>
    <w:rsid w:val="447E319C"/>
    <w:rsid w:val="49DB003F"/>
    <w:rsid w:val="53040EC3"/>
    <w:rsid w:val="583A7FA9"/>
    <w:rsid w:val="58D26AB1"/>
    <w:rsid w:val="5B8E272A"/>
    <w:rsid w:val="61BF7DEE"/>
    <w:rsid w:val="6251583D"/>
    <w:rsid w:val="685A261F"/>
    <w:rsid w:val="6DCC2109"/>
    <w:rsid w:val="6E3A3A96"/>
    <w:rsid w:val="6E4843FE"/>
    <w:rsid w:val="7A0F3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Table Text"/>
    <w:basedOn w:val="1"/>
    <w:qFormat/>
    <w:uiPriority w:val="0"/>
    <w:rPr>
      <w:rFonts w:ascii="宋体" w:hAnsi="宋体" w:cs="宋体"/>
      <w:sz w:val="20"/>
      <w:szCs w:val="20"/>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14801</Words>
  <Characters>15615</Characters>
  <Lines>0</Lines>
  <Paragraphs>0</Paragraphs>
  <TotalTime>1</TotalTime>
  <ScaleCrop>false</ScaleCrop>
  <LinksUpToDate>false</LinksUpToDate>
  <CharactersWithSpaces>15622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2026-06-17T09:47:00Z</dcterms:created>
  <dc:creator>杜航</dc:creator>
  <cp:lastModifiedBy>杜航</cp:lastModifiedBy>
  <dcterms:modified xsi:type="dcterms:W3CDTF">2026-06-18T04:22:59Z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562309CBB7744749B32C12AE4FF51A3F_11</vt:lpwstr>
  </property>
  <property fmtid="{D5CDD505-2E9C-101B-9397-08002B2CF9AE}" pid="4" name="KSOTemplateDocerSaveRecord">
    <vt:lpwstr>eyJoZGlkIjoiNGVjNGI1ZWQxMDUyODY5ZDAxOTAyNjljNjE1NWUwNGQiLCJ1c2VySWQiOiIzMDgwODY2MDYifQ==</vt:lpwstr>
  </property>
</Properties>
</file>