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版本号：RTZB-2026-201920260625001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门票预约系统安全防护服务采购项目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RTZB-2026-2019</w:t>
      </w:r>
      <w:r>
        <w:br/>
      </w:r>
      <w:r>
        <w:br/>
      </w:r>
      <w:r>
        <w:br/>
      </w:r>
    </w:p>
    <w:p>
      <w:pPr>
        <w:pStyle w:val="null3"/>
        <w:jc w:val="center"/>
        <w:outlineLvl w:val="2"/>
      </w:pPr>
      <w:r>
        <w:rPr>
          <w:rFonts w:ascii="仿宋_GB2312" w:hAnsi="仿宋_GB2312" w:cs="仿宋_GB2312" w:eastAsia="仿宋_GB2312"/>
          <w:sz w:val="28"/>
          <w:b/>
        </w:rPr>
        <w:t>陕西历史博物馆</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陕西历史博物馆</w:t>
      </w:r>
      <w:r>
        <w:rPr>
          <w:rFonts w:ascii="仿宋_GB2312" w:hAnsi="仿宋_GB2312" w:cs="仿宋_GB2312" w:eastAsia="仿宋_GB2312"/>
        </w:rPr>
        <w:t>委托，拟对</w:t>
      </w:r>
      <w:r>
        <w:rPr>
          <w:rFonts w:ascii="仿宋_GB2312" w:hAnsi="仿宋_GB2312" w:cs="仿宋_GB2312" w:eastAsia="仿宋_GB2312"/>
        </w:rPr>
        <w:t>门票预约系统安全防护服务采购项目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RTZB-2026-2019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门票预约系统安全防护服务采购项目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门票预约安全防护软件订阅及配套技术服务”的采购，需要部署构建一套智能化动态防护防护体系，提升系统高峰期安全防护能力；实现门票预约系统平稳运行，防范各类异常预约访问行为，持续遏制和抬高“黄牛”的抢票成本和抢票难度，维护门票预约服务的公平性和有序性。合室外布展标准。 本项目服务期为一年，项目预算为600000元/年。根据《财政部关于推进和完善服务项目政府采购有关问题的通知》（财库〔2014〕37号）有关规定，本项目在合同期满前，采购人将对成交供应商进行考核，根据服务满意程度，采购人有权决定是否续签合同，累计合同履行期限不超过3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采购包1（门票预约系统安全防护服务采购）：属于专门面向中小企业采购。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证明：未被信用中国网站列入失信被执行人和重大税收违法案件当事人名单、未被中国政府采购网列入政府采购严重违法失信行为记录名单（开标时系统查询），参加本次政府采购活动前3年内在经营活动中没有重大违纪，提供书面声明。</w:t>
      </w:r>
    </w:p>
    <w:p>
      <w:pPr>
        <w:pStyle w:val="null3"/>
      </w:pPr>
      <w:r>
        <w:rPr>
          <w:rFonts w:ascii="仿宋_GB2312" w:hAnsi="仿宋_GB2312" w:cs="仿宋_GB2312" w:eastAsia="仿宋_GB2312"/>
        </w:rPr>
        <w:t>2、代表人授权：参加磋商的供应商代表需提供提法定代表人证明书和法定代表人授权书。</w:t>
      </w:r>
    </w:p>
    <w:p>
      <w:pPr>
        <w:pStyle w:val="null3"/>
      </w:pPr>
      <w:r>
        <w:rPr>
          <w:rFonts w:ascii="仿宋_GB2312" w:hAnsi="仿宋_GB2312" w:cs="仿宋_GB2312" w:eastAsia="仿宋_GB2312"/>
        </w:rPr>
        <w:t>3、联合体形式：本项目不接受联合体，提供非联合体声明。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陕西历史博物馆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西安市雁塔区小寨东路91号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陕西历史博物馆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029-62739017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国家发展和改革委员会办公厅颁发的《关于招标代理服务收费有关问题的通知》(发改办价格[2003]857号)规定标准收取，不足5000元按5000元收取。投标人在下载中标通知书时一次性缴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陕西历史博物馆</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陕西历史博物馆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陕西历史博物馆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地址：西安市科技路30号合力紫郡A座22层2204室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近几年来，由于文化历史热潮，陕西历史博物馆（以下简称陕历博）在国内博物馆的显赫位置，同时陕历博实行免票制度，吸引了大量游客的青睐，导致陕历博本馆一票难求，进而滋生出“黄牛”以“讲解服务“为由高价提供门票预约服务；“黄牛”团伙利用自动化外挂程序，模拟高频并发请求，疯狂抢占票务资源。这种行为不仅绕过购票规则，更因其在门票预约瞬间发起的海量、高频次请求，给票务系统服务器带来远超正常负荷的巨大压力，导致了系统延迟、卡顿甚至瘫痪，严重影响了普通游客的购票体验与公平性，既扰乱了秩序，也侵害了公众的合法权益，陕历博也遭受到大量负面的社会舆论。原有“票务系统”是基于微信公众号的票务预约系统，不具备对业务应用层出现的“黄牛”抢票行为做到拦截功能。 因此针对上述陕历博“黄牛“抢票问题，为了有效遏制“黄牛”团伙利用自动化工具及外挂程序带来的门票预约效率优势，保障每一个游客拥有同等机会进行门票预约；同时降低门票预约窗口期间的服务器压力，保障门票平稳快速的预约完成，确保整个票务系统平稳、正常运行。现需要采购针对能有效拦截和抑制“黄牛”抢票行为、同时保证票务系统能正常运行的动态安全防护服务。基于目前票务系统的部署环境和条件，此票务系统动态安全服务是为以动态安全软件的订阅结合配套技术服务组成。 由于“黄牛”通过抢票带来的持续高收益，因此也在不断地升级技术，通过拟人化的自动化工具寻找可以利用的票务系统弱点，不断的尝试绕过购票规则，高效率的获取大量票源；因此遏制“黄牛”抢票会是一个持续的、高对抗性的漫长过程，需要有持续的技术投入和人员投入来进行支撑。 本次“门票预约安全防护软件订阅及配套技术服务”的采购，需要部署构建一套智能化动态防护防护体系，提升系统高峰期安全防护能力；实现门票预约系统平稳运行，防范各类异常预约访问行为，持续遏制和抬高“黄牛”的抢票成本和抢票难度，维护门票预约服务的公平性和有序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9"/>
              <w:gridCol w:w="369"/>
              <w:gridCol w:w="1994"/>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序号</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 xml:space="preserve"> 参数性质</w:t>
                  </w:r>
                </w:p>
              </w:tc>
              <w:tc>
                <w:tcPr>
                  <w:tcW w:type="dxa" w:w="1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 xml:space="preserve"> 技术参数与性能指标</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为有效实现上述主要功能和目标，本次服务的提供方所使用的防护软件支撑工具应具备如下具体功能及技术要求：</w:t>
                  </w:r>
                </w:p>
                <w:p>
                  <w:pPr>
                    <w:pStyle w:val="null3"/>
                    <w:jc w:val="both"/>
                  </w:pPr>
                  <w:r>
                    <w:rPr>
                      <w:rFonts w:ascii="仿宋_GB2312" w:hAnsi="仿宋_GB2312" w:cs="仿宋_GB2312" w:eastAsia="仿宋_GB2312"/>
                      <w:sz w:val="20"/>
                      <w:color w:val="0000FF"/>
                    </w:rPr>
                    <w:t>1、防护软件支撑工具需要在公有云进行部署，甲方最多提供96vcpu和192G内存的计算资源，如部署多个防护节点，需支持配置自动同步，日志自动汇总归档；防护软件支撑工具的性能应能支持和满足门票预约系统在节假日高峰期的访问峰值，其中：TPS&gt;=24000。</w:t>
                  </w:r>
                </w:p>
                <w:p>
                  <w:pPr>
                    <w:pStyle w:val="null3"/>
                    <w:jc w:val="both"/>
                  </w:pPr>
                  <w:r>
                    <w:rPr>
                      <w:rFonts w:ascii="仿宋_GB2312" w:hAnsi="仿宋_GB2312" w:cs="仿宋_GB2312" w:eastAsia="仿宋_GB2312"/>
                      <w:sz w:val="20"/>
                      <w:color w:val="0000FF"/>
                    </w:rPr>
                    <w:t>2、防护软件支撑工具应采用非植入式部署方式，不需要在门票预约系统服务器和用户的客户端安装客户端软件，不需要门票预约系统进行任何的代码二次开发，不需要门票预约系统服务器做配置变更，部署对门票预约系统无感知。支持以反向代理部署方式部署于受保护的门票预约系统前端。</w:t>
                  </w:r>
                </w:p>
                <w:p>
                  <w:pPr>
                    <w:pStyle w:val="null3"/>
                    <w:jc w:val="both"/>
                  </w:pPr>
                  <w:r>
                    <w:rPr>
                      <w:rFonts w:ascii="仿宋_GB2312" w:hAnsi="仿宋_GB2312" w:cs="仿宋_GB2312" w:eastAsia="仿宋_GB2312"/>
                      <w:sz w:val="20"/>
                      <w:color w:val="0000FF"/>
                    </w:rPr>
                    <w:t>3、支持对简单脚本类型（基于纯文本请求）工具、轻量级无头浏览器工具、高级自动化浏览器（模拟真人操作）工具、混合型/代理池轮换型工具识别和防护能力，可以通过相关策略对以上类型的工具进行防护；</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4、防护软件支撑工具应具备动态防护能力</w:t>
                  </w:r>
                </w:p>
                <w:p>
                  <w:pPr>
                    <w:pStyle w:val="null3"/>
                    <w:jc w:val="both"/>
                  </w:pPr>
                  <w:r>
                    <w:rPr>
                      <w:rFonts w:ascii="仿宋_GB2312" w:hAnsi="仿宋_GB2312" w:cs="仿宋_GB2312" w:eastAsia="仿宋_GB2312"/>
                      <w:sz w:val="20"/>
                      <w:color w:val="0000FF"/>
                    </w:rPr>
                    <w:t>4.1、具备动态防护技术能力：随返回网页动态封装一段javascript，该javascript完成与动态应用保护系统的通讯及浏览器侧运行环境验证等功能的执行，并实现针对运行环境的数据采集。</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4.2、具备终端环境验证能力：采用动态检查代码检查客户端环境，具备对微信客户端环境的监测识别能力，且每次均随机选取检测项目与数量。提供系统报表截图，证明对客户端环境的检查范围包括：客户端的IP地址、操作系统、浏览器版本、浏览器指纹、用户交互行为等。</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4.3、具备通信令牌能力：对当前访问的合法请求基于加密技术授予在一定时间内有效的一次性访问令牌。令牌由系统自动生成，不需要管理员单独进行设置，访问请求自动携带令牌，令牌是可以被查看到，但是一旦令牌更改则访问被拦截。</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5、防护软件支撑工具应具备如下业务防护能力</w:t>
                  </w:r>
                </w:p>
                <w:p>
                  <w:pPr>
                    <w:pStyle w:val="null3"/>
                    <w:jc w:val="both"/>
                  </w:pPr>
                  <w:r>
                    <w:rPr>
                      <w:rFonts w:ascii="仿宋_GB2312" w:hAnsi="仿宋_GB2312" w:cs="仿宋_GB2312" w:eastAsia="仿宋_GB2312"/>
                      <w:sz w:val="20"/>
                      <w:color w:val="0000FF"/>
                    </w:rPr>
                    <w:t>5.1、具备Bot工具检测及防护能力</w:t>
                  </w:r>
                  <w:r>
                    <w:rPr>
                      <w:rFonts w:ascii="仿宋_GB2312" w:hAnsi="仿宋_GB2312" w:cs="仿宋_GB2312" w:eastAsia="仿宋_GB2312"/>
                      <w:sz w:val="20"/>
                      <w:b/>
                      <w:color w:val="0000FF"/>
                    </w:rPr>
                    <w:t>（提供截图证明此项能力）</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color w:val="0000FF"/>
                    </w:rPr>
                    <w:t>（1）支持检测识别扫描工具，如LoadRunner、AWVS、WebInspect、webreaver、Netsparker等</w:t>
                  </w:r>
                </w:p>
                <w:p>
                  <w:pPr>
                    <w:pStyle w:val="null3"/>
                    <w:jc w:val="both"/>
                  </w:pPr>
                  <w:r>
                    <w:rPr>
                      <w:rFonts w:ascii="仿宋_GB2312" w:hAnsi="仿宋_GB2312" w:cs="仿宋_GB2312" w:eastAsia="仿宋_GB2312"/>
                      <w:sz w:val="20"/>
                      <w:color w:val="0000FF"/>
                    </w:rPr>
                    <w:t>（2）支持检测识别各类爬虫程序，如Badboy、HTMLUnit、八爪鱼、后羿采集器等</w:t>
                  </w:r>
                </w:p>
                <w:p>
                  <w:pPr>
                    <w:pStyle w:val="null3"/>
                    <w:jc w:val="both"/>
                  </w:pPr>
                  <w:r>
                    <w:rPr>
                      <w:rFonts w:ascii="仿宋_GB2312" w:hAnsi="仿宋_GB2312" w:cs="仿宋_GB2312" w:eastAsia="仿宋_GB2312"/>
                      <w:sz w:val="20"/>
                      <w:color w:val="0000FF"/>
                    </w:rPr>
                    <w:t>（3）支持识别浏览器自动化插件工具，如NODEJS、nightmarejs、SeleniumIDE、WebDriver、phantomJS等；</w:t>
                  </w:r>
                </w:p>
                <w:p>
                  <w:pPr>
                    <w:pStyle w:val="null3"/>
                    <w:jc w:val="both"/>
                  </w:pPr>
                  <w:r>
                    <w:rPr>
                      <w:rFonts w:ascii="仿宋_GB2312" w:hAnsi="仿宋_GB2312" w:cs="仿宋_GB2312" w:eastAsia="仿宋_GB2312"/>
                      <w:sz w:val="20"/>
                      <w:color w:val="0000FF"/>
                    </w:rPr>
                    <w:t>5.2、具备防止通过爬虫或自动化工具，搜刮服务器上的业务数据或敏感信息的能力。</w:t>
                  </w:r>
                </w:p>
                <w:p>
                  <w:pPr>
                    <w:pStyle w:val="null3"/>
                    <w:jc w:val="both"/>
                  </w:pPr>
                  <w:r>
                    <w:rPr>
                      <w:rFonts w:ascii="仿宋_GB2312" w:hAnsi="仿宋_GB2312" w:cs="仿宋_GB2312" w:eastAsia="仿宋_GB2312"/>
                      <w:sz w:val="20"/>
                      <w:color w:val="0000FF"/>
                    </w:rPr>
                    <w:t>5.3、具备RPC绕过检测的能力：可以防止通过RPC方式绕过系统动态令牌校验，支持通过user_agent、accept_encoding、accept_language等多种属性识别RPC方式请求。</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5.4、具备不通过限制访问速率，即可以防止高频访问和重放攻击（访问）的能力；门票预约系统被防护后可以避免单个页面被不停恶意刷新的攻击行为。需详细描述技术实现方式。</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▲5.5、具备对单个账号使用微信客户端环境数量、源IP数量的研判和统计能力，防止单个账号同时通过多个微信客户端或者IP代理的方式发起请求；防止同一个微信客户端环境同时登录多个账号。</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5.6、具备按照门票预约系统访问时间进行限制、按照访问频率进行限制、针对异常访问参数进行限制等能力。</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▲5.7、具备按照单一会话中页面打开时间、用户操作次数等进行限制的能力。</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5.8、具备自定义和多维度+细粒度防护策略的能力：防护软件支撑工具应具备丰富且多维度的数据采集能力（网络层/协议层/内容层/行为层/设备层等），可自定义指定一个或多个采集数据字段和字段值作为额外的触发条件，包括系统采集到的攻击行为、客户端的动作、令牌状态、客户端指纹、键鼠事件等；具备将各类采集到的字段及字段值信息，通过逻辑与（and）、逻辑或（or）、逻辑非（not）等运算符进行灵活的防护策略配置；执行的防护动作不少于6类。</w:t>
                  </w:r>
                  <w:r>
                    <w:rPr>
                      <w:rFonts w:ascii="仿宋_GB2312" w:hAnsi="仿宋_GB2312" w:cs="仿宋_GB2312" w:eastAsia="仿宋_GB2312"/>
                      <w:sz w:val="20"/>
                      <w:b/>
                      <w:color w:val="0000FF"/>
                    </w:rPr>
                    <w:t>（提供截图证明此项能力并对6类防护动作进行说明）</w:t>
                  </w:r>
                </w:p>
                <w:p>
                  <w:pPr>
                    <w:pStyle w:val="null3"/>
                    <w:jc w:val="both"/>
                  </w:pPr>
                  <w:r>
                    <w:rPr>
                      <w:rFonts w:ascii="仿宋_GB2312" w:hAnsi="仿宋_GB2312" w:cs="仿宋_GB2312" w:eastAsia="仿宋_GB2312"/>
                      <w:sz w:val="20"/>
                      <w:color w:val="0000FF"/>
                    </w:rPr>
                    <w:t>5.9、具备定时器功能：支持对场景对抗策略定时执行，包括周期性定时或单次定时，可以设定开始时间和结束时间；具备自动黑名单功能，支持将触发策略的IP或客户端指纹或IP(C段)自动加入黑名单持续封锁指定时长。</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6、防护软件支撑工具应具备日志管理能力</w:t>
                  </w:r>
                </w:p>
                <w:p>
                  <w:pPr>
                    <w:pStyle w:val="null3"/>
                    <w:ind w:firstLine="400"/>
                    <w:jc w:val="both"/>
                  </w:pPr>
                  <w:r>
                    <w:rPr>
                      <w:rFonts w:ascii="仿宋_GB2312" w:hAnsi="仿宋_GB2312" w:cs="仿宋_GB2312" w:eastAsia="仿宋_GB2312"/>
                      <w:sz w:val="20"/>
                      <w:color w:val="0000FF"/>
                    </w:rPr>
                    <w:t>留存的日志包括：防护日志、操作审计日志和系统日志。日志记录包含时间、访问网址、来源IP地址、过滤规则及规则细节等。日志提供查询功能，可以基于任意字段进行报表查询请求。日志可通过TCP或UDP协议，输出到指定的Syslog服务器。</w:t>
                  </w:r>
                </w:p>
                <w:p>
                  <w:pPr>
                    <w:pStyle w:val="null3"/>
                    <w:jc w:val="both"/>
                  </w:pPr>
                  <w:r>
                    <w:rPr>
                      <w:rFonts w:ascii="仿宋_GB2312" w:hAnsi="仿宋_GB2312" w:cs="仿宋_GB2312" w:eastAsia="仿宋_GB2312"/>
                      <w:sz w:val="20"/>
                      <w:color w:val="0000FF"/>
                    </w:rPr>
                    <w:t>7、具备统计数据和统计图表的能力，其中包括总请求数、已防护数、异常请求数、已阻止攻击数，异常请求时间图表；具备自定义分析数据能力和定制化报表展示能力。</w:t>
                  </w:r>
                  <w:r>
                    <w:rPr>
                      <w:rFonts w:ascii="仿宋_GB2312" w:hAnsi="仿宋_GB2312" w:cs="仿宋_GB2312" w:eastAsia="仿宋_GB2312"/>
                      <w:sz w:val="20"/>
                      <w:b/>
                      <w:color w:val="0000FF"/>
                    </w:rPr>
                    <w:t>（提供截图证明此项能力）</w:t>
                  </w:r>
                </w:p>
                <w:p>
                  <w:pPr>
                    <w:pStyle w:val="null3"/>
                    <w:jc w:val="both"/>
                  </w:pPr>
                  <w:r>
                    <w:rPr>
                      <w:rFonts w:ascii="仿宋_GB2312" w:hAnsi="仿宋_GB2312" w:cs="仿宋_GB2312" w:eastAsia="仿宋_GB2312"/>
                      <w:sz w:val="20"/>
                      <w:color w:val="0000FF"/>
                    </w:rPr>
                    <w:t>8、本次服务中所使用的防护软件支撑工具，应具备完全的自主知识产权，需提供《软件著作权证书》；应通过公安部计算机信息系统安全产品质量监督检验中心的检验检测，并提供由公安部计算机信息系统安全产品质量监督检验中心颁发的《网络安全专用产品安全检测证书》，且证书的产品名称必须包含“Web动态防护”或“WEB动态防御”或“Web动态应用保护”或“动态Web应用”关键字，</w:t>
                  </w:r>
                  <w:r>
                    <w:rPr>
                      <w:rFonts w:ascii="仿宋_GB2312" w:hAnsi="仿宋_GB2312" w:cs="仿宋_GB2312" w:eastAsia="仿宋_GB2312"/>
                      <w:sz w:val="20"/>
                      <w:color w:val="0000FF"/>
                    </w:rPr>
                    <w:t>提供有效期内的证书扫描件。</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本次门票预约安全防护软件订阅及配套技术服务需要提供的服务应包括：</w:t>
                  </w:r>
                </w:p>
                <w:p>
                  <w:pPr>
                    <w:pStyle w:val="null3"/>
                    <w:jc w:val="both"/>
                  </w:pPr>
                  <w:r>
                    <w:rPr>
                      <w:rFonts w:ascii="仿宋_GB2312" w:hAnsi="仿宋_GB2312" w:cs="仿宋_GB2312" w:eastAsia="仿宋_GB2312"/>
                      <w:sz w:val="20"/>
                      <w:color w:val="0000FF"/>
                    </w:rPr>
                    <w:t>（1）</w:t>
                  </w:r>
                  <w:r>
                    <w:rPr>
                      <w:rFonts w:ascii="仿宋_GB2312" w:hAnsi="仿宋_GB2312" w:cs="仿宋_GB2312" w:eastAsia="仿宋_GB2312"/>
                      <w:sz w:val="20"/>
                      <w:color w:val="0000FF"/>
                    </w:rPr>
                    <w:t>保障每天约票时间段前后的系统稳定运行；</w:t>
                  </w:r>
                </w:p>
                <w:p>
                  <w:pPr>
                    <w:pStyle w:val="null3"/>
                    <w:jc w:val="both"/>
                  </w:pPr>
                  <w:r>
                    <w:rPr>
                      <w:rFonts w:ascii="仿宋_GB2312" w:hAnsi="仿宋_GB2312" w:cs="仿宋_GB2312" w:eastAsia="仿宋_GB2312"/>
                      <w:sz w:val="20"/>
                      <w:color w:val="0000FF"/>
                    </w:rPr>
                    <w:t>（2）</w:t>
                  </w:r>
                  <w:r>
                    <w:rPr>
                      <w:rFonts w:ascii="仿宋_GB2312" w:hAnsi="仿宋_GB2312" w:cs="仿宋_GB2312" w:eastAsia="仿宋_GB2312"/>
                      <w:sz w:val="20"/>
                      <w:color w:val="0000FF"/>
                    </w:rPr>
                    <w:t>需要针对“黄牛”使用的各类工具进行长期的分析、研判和处置；</w:t>
                  </w:r>
                </w:p>
                <w:p>
                  <w:pPr>
                    <w:pStyle w:val="null3"/>
                    <w:jc w:val="both"/>
                  </w:pPr>
                  <w:r>
                    <w:rPr>
                      <w:rFonts w:ascii="仿宋_GB2312" w:hAnsi="仿宋_GB2312" w:cs="仿宋_GB2312" w:eastAsia="仿宋_GB2312"/>
                      <w:sz w:val="20"/>
                      <w:color w:val="0000FF"/>
                    </w:rPr>
                    <w:t>（3）</w:t>
                  </w:r>
                  <w:r>
                    <w:rPr>
                      <w:rFonts w:ascii="仿宋_GB2312" w:hAnsi="仿宋_GB2312" w:cs="仿宋_GB2312" w:eastAsia="仿宋_GB2312"/>
                      <w:sz w:val="20"/>
                      <w:color w:val="0000FF"/>
                    </w:rPr>
                    <w:t>提供本项目中针对 “黄牛”抢票步骤的详细分析、研判和处置方案；</w:t>
                  </w:r>
                </w:p>
                <w:p>
                  <w:pPr>
                    <w:pStyle w:val="null3"/>
                    <w:jc w:val="both"/>
                  </w:pPr>
                  <w:r>
                    <w:rPr>
                      <w:rFonts w:ascii="仿宋_GB2312" w:hAnsi="仿宋_GB2312" w:cs="仿宋_GB2312" w:eastAsia="仿宋_GB2312"/>
                      <w:sz w:val="20"/>
                      <w:color w:val="0000FF"/>
                    </w:rPr>
                    <w:t>（4）</w:t>
                  </w:r>
                  <w:r>
                    <w:rPr>
                      <w:rFonts w:ascii="仿宋_GB2312" w:hAnsi="仿宋_GB2312" w:cs="仿宋_GB2312" w:eastAsia="仿宋_GB2312"/>
                      <w:sz w:val="20"/>
                      <w:color w:val="0000FF"/>
                    </w:rPr>
                    <w:t>在人员服务中需提供详细的本地化服务方案，包括并不限于：人员配置、节假日高峰期的重要保障、防护策略思路以及应急处理预案等</w:t>
                  </w:r>
                  <w:r>
                    <w:rPr>
                      <w:rFonts w:ascii="仿宋_GB2312" w:hAnsi="仿宋_GB2312" w:cs="仿宋_GB2312" w:eastAsia="仿宋_GB2312"/>
                      <w:sz w:val="20"/>
                      <w:color w:val="0000FF"/>
                    </w:rPr>
                    <w:t>.</w:t>
                  </w:r>
                  <w:r>
                    <w:rPr>
                      <w:rFonts w:ascii="仿宋_GB2312" w:hAnsi="仿宋_GB2312" w:cs="仿宋_GB2312" w:eastAsia="仿宋_GB2312"/>
                      <w:sz w:val="20"/>
                      <w:color w:val="0000FF"/>
                    </w:rPr>
                    <w:t>提供深度巡检、软件订阅期内的版本升级和运维服务以及专项重保与动态对抗服务；在业务高峰期、国家重大活动保障期、系统重大变更等特殊时期提供“保障前加固-期间值守-事后复盘”全流程支撑服务。</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FF"/>
                    </w:rPr>
                    <w:t>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为防止虚假应标，甲方有权要求中标方限期提供所投的防护软件支撑工具的测试，逐一检查应标满足项的真实性。</w:t>
                  </w:r>
                </w:p>
                <w:p>
                  <w:pPr>
                    <w:pStyle w:val="null3"/>
                    <w:jc w:val="both"/>
                  </w:pPr>
                  <w:r>
                    <w:rPr>
                      <w:rFonts w:ascii="仿宋_GB2312" w:hAnsi="仿宋_GB2312" w:cs="仿宋_GB2312" w:eastAsia="仿宋_GB2312"/>
                      <w:sz w:val="20"/>
                      <w:color w:val="0000FF"/>
                    </w:rPr>
                    <w:t>1、测试期间必须保证业务的连续性，业务迁移上线中断不得超过2分钟；</w:t>
                  </w:r>
                </w:p>
                <w:p>
                  <w:pPr>
                    <w:pStyle w:val="null3"/>
                    <w:jc w:val="both"/>
                  </w:pPr>
                  <w:r>
                    <w:rPr>
                      <w:rFonts w:ascii="仿宋_GB2312" w:hAnsi="仿宋_GB2312" w:cs="仿宋_GB2312" w:eastAsia="仿宋_GB2312"/>
                      <w:sz w:val="20"/>
                      <w:color w:val="0000FF"/>
                    </w:rPr>
                    <w:t>2、测试时长6个月，如未达到应标文件中的效果，需双倍赔偿甲方损失；</w:t>
                  </w:r>
                </w:p>
                <w:p>
                  <w:pPr>
                    <w:pStyle w:val="null3"/>
                    <w:jc w:val="both"/>
                  </w:pPr>
                  <w:r>
                    <w:rPr>
                      <w:rFonts w:ascii="仿宋_GB2312" w:hAnsi="仿宋_GB2312" w:cs="仿宋_GB2312" w:eastAsia="仿宋_GB2312"/>
                      <w:sz w:val="20"/>
                      <w:color w:val="0000FF"/>
                    </w:rPr>
                    <w:t>3、中标方提供的软件系统必须跟现有的票务系统适配，不得对现有票务系统的提出更改需求。</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合同签订之日起1年，服务期满后经采购人考核合格的续签下一个服务期合同。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（1）质量标准。乙方保证提供的服务质量应符合中华人民共和国相关标准及相应的技术规范、本次采购相关文件中的全部相关要求及乙方相关服务标准及相应的技术规范中之较高者。 （2）验收组织。甲方负责按规定组织验收工作并出具验收书。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进度款，合同签订后且达到响应文件的效果后，达到付款条件起30个工作日内，支付当期合同金额的60%.，达到付款条件起30个工作日内，支付合同总金额的60.0%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进度款，服务正式上线运行测试6个月后，经甲方验收合格后，达到付款条件起30个工作日内，支付合同总金额的40 %。，达到付款条件起30个工作日内，支付合同总金额的40.0%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在线提交所有通过电子化交易平台实施的政府采购项目的响应文件，另外，在磋商截止时间前向代理机构递交密封、系统生成的纸质版响应文件壹份（胶装，封袋标注供应商名称和项目名称）。代理机构对递交的文件签收，由监标人查验密封情况并记录，开标后交磋商小组，作为评审的辅助资料。递交方式：现场递交，或快递邮寄。 2.供应商请仔细阅读采购文件《第一章 竞争性磋商邀请》第六条“电子化采购相关事项”，提前做好线上开标准备。 3.本项目磋商在采购系统线上进行，供应商需自行了解系统磋商的要求和操作流程。未按流程操作或无法联系以及供应商自身原因错过磋商的视为自动放弃磋商。 4.中小企业： ①是否属于中小企业，供应商按《政府采购促进中小企业发展管理办法》（财库〔2020〕46号）、《统计上大中小微型企业划分办法（2017）》（国统字﹝2017﹞213号）软件和信息技术服务业划型标准判定，并承担责任。如判定原则与第四章及附件格式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 5.补充说明：本项目采用两轮报价，响应文件中的报价为首次报价，磋商后的报价为最终报价。 6.采用线下纸质保函（银行或担保公司出具的)形式交纳磋商保证金的，供应商需在磋商截止时间前将保函递交代理机构并换取收据，并将收据作为保证金的交纳凭证上传至交易系统，在开标时查验。 7.支付约定：合同签订后且达到响应文件的效果后，达到付款条件起30个工作日内，支付当期合同金额的60%；服务正式上线运行测试6个月后，经甲方验收合格后，达到付款条件起30个工作日内，支付合同总金额的40 %。与3.3.5支付约定不一致的以此处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参加本次政府采购活动前3年内在经营活动中没有重大违纪，提供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代表人授权</w:t>
            </w:r>
          </w:p>
        </w:tc>
        <w:tc>
          <w:tcPr>
            <w:tcW w:type="dxa" w:w="3322"/>
          </w:tcPr>
          <w:p>
            <w:pPr>
              <w:pStyle w:val="null3"/>
            </w:pPr>
            <w:r>
              <w:rPr>
                <w:rFonts w:ascii="仿宋_GB2312" w:hAnsi="仿宋_GB2312" w:cs="仿宋_GB2312" w:eastAsia="仿宋_GB2312"/>
              </w:rPr>
              <w:t>参加磋商的供应商代表需提供提法定代表人证明书和法定代表人授权书。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 (1)响应报价低于全部通过符合性审查供应商响应报价平均值50%的，即响应报价〈全部通过符合性审查供应商响应报价平均值X50％； (2)响应报价低于通过符合性审查的次低报价供应商响应报价的50%，即响应报价〈通过符合性审查的次低报价供应商响应报价X50%； (3)响应报价低于采购项目最高限价45%的，即响应报价&lt;采购项目最高限价X45%； (4)磋商小组基于专业判断，认为供应商报价过低，有可能影响产品质量或者不能诚信履约的其他情形。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的，磋商小组应当将其作为无效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合同签订之日起1年，服务期满后经采购人考核合格的续签下一个服务期合同。</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1.合同签订后且达到响应文件的效果后，达到付款条件起30个工作日内，支付当期合同金额的60%；服务正式上线运行测试6个月后，经甲方验收合格后，达到付款条件起30个工作日内，支付合同总金额的40 %。 2.测试期间必须保证业务的连续性，业务迁移上线中断不得超过2分钟； 3.测试时长6个月，如未达到应标文件中的效果，需双倍赔偿甲方损失； 4.中标方提供的软件系统必须跟现有的票务系统适配，不得对现有票务系统的提出更改需求。 对以上商务条款响应无负偏离。</w:t>
            </w:r>
          </w:p>
        </w:tc>
        <w:tc>
          <w:tcPr>
            <w:tcW w:type="dxa" w:w="1661"/>
          </w:tcPr>
          <w:p>
            <w:pPr>
              <w:pStyle w:val="null3"/>
            </w:pPr>
            <w:r>
              <w:rPr>
                <w:rFonts w:ascii="仿宋_GB2312" w:hAnsi="仿宋_GB2312" w:cs="仿宋_GB2312" w:eastAsia="仿宋_GB2312"/>
              </w:rPr>
              <w:t>主要商务条款响应偏离表.docx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评审内容：供应商应充分了解本项目目标，提供针对本项目的总体技术方案，包括但不限于①针对各类抢票工具进行长期的分析、研判和处置的方式方法以及新型工具分析思路。②针对本项目的采用的技术思路、技术标准、技术措施③针对本项目的部署方式④针对本项目的工具识别方式⑤针对本项目的攻击升级对抗方式⑥日常维护保障。 评审标准：方案内容全面，描述详细；实施链条完整，步骤清晰，能够紧扣项目实际情况，内容科学合理，得24分。每缺少1项扣4分，每项中每有1处缺陷扣[1-0）分，扣完为止。注：缺陷是指内容存在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应充分了解本项目目标，提供针对本项目的总体服务实施方案，包括班不限于①针对整个持续、高对抗性的全方位服务内容②整个服务期内持续技术投入和人员投入③针对抢票工具的升级、变化分析和处置措施④针对防护软件的日常监控，异常的定位的响应处置⑤应急服务及预案。 二、评审标准：方案内容全面，描述详细；实施链条完整，步骤清晰，能够紧扣项目实际情况，内容科学合理，得15分。每缺少1项扣3分，每项中每有1处缺陷扣[1-0）分，扣完为止。注：缺陷同前述。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提供的防护软件完全满足或优于磋商文件3.2.2序号1中（除第8项）的性能和要求的得20分，每有1项非▲号项负偏离的扣1分，每有1项▲号项负偏离的扣3分，扣完为止。注：未要求提供证明材料的以《防护软件技术偏离表》响应内容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防护软件技术偏离表.docx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1.提供能即时响应服务的书面承诺，得1分，注：需明确响应时间，未提供不得分。 2.提供服务期内定期巡检、健康检查并提供报告的书面承诺，得1分，未提供不得分。 3.提供服务期内软件维护与持续系统升级的书面承诺得1分，未提供不得分。 4.提供服务期内专项保障、深度分析与场景化支撑（包括但不限于每年提供元旦、春节、五一、十一及寒暑假等不少于5个节日假期游客高峰期的重要保障服务；提供省市级安全检查期间的服务保障服务；重大会议期间应急服务保障）的书面承诺得得1分，未提供不得分。 5.提供培训服务内容及书面承诺，得1分。注：需明确培训内容、时间、地点等，未提供不得分。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服务保障.docx</w:t>
            </w:r>
          </w:p>
        </w:tc>
      </w:tr>
      <w:tr>
        <w:tc>
          <w:tcPr>
            <w:tcW w:type="dxa" w:w="831"/>
            <w:vMerge/>
          </w:tcPr>
          <w:p/>
        </w:tc>
        <w:tc>
          <w:tcPr>
            <w:tcW w:type="dxa" w:w="1661"/>
          </w:tcPr>
          <w:p>
            <w:pPr>
              <w:pStyle w:val="null3"/>
            </w:pPr>
            <w:r>
              <w:rPr>
                <w:rFonts w:ascii="仿宋_GB2312" w:hAnsi="仿宋_GB2312" w:cs="仿宋_GB2312" w:eastAsia="仿宋_GB2312"/>
              </w:rPr>
              <w:t>本地化服务</w:t>
            </w:r>
          </w:p>
        </w:tc>
        <w:tc>
          <w:tcPr>
            <w:tcW w:type="dxa" w:w="2492"/>
          </w:tcPr>
          <w:p>
            <w:pPr>
              <w:pStyle w:val="null3"/>
            </w:pPr>
            <w:r>
              <w:rPr>
                <w:rFonts w:ascii="仿宋_GB2312" w:hAnsi="仿宋_GB2312" w:cs="仿宋_GB2312" w:eastAsia="仿宋_GB2312"/>
              </w:rPr>
              <w:t>供应商需在服务期内提供本地化服务： 1.提供本地化服务或承诺中标后将提供本地化服务。 得3分，否则本大项（6分）不得分。注：已具备本地化服务的，需提供办公场地产权证明、办公场地现场照片等；如承诺中标后提供本地化服务的，需提供书面承诺，包括办公地点设置、办公设备配置等。 2.每配置1名固定的具备计算机技术职业资格（中级及以上）的技术人员得1分，最高3分。 注：需①提供人员资格证书（可以是以下任意一种：软件测评师、软件设计师、网络工程师、信息安全工程师或以上资格、注册信息安全专业人员（CISP））②属于供应商的人员，需提供磋商截止时间前3个月内任意一个月为其缴纳社保的证明；属于软件开发商的人员，需提供磋商截止时间前3个月内任意一个月开发商为其缴纳社保的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本地化服务.docx</w:t>
            </w:r>
          </w:p>
        </w:tc>
      </w:tr>
      <w:tr>
        <w:tc>
          <w:tcPr>
            <w:tcW w:type="dxa" w:w="831"/>
            <w:vMerge/>
          </w:tcPr>
          <w:p/>
        </w:tc>
        <w:tc>
          <w:tcPr>
            <w:tcW w:type="dxa" w:w="1661"/>
          </w:tcPr>
          <w:p>
            <w:pPr>
              <w:pStyle w:val="null3"/>
            </w:pPr>
            <w:r>
              <w:rPr>
                <w:rFonts w:ascii="仿宋_GB2312" w:hAnsi="仿宋_GB2312" w:cs="仿宋_GB2312" w:eastAsia="仿宋_GB2312"/>
              </w:rPr>
              <w:t>防护软件开发及认证</w:t>
            </w:r>
          </w:p>
        </w:tc>
        <w:tc>
          <w:tcPr>
            <w:tcW w:type="dxa" w:w="2492"/>
          </w:tcPr>
          <w:p>
            <w:pPr>
              <w:pStyle w:val="null3"/>
            </w:pPr>
            <w:r>
              <w:rPr>
                <w:rFonts w:ascii="仿宋_GB2312" w:hAnsi="仿宋_GB2312" w:cs="仿宋_GB2312" w:eastAsia="仿宋_GB2312"/>
              </w:rPr>
              <w:t>供应商所提供防护软件： 1.具备完全的自主知识产权，得1分。注：需提供《软件著作权证书》，注：如为使用第三方产品，需提供链条完整的合法授权证明及《软件著作权证书》。 2.具备公安部计算机信息系统安全产品质量监督检验中心颁发的《网络安全专用产品安全检测证书》，且证书的产品名称必须包含“Web动态防护”或“WEB动态防御”或“Web动态应用保护”或“动态Web应用”关键字，得2分。注：提供有效期内的证书。 3.具备“自动化攻击防护”的能力，得2分。注：需提供国家网络与信息系统安全产品质量监督检验中心、或公安部计算机信息系统安全产品质量监督检验中心、或公安部信息安金产品检测中心出具的《检验检测报告》，且能显示具备自动防护功能。</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防护软件开发及认证.docx</w:t>
            </w:r>
          </w:p>
        </w:tc>
      </w:tr>
      <w:tr>
        <w:tc>
          <w:tcPr>
            <w:tcW w:type="dxa" w:w="831"/>
            <w:vMerge/>
          </w:tcPr>
          <w:p/>
        </w:tc>
        <w:tc>
          <w:tcPr>
            <w:tcW w:type="dxa" w:w="1661"/>
          </w:tcPr>
          <w:p>
            <w:pPr>
              <w:pStyle w:val="null3"/>
            </w:pPr>
            <w:r>
              <w:rPr>
                <w:rFonts w:ascii="仿宋_GB2312" w:hAnsi="仿宋_GB2312" w:cs="仿宋_GB2312" w:eastAsia="仿宋_GB2312"/>
              </w:rPr>
              <w:t>防护软件开发商</w:t>
            </w:r>
          </w:p>
        </w:tc>
        <w:tc>
          <w:tcPr>
            <w:tcW w:type="dxa" w:w="2492"/>
          </w:tcPr>
          <w:p>
            <w:pPr>
              <w:pStyle w:val="null3"/>
            </w:pPr>
            <w:r>
              <w:rPr>
                <w:rFonts w:ascii="仿宋_GB2312" w:hAnsi="仿宋_GB2312" w:cs="仿宋_GB2312" w:eastAsia="仿宋_GB2312"/>
              </w:rPr>
              <w:t>所供防护软件开发商具有《信息安全服务资质认证证书》的，1级得3分；2级得2分；3级得1分。注：需提供证书。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防护软件开发商.docx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1.每提供1份供应商2023年6月1日至今同类项目（系统安全防护服务类）业绩，得2分，本项最高得8分。注：业绩以合同为准，时间以合同签订时间为准、须提供完整合同复印件。 2.每提供1份2023年6月1日至今所供防护软件（包含不同版本）销售业绩，得1分，本项最高得4分。注：①业绩以合同为准，时间以合同签订时间为准、须提供完整合同复印件。②销售业绩包含软件开发商的销售业绩。</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价格分采用低价优先法，即实质性满足磋商文件要求且最终磋商报价最低的为磋商基准价，其价格分为满分10分。其他供应商的价格分按照下列公式计算：磋商报价得分=（磋商基准价/磋商报价）×10。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详见附件：本地化服务.docx</w:t>
      </w:r>
    </w:p>
    <w:p>
      <w:pPr>
        <w:pStyle w:val="null3"/>
        <w:ind w:firstLine="960"/>
      </w:pPr>
      <w:r>
        <w:rPr>
          <w:rFonts w:ascii="仿宋_GB2312" w:hAnsi="仿宋_GB2312" w:cs="仿宋_GB2312" w:eastAsia="仿宋_GB2312"/>
        </w:rPr>
        <w:t>详见附件：防护软件技术偏离表.docx</w:t>
      </w:r>
    </w:p>
    <w:p>
      <w:pPr>
        <w:pStyle w:val="null3"/>
        <w:ind w:firstLine="960"/>
      </w:pPr>
      <w:r>
        <w:rPr>
          <w:rFonts w:ascii="仿宋_GB2312" w:hAnsi="仿宋_GB2312" w:cs="仿宋_GB2312" w:eastAsia="仿宋_GB2312"/>
        </w:rPr>
        <w:t>详见附件：防护软件开发及认证.docx</w:t>
      </w:r>
    </w:p>
    <w:p>
      <w:pPr>
        <w:pStyle w:val="null3"/>
        <w:ind w:firstLine="960"/>
      </w:pPr>
      <w:r>
        <w:rPr>
          <w:rFonts w:ascii="仿宋_GB2312" w:hAnsi="仿宋_GB2312" w:cs="仿宋_GB2312" w:eastAsia="仿宋_GB2312"/>
        </w:rPr>
        <w:t>详见附件：防护软件开发商.docx</w:t>
      </w:r>
    </w:p>
    <w:p>
      <w:pPr>
        <w:pStyle w:val="null3"/>
        <w:ind w:firstLine="960"/>
      </w:pPr>
      <w:r>
        <w:rPr>
          <w:rFonts w:ascii="仿宋_GB2312" w:hAnsi="仿宋_GB2312" w:cs="仿宋_GB2312" w:eastAsia="仿宋_GB2312"/>
        </w:rPr>
        <w:t>详见附件：服务保障.docx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