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246D22">
      <w:pPr>
        <w:keepLines w:val="0"/>
        <w:pageBreakBefore w:val="0"/>
        <w:widowControl w:val="0"/>
        <w:kinsoku/>
        <w:wordWrap w:val="0"/>
        <w:overflowPunct w:val="0"/>
        <w:autoSpaceDE/>
        <w:autoSpaceDN/>
        <w:bidi w:val="0"/>
        <w:ind w:left="0" w:leftChars="0" w:right="0" w:rightChars="0" w:firstLine="0" w:firstLineChars="0"/>
        <w:jc w:val="center"/>
        <w:rPr>
          <w:rFonts w:hint="eastAsia" w:ascii="Times New Roman" w:hAnsi="Times New Roman" w:eastAsia="宋体" w:cs="Times New Roman"/>
          <w:b/>
          <w:bCs/>
          <w:snapToGrid/>
          <w:kern w:val="2"/>
          <w:sz w:val="32"/>
          <w:szCs w:val="28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snapToGrid/>
          <w:kern w:val="2"/>
          <w:sz w:val="32"/>
          <w:szCs w:val="28"/>
          <w:highlight w:val="none"/>
          <w:lang w:val="en-US" w:eastAsia="zh-CN" w:bidi="ar-SA"/>
        </w:rPr>
        <w:t>防护软件技术偏离表</w:t>
      </w:r>
    </w:p>
    <w:tbl>
      <w:tblPr>
        <w:tblStyle w:val="3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1083"/>
        <w:gridCol w:w="1158"/>
        <w:gridCol w:w="455"/>
        <w:gridCol w:w="1671"/>
        <w:gridCol w:w="1756"/>
        <w:gridCol w:w="739"/>
        <w:gridCol w:w="739"/>
      </w:tblGrid>
      <w:tr w14:paraId="24D30C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538" w:type="pct"/>
            <w:vMerge w:val="restart"/>
            <w:vAlign w:val="center"/>
          </w:tcPr>
          <w:p w14:paraId="6DE389A0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default" w:ascii="宋体" w:hAnsi="宋体" w:eastAsia="宋体" w:cs="仿宋_GB2312"/>
                <w:snapToGrid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仿宋_GB2312"/>
                <w:snapToGrid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防护软件名称</w:t>
            </w:r>
          </w:p>
        </w:tc>
        <w:tc>
          <w:tcPr>
            <w:tcW w:w="635" w:type="pct"/>
            <w:vMerge w:val="restart"/>
            <w:vAlign w:val="center"/>
          </w:tcPr>
          <w:p w14:paraId="4C8AFBE0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default" w:ascii="宋体" w:hAnsi="宋体" w:eastAsia="宋体" w:cs="仿宋_GB2312"/>
                <w:snapToGrid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仿宋_GB2312"/>
                <w:snapToGrid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版本号</w:t>
            </w:r>
          </w:p>
        </w:tc>
        <w:tc>
          <w:tcPr>
            <w:tcW w:w="679" w:type="pct"/>
            <w:vMerge w:val="restart"/>
            <w:vAlign w:val="center"/>
          </w:tcPr>
          <w:p w14:paraId="67CBC599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default" w:ascii="宋体" w:hAnsi="宋体" w:eastAsia="宋体" w:cs="仿宋_GB2312"/>
                <w:snapToGrid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仿宋_GB2312"/>
                <w:snapToGrid/>
                <w:color w:val="000000" w:themeColor="text1"/>
                <w:kern w:val="0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开发商</w:t>
            </w:r>
          </w:p>
        </w:tc>
        <w:tc>
          <w:tcPr>
            <w:tcW w:w="1247" w:type="pct"/>
            <w:gridSpan w:val="2"/>
            <w:vAlign w:val="center"/>
          </w:tcPr>
          <w:p w14:paraId="38AD0B9E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华文仿宋"/>
                <w:snapToGrid/>
                <w:color w:val="auto"/>
                <w:kern w:val="0"/>
                <w:sz w:val="24"/>
                <w:szCs w:val="28"/>
                <w:highlight w:val="none"/>
                <w:lang w:val="en-US" w:eastAsia="zh-CN"/>
              </w:rPr>
              <w:t>磋商文件软件</w:t>
            </w:r>
            <w:r>
              <w:rPr>
                <w:rFonts w:hint="eastAsia" w:ascii="宋体" w:hAnsi="宋体" w:eastAsia="宋体" w:cs="华文仿宋"/>
                <w:snapToGrid/>
                <w:color w:val="auto"/>
                <w:kern w:val="0"/>
                <w:sz w:val="24"/>
                <w:szCs w:val="28"/>
                <w:highlight w:val="none"/>
              </w:rPr>
              <w:t>的参数及要求</w:t>
            </w:r>
          </w:p>
        </w:tc>
        <w:tc>
          <w:tcPr>
            <w:tcW w:w="1030" w:type="pct"/>
            <w:vMerge w:val="restart"/>
            <w:vAlign w:val="center"/>
          </w:tcPr>
          <w:p w14:paraId="30B52B26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华文仿宋"/>
                <w:snapToGrid/>
                <w:color w:val="auto"/>
                <w:kern w:val="0"/>
                <w:sz w:val="24"/>
                <w:szCs w:val="28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华文仿宋"/>
                <w:snapToGrid/>
                <w:color w:val="auto"/>
                <w:kern w:val="0"/>
                <w:sz w:val="24"/>
                <w:szCs w:val="28"/>
                <w:highlight w:val="none"/>
              </w:rPr>
              <w:t>文件</w:t>
            </w:r>
            <w:r>
              <w:rPr>
                <w:rFonts w:hint="eastAsia" w:ascii="宋体" w:hAnsi="宋体" w:eastAsia="宋体" w:cs="华文仿宋"/>
                <w:snapToGrid/>
                <w:color w:val="auto"/>
                <w:kern w:val="0"/>
                <w:sz w:val="24"/>
                <w:szCs w:val="28"/>
                <w:highlight w:val="none"/>
                <w:lang w:val="en-US" w:eastAsia="zh-CN"/>
              </w:rPr>
              <w:t>软件</w:t>
            </w:r>
            <w:r>
              <w:rPr>
                <w:rFonts w:hint="eastAsia" w:ascii="宋体" w:hAnsi="宋体" w:eastAsia="宋体" w:cs="华文仿宋"/>
                <w:snapToGrid/>
                <w:color w:val="auto"/>
                <w:kern w:val="0"/>
                <w:sz w:val="24"/>
                <w:szCs w:val="28"/>
                <w:highlight w:val="none"/>
              </w:rPr>
              <w:t>的参数</w:t>
            </w:r>
          </w:p>
        </w:tc>
        <w:tc>
          <w:tcPr>
            <w:tcW w:w="433" w:type="pct"/>
            <w:vMerge w:val="restart"/>
            <w:vAlign w:val="center"/>
          </w:tcPr>
          <w:p w14:paraId="0DA6D6C0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华文仿宋"/>
                <w:snapToGrid/>
                <w:color w:val="auto"/>
                <w:kern w:val="0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华文仿宋"/>
                <w:snapToGrid/>
                <w:color w:val="auto"/>
                <w:kern w:val="0"/>
                <w:sz w:val="24"/>
                <w:szCs w:val="28"/>
                <w:highlight w:val="none"/>
                <w:lang w:val="en-US" w:eastAsia="zh-CN"/>
              </w:rPr>
              <w:t>响应</w:t>
            </w:r>
          </w:p>
          <w:p w14:paraId="2F72F03A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hint="eastAsia" w:ascii="宋体" w:hAnsi="宋体" w:eastAsia="宋体" w:cs="华文仿宋"/>
                <w:snapToGrid/>
                <w:color w:val="auto"/>
                <w:kern w:val="0"/>
                <w:sz w:val="24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华文仿宋"/>
                <w:snapToGrid/>
                <w:color w:val="auto"/>
                <w:kern w:val="0"/>
                <w:sz w:val="24"/>
                <w:szCs w:val="28"/>
                <w:highlight w:val="none"/>
                <w:lang w:val="en-US" w:eastAsia="zh-CN"/>
              </w:rPr>
              <w:t>说明</w:t>
            </w:r>
          </w:p>
        </w:tc>
        <w:tc>
          <w:tcPr>
            <w:tcW w:w="433" w:type="pct"/>
            <w:vMerge w:val="restart"/>
            <w:vAlign w:val="center"/>
          </w:tcPr>
          <w:p w14:paraId="77D31EA1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jc w:val="center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  <w:t>证明资料所在页码</w:t>
            </w:r>
          </w:p>
        </w:tc>
      </w:tr>
      <w:tr w14:paraId="0B1589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8" w:type="pct"/>
            <w:vMerge w:val="continue"/>
            <w:tcBorders>
              <w:bottom w:val="single" w:color="auto" w:sz="4" w:space="0"/>
            </w:tcBorders>
          </w:tcPr>
          <w:p w14:paraId="440F6140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5" w:type="pct"/>
            <w:vMerge w:val="continue"/>
            <w:tcBorders>
              <w:bottom w:val="single" w:color="auto" w:sz="4" w:space="0"/>
            </w:tcBorders>
          </w:tcPr>
          <w:p w14:paraId="19CBCB41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9" w:type="pct"/>
            <w:vMerge w:val="continue"/>
            <w:tcBorders/>
            <w:vAlign w:val="center"/>
          </w:tcPr>
          <w:p w14:paraId="6305036C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11CE40DC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  <w:lang w:eastAsia="en-US"/>
              </w:rPr>
              <w:t>序号</w:t>
            </w:r>
          </w:p>
        </w:tc>
        <w:tc>
          <w:tcPr>
            <w:tcW w:w="980" w:type="pct"/>
            <w:tcBorders>
              <w:left w:val="single" w:color="auto" w:sz="4" w:space="0"/>
            </w:tcBorders>
            <w:vAlign w:val="center"/>
          </w:tcPr>
          <w:p w14:paraId="0477E685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  <w:lang w:eastAsia="en-US"/>
              </w:rPr>
              <w:t>内容</w:t>
            </w:r>
          </w:p>
        </w:tc>
        <w:tc>
          <w:tcPr>
            <w:tcW w:w="1030" w:type="pct"/>
            <w:vMerge w:val="continue"/>
          </w:tcPr>
          <w:p w14:paraId="71D6714A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33" w:type="pct"/>
            <w:vMerge w:val="continue"/>
          </w:tcPr>
          <w:p w14:paraId="31B9CD1C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33" w:type="pct"/>
            <w:vMerge w:val="continue"/>
          </w:tcPr>
          <w:p w14:paraId="7DFE4217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 w14:paraId="7A8952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8" w:type="pct"/>
            <w:vMerge w:val="restart"/>
            <w:tcBorders>
              <w:top w:val="single" w:color="auto" w:sz="4" w:space="0"/>
            </w:tcBorders>
          </w:tcPr>
          <w:p w14:paraId="63EF383F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5" w:type="pct"/>
            <w:vMerge w:val="restart"/>
            <w:tcBorders>
              <w:top w:val="single" w:color="auto" w:sz="4" w:space="0"/>
            </w:tcBorders>
          </w:tcPr>
          <w:p w14:paraId="03900FCD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9" w:type="pct"/>
            <w:vMerge w:val="restart"/>
            <w:tcBorders>
              <w:right w:val="single" w:color="auto" w:sz="4" w:space="0"/>
            </w:tcBorders>
            <w:vAlign w:val="center"/>
          </w:tcPr>
          <w:p w14:paraId="0B9DA6BC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1294B4E5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80" w:type="pct"/>
            <w:tcBorders>
              <w:left w:val="single" w:color="auto" w:sz="4" w:space="0"/>
            </w:tcBorders>
            <w:vAlign w:val="center"/>
          </w:tcPr>
          <w:p w14:paraId="043AC7AC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30" w:type="pct"/>
          </w:tcPr>
          <w:p w14:paraId="42B7BAA8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33" w:type="pct"/>
          </w:tcPr>
          <w:p w14:paraId="07285C00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33" w:type="pct"/>
          </w:tcPr>
          <w:p w14:paraId="30FFD114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 w14:paraId="2D50DF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8" w:type="pct"/>
            <w:vMerge w:val="continue"/>
            <w:tcBorders/>
          </w:tcPr>
          <w:p w14:paraId="06D4A96E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5" w:type="pct"/>
            <w:vMerge w:val="continue"/>
            <w:tcBorders/>
          </w:tcPr>
          <w:p w14:paraId="670476F6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9" w:type="pct"/>
            <w:vMerge w:val="continue"/>
            <w:tcBorders>
              <w:right w:val="single" w:color="auto" w:sz="4" w:space="0"/>
            </w:tcBorders>
            <w:vAlign w:val="center"/>
          </w:tcPr>
          <w:p w14:paraId="1FEEFAF3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72747AE7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80" w:type="pct"/>
            <w:tcBorders>
              <w:left w:val="single" w:color="auto" w:sz="4" w:space="0"/>
            </w:tcBorders>
            <w:vAlign w:val="center"/>
          </w:tcPr>
          <w:p w14:paraId="00F4493F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30" w:type="pct"/>
          </w:tcPr>
          <w:p w14:paraId="7A8F1C6B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33" w:type="pct"/>
          </w:tcPr>
          <w:p w14:paraId="117CD75C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33" w:type="pct"/>
          </w:tcPr>
          <w:p w14:paraId="2AD101B7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 w14:paraId="64A610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8" w:type="pct"/>
            <w:vMerge w:val="continue"/>
            <w:tcBorders/>
          </w:tcPr>
          <w:p w14:paraId="6406F4FE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5" w:type="pct"/>
            <w:vMerge w:val="continue"/>
            <w:tcBorders/>
          </w:tcPr>
          <w:p w14:paraId="5ADBF724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9" w:type="pct"/>
            <w:vMerge w:val="continue"/>
            <w:tcBorders>
              <w:right w:val="single" w:color="auto" w:sz="4" w:space="0"/>
            </w:tcBorders>
            <w:vAlign w:val="center"/>
          </w:tcPr>
          <w:p w14:paraId="51AAD24C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14BFDD94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80" w:type="pct"/>
            <w:tcBorders>
              <w:left w:val="single" w:color="auto" w:sz="4" w:space="0"/>
            </w:tcBorders>
            <w:vAlign w:val="center"/>
          </w:tcPr>
          <w:p w14:paraId="41FD8F93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30" w:type="pct"/>
          </w:tcPr>
          <w:p w14:paraId="6A04EA8A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33" w:type="pct"/>
          </w:tcPr>
          <w:p w14:paraId="083A41C1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33" w:type="pct"/>
          </w:tcPr>
          <w:p w14:paraId="34FA5991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 w14:paraId="224805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8" w:type="pct"/>
            <w:vMerge w:val="continue"/>
            <w:tcBorders/>
          </w:tcPr>
          <w:p w14:paraId="15D0A365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5" w:type="pct"/>
            <w:vMerge w:val="continue"/>
            <w:tcBorders/>
          </w:tcPr>
          <w:p w14:paraId="445BC006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9" w:type="pct"/>
            <w:vMerge w:val="continue"/>
            <w:tcBorders>
              <w:right w:val="single" w:color="auto" w:sz="4" w:space="0"/>
            </w:tcBorders>
            <w:vAlign w:val="center"/>
          </w:tcPr>
          <w:p w14:paraId="338D275E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510C3A19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80" w:type="pct"/>
            <w:tcBorders>
              <w:left w:val="single" w:color="auto" w:sz="4" w:space="0"/>
            </w:tcBorders>
            <w:vAlign w:val="center"/>
          </w:tcPr>
          <w:p w14:paraId="39F7999B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30" w:type="pct"/>
          </w:tcPr>
          <w:p w14:paraId="5D7A4112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33" w:type="pct"/>
          </w:tcPr>
          <w:p w14:paraId="40AD13D4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33" w:type="pct"/>
          </w:tcPr>
          <w:p w14:paraId="6961B538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 w14:paraId="20B05B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8" w:type="pct"/>
            <w:vMerge w:val="continue"/>
            <w:tcBorders/>
          </w:tcPr>
          <w:p w14:paraId="418B9AE4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5" w:type="pct"/>
            <w:vMerge w:val="continue"/>
            <w:tcBorders/>
          </w:tcPr>
          <w:p w14:paraId="05F59D78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9" w:type="pct"/>
            <w:vMerge w:val="continue"/>
            <w:tcBorders>
              <w:right w:val="single" w:color="auto" w:sz="4" w:space="0"/>
            </w:tcBorders>
            <w:vAlign w:val="center"/>
          </w:tcPr>
          <w:p w14:paraId="5AFC3F5B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0010412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80" w:type="pct"/>
            <w:tcBorders>
              <w:left w:val="single" w:color="auto" w:sz="4" w:space="0"/>
            </w:tcBorders>
            <w:vAlign w:val="center"/>
          </w:tcPr>
          <w:p w14:paraId="6371598E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30" w:type="pct"/>
          </w:tcPr>
          <w:p w14:paraId="28E57F83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33" w:type="pct"/>
          </w:tcPr>
          <w:p w14:paraId="15101048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33" w:type="pct"/>
          </w:tcPr>
          <w:p w14:paraId="3F1157A9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 w14:paraId="2B56B3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397" w:hRule="atLeast"/>
          <w:jc w:val="center"/>
        </w:trPr>
        <w:tc>
          <w:tcPr>
            <w:tcW w:w="538" w:type="pct"/>
            <w:vMerge w:val="continue"/>
            <w:tcBorders/>
          </w:tcPr>
          <w:p w14:paraId="1D76F4BA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5" w:type="pct"/>
            <w:vMerge w:val="continue"/>
            <w:tcBorders/>
          </w:tcPr>
          <w:p w14:paraId="19E969CA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9" w:type="pct"/>
            <w:vMerge w:val="continue"/>
            <w:tcBorders>
              <w:right w:val="single" w:color="auto" w:sz="4" w:space="0"/>
            </w:tcBorders>
            <w:vAlign w:val="center"/>
          </w:tcPr>
          <w:p w14:paraId="51C88EBE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7B2ED5E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80" w:type="pct"/>
            <w:tcBorders>
              <w:left w:val="single" w:color="auto" w:sz="4" w:space="0"/>
            </w:tcBorders>
            <w:vAlign w:val="center"/>
          </w:tcPr>
          <w:p w14:paraId="4C1A54D2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30" w:type="pct"/>
          </w:tcPr>
          <w:p w14:paraId="787DB4D1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33" w:type="pct"/>
          </w:tcPr>
          <w:p w14:paraId="3A15A37B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33" w:type="pct"/>
          </w:tcPr>
          <w:p w14:paraId="5E74AE0D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 w14:paraId="22AACF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8" w:type="pct"/>
            <w:vMerge w:val="continue"/>
            <w:tcBorders/>
          </w:tcPr>
          <w:p w14:paraId="1C06E3D2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5" w:type="pct"/>
            <w:vMerge w:val="continue"/>
            <w:tcBorders/>
          </w:tcPr>
          <w:p w14:paraId="729C3DAB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9" w:type="pct"/>
            <w:vMerge w:val="continue"/>
            <w:tcBorders>
              <w:right w:val="single" w:color="auto" w:sz="4" w:space="0"/>
            </w:tcBorders>
            <w:vAlign w:val="center"/>
          </w:tcPr>
          <w:p w14:paraId="7C2CD436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69B12D67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80" w:type="pct"/>
            <w:tcBorders>
              <w:left w:val="single" w:color="auto" w:sz="4" w:space="0"/>
            </w:tcBorders>
            <w:vAlign w:val="center"/>
          </w:tcPr>
          <w:p w14:paraId="68CCC414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30" w:type="pct"/>
          </w:tcPr>
          <w:p w14:paraId="24D36582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33" w:type="pct"/>
          </w:tcPr>
          <w:p w14:paraId="614BF3B0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33" w:type="pct"/>
          </w:tcPr>
          <w:p w14:paraId="5D57BE8D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 w14:paraId="1FC1CB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8" w:type="pct"/>
            <w:vMerge w:val="continue"/>
            <w:tcBorders/>
          </w:tcPr>
          <w:p w14:paraId="1E327F64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5" w:type="pct"/>
            <w:vMerge w:val="continue"/>
            <w:tcBorders/>
          </w:tcPr>
          <w:p w14:paraId="7CAF9351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9" w:type="pct"/>
            <w:vMerge w:val="continue"/>
            <w:tcBorders>
              <w:right w:val="single" w:color="auto" w:sz="4" w:space="0"/>
            </w:tcBorders>
            <w:vAlign w:val="center"/>
          </w:tcPr>
          <w:p w14:paraId="290B25A7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0315AE2B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80" w:type="pct"/>
            <w:tcBorders>
              <w:left w:val="single" w:color="auto" w:sz="4" w:space="0"/>
            </w:tcBorders>
            <w:vAlign w:val="center"/>
          </w:tcPr>
          <w:p w14:paraId="02804514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30" w:type="pct"/>
          </w:tcPr>
          <w:p w14:paraId="10953940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33" w:type="pct"/>
          </w:tcPr>
          <w:p w14:paraId="54A2F99C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33" w:type="pct"/>
          </w:tcPr>
          <w:p w14:paraId="502D9924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 w14:paraId="2D8DCE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8" w:type="pct"/>
            <w:vMerge w:val="continue"/>
            <w:tcBorders/>
          </w:tcPr>
          <w:p w14:paraId="18C06192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5" w:type="pct"/>
            <w:vMerge w:val="continue"/>
            <w:tcBorders/>
          </w:tcPr>
          <w:p w14:paraId="091B354C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9" w:type="pct"/>
            <w:vMerge w:val="continue"/>
            <w:tcBorders>
              <w:right w:val="single" w:color="auto" w:sz="4" w:space="0"/>
            </w:tcBorders>
            <w:vAlign w:val="center"/>
          </w:tcPr>
          <w:p w14:paraId="754AA794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 w14:paraId="280B4E26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80" w:type="pct"/>
            <w:tcBorders>
              <w:left w:val="single" w:color="auto" w:sz="4" w:space="0"/>
            </w:tcBorders>
            <w:vAlign w:val="center"/>
          </w:tcPr>
          <w:p w14:paraId="2E7D991C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宋体" w:hAnsi="宋体" w:eastAsia="宋体" w:cs="仿宋_GB2312"/>
                <w:snapToGrid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30" w:type="pct"/>
          </w:tcPr>
          <w:p w14:paraId="0BB682AA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33" w:type="pct"/>
          </w:tcPr>
          <w:p w14:paraId="0B271878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33" w:type="pct"/>
          </w:tcPr>
          <w:p w14:paraId="640C19F0">
            <w:pPr>
              <w:keepLines w:val="0"/>
              <w:pageBreakBefore w:val="0"/>
              <w:widowControl w:val="0"/>
              <w:kinsoku/>
              <w:wordWrap w:val="0"/>
              <w:overflowPunct w:val="0"/>
              <w:autoSpaceDE/>
              <w:autoSpaceDN/>
              <w:bidi w:val="0"/>
              <w:adjustRightInd w:val="0"/>
              <w:snapToGrid w:val="0"/>
              <w:rPr>
                <w:rFonts w:ascii="仿宋_GB2312" w:hAnsi="仿宋_GB2312" w:eastAsia="仿宋_GB2312" w:cs="仿宋_GB2312"/>
                <w:snapToGrid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32A7506C">
      <w:pPr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autoSpaceDE/>
        <w:autoSpaceDN/>
        <w:bidi w:val="0"/>
        <w:adjustRightInd w:val="0"/>
        <w:snapToGrid w:val="0"/>
        <w:spacing w:before="156" w:beforeLines="50" w:line="400" w:lineRule="exact"/>
        <w:ind w:leftChars="0"/>
        <w:rPr>
          <w:rFonts w:ascii="楷体_GB2312" w:hAnsi="宋体" w:eastAsia="楷体_GB2312" w:cs="仿宋_GB2312"/>
          <w:bCs/>
          <w:snapToGrid/>
          <w:color w:val="FF0000"/>
          <w:kern w:val="0"/>
          <w:sz w:val="22"/>
          <w:szCs w:val="32"/>
          <w:highlight w:val="none"/>
        </w:rPr>
      </w:pP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</w:rPr>
        <w:t>注：</w:t>
      </w:r>
    </w:p>
    <w:p w14:paraId="1C8FADB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"/>
        </w:tabs>
        <w:kinsoku/>
        <w:wordWrap w:val="0"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Chars="0"/>
        <w:textAlignment w:val="auto"/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</w:rPr>
      </w:pP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  <w:t>1.供应商</w:t>
      </w: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</w:rPr>
        <w:t>应</w:t>
      </w: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  <w:t>按第三章3.2.2服务要求表格中序号1技术参数与性能指标中的全部内容</w:t>
      </w: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  <w:t>（除第8项）</w:t>
      </w: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</w:rPr>
        <w:t>在“</w:t>
      </w: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  <w:t>响应文件软件的参数</w:t>
      </w: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</w:rPr>
        <w:t>”栏</w:t>
      </w: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  <w:t>逐条并</w:t>
      </w: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</w:rPr>
        <w:t>如实填写</w:t>
      </w: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  <w:t>软件</w:t>
      </w: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</w:rPr>
        <w:t>的参数和性能。</w:t>
      </w:r>
    </w:p>
    <w:p w14:paraId="4FAA68A3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"/>
        </w:tabs>
        <w:kinsoku/>
        <w:wordWrap w:val="0"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Chars="0"/>
        <w:textAlignment w:val="auto"/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</w:rPr>
      </w:pP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  <w:t>2.</w:t>
      </w: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eastAsia="zh-CN"/>
        </w:rPr>
        <w:t>响应说明填写：优于、等于、低于。</w:t>
      </w:r>
    </w:p>
    <w:p w14:paraId="0F9EEE77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"/>
        </w:tabs>
        <w:kinsoku/>
        <w:wordWrap w:val="0"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Chars="0"/>
        <w:textAlignment w:val="auto"/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</w:pPr>
      <w:r>
        <w:rPr>
          <w:rFonts w:hint="eastAsia" w:ascii="楷体_GB2312" w:hAnsi="宋体" w:eastAsia="楷体_GB2312" w:cs="仿宋_GB2312"/>
          <w:snapToGrid/>
          <w:kern w:val="0"/>
          <w:sz w:val="22"/>
          <w:szCs w:val="24"/>
          <w:highlight w:val="none"/>
          <w:lang w:val="en-US" w:eastAsia="zh-CN"/>
        </w:rPr>
        <w:t>3.</w:t>
      </w:r>
      <w:r>
        <w:rPr>
          <w:rFonts w:hint="eastAsia" w:ascii="楷体_GB2312" w:hAnsi="宋体" w:eastAsia="楷体_GB2312" w:cs="仿宋_GB2312"/>
          <w:snapToGrid/>
          <w:kern w:val="0"/>
          <w:sz w:val="22"/>
          <w:szCs w:val="24"/>
          <w:highlight w:val="none"/>
        </w:rPr>
        <w:t>后附所需的</w:t>
      </w:r>
      <w:r>
        <w:rPr>
          <w:rFonts w:hint="eastAsia" w:ascii="楷体_GB2312" w:hAnsi="宋体" w:eastAsia="楷体_GB2312" w:cs="仿宋_GB2312"/>
          <w:snapToGrid/>
          <w:kern w:val="0"/>
          <w:sz w:val="22"/>
          <w:szCs w:val="24"/>
          <w:highlight w:val="none"/>
          <w:lang w:val="en-US" w:eastAsia="zh-CN"/>
        </w:rPr>
        <w:t>证明</w:t>
      </w:r>
      <w:r>
        <w:rPr>
          <w:rFonts w:hint="eastAsia" w:ascii="楷体_GB2312" w:hAnsi="宋体" w:eastAsia="楷体_GB2312" w:cs="仿宋_GB2312"/>
          <w:snapToGrid/>
          <w:kern w:val="0"/>
          <w:sz w:val="22"/>
          <w:szCs w:val="24"/>
          <w:highlight w:val="none"/>
        </w:rPr>
        <w:t>资料</w:t>
      </w:r>
      <w:r>
        <w:rPr>
          <w:rFonts w:hint="eastAsia" w:ascii="楷体_GB2312" w:hAnsi="宋体" w:eastAsia="楷体_GB2312" w:cs="仿宋_GB2312"/>
          <w:snapToGrid/>
          <w:kern w:val="0"/>
          <w:sz w:val="22"/>
          <w:szCs w:val="24"/>
          <w:highlight w:val="none"/>
          <w:lang w:eastAsia="zh-CN"/>
        </w:rPr>
        <w:t>，</w:t>
      </w: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  <w:t>并在“证明资料所在页码”栏需填写具体的页码，以便磋商小组核对。</w:t>
      </w:r>
    </w:p>
    <w:p w14:paraId="225D4408">
      <w:pP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</w:pP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  <w:t>4.本附件需编制页码上传，便于磋商小组评审。</w:t>
      </w:r>
    </w:p>
    <w:p w14:paraId="0820289A">
      <w:pPr>
        <w:rPr>
          <w:rFonts w:hint="default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</w:pPr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  <w:t>5.本表可横置填写，空间不足自</w:t>
      </w:r>
      <w:bookmarkStart w:id="0" w:name="_GoBack"/>
      <w:bookmarkEnd w:id="0"/>
      <w:r>
        <w:rPr>
          <w:rFonts w:hint="eastAsia" w:ascii="楷体_GB2312" w:hAnsi="宋体" w:eastAsia="楷体_GB2312" w:cs="仿宋_GB2312"/>
          <w:snapToGrid/>
          <w:color w:val="000000"/>
          <w:kern w:val="0"/>
          <w:sz w:val="22"/>
          <w:szCs w:val="20"/>
          <w:highlight w:val="none"/>
          <w:lang w:val="en-US" w:eastAsia="zh-CN"/>
        </w:rPr>
        <w:t>行扩展。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00F35A7E"/>
    <w:rsid w:val="109F1014"/>
    <w:rsid w:val="202D42B7"/>
    <w:rsid w:val="21414D76"/>
    <w:rsid w:val="28E279B2"/>
    <w:rsid w:val="2E815489"/>
    <w:rsid w:val="3FF9428E"/>
    <w:rsid w:val="5481728A"/>
    <w:rsid w:val="58112772"/>
    <w:rsid w:val="6DA647AF"/>
    <w:rsid w:val="70D65AF4"/>
    <w:rsid w:val="7B8A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273</Characters>
  <Lines>0</Lines>
  <Paragraphs>0</Paragraphs>
  <TotalTime>1</TotalTime>
  <ScaleCrop>false</ScaleCrop>
  <LinksUpToDate>false</LinksUpToDate>
  <CharactersWithSpaces>273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2026-06-16T01:25:19Z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