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版本号：ZJXG202605320260701001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购买国有企业退休人员社会化管理服务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ZJXG2026053</w:t>
      </w:r>
      <w:r>
        <w:br/>
      </w:r>
      <w:r>
        <w:br/>
      </w:r>
      <w:r>
        <w:br/>
      </w:r>
    </w:p>
    <w:p>
      <w:pPr>
        <w:pStyle w:val="null3"/>
        <w:jc w:val="center"/>
        <w:outlineLvl w:val="5"/>
      </w:pPr>
      <w:r>
        <w:rPr>
          <w:rFonts w:ascii="仿宋_GB2312" w:hAnsi="仿宋_GB2312" w:cs="仿宋_GB2312" w:eastAsia="仿宋_GB2312"/>
          <w:sz w:val="15"/>
          <w:b/>
        </w:rPr>
        <w:t>西安市未央区辛家庙街道办事处</w:t>
      </w:r>
    </w:p>
    <w:p>
      <w:pPr>
        <w:pStyle w:val="null3"/>
        <w:jc w:val="center"/>
        <w:outlineLvl w:val="5"/>
      </w:pPr>
      <w:r>
        <w:rPr>
          <w:rFonts w:ascii="仿宋_GB2312" w:hAnsi="仿宋_GB2312" w:cs="仿宋_GB2312" w:eastAsia="仿宋_GB2312"/>
          <w:sz w:val="15"/>
          <w:b/>
        </w:rPr>
        <w:t>陕西中鉴项目管理有限公司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陕西中鉴项目管理有限公司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西安市未央区辛家庙街道办事处</w:t>
      </w:r>
      <w:r>
        <w:rPr>
          <w:rFonts w:ascii="仿宋_GB2312" w:hAnsi="仿宋_GB2312" w:cs="仿宋_GB2312" w:eastAsia="仿宋_GB2312"/>
        </w:rPr>
        <w:t>委托，拟对</w:t>
      </w:r>
      <w:r>
        <w:rPr>
          <w:rFonts w:ascii="仿宋_GB2312" w:hAnsi="仿宋_GB2312" w:cs="仿宋_GB2312" w:eastAsia="仿宋_GB2312"/>
        </w:rPr>
        <w:t>购买国有企业退休人员社会化管理服务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ZJXG2026053</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购买国有企业退休人员社会化管理服务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购买国有企业退休人员社会化管理服务,详见采购文件</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采购包1（购买国有企业退休人员社会化管理服务）：属于专门面向中小企业采购。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1、有效的主体资格证明：具有独立承担民事责任能力的法人、其他组织或自然人，并出具合法有效的相关证明材料。供应商需在项目电子化交易系统中按要求上传相应证明文件并进行电子签章。</w:t>
      </w:r>
    </w:p>
    <w:p>
      <w:pPr>
        <w:pStyle w:val="null3"/>
      </w:pPr>
      <w:r>
        <w:rPr>
          <w:rFonts w:ascii="仿宋_GB2312" w:hAnsi="仿宋_GB2312" w:cs="仿宋_GB2312" w:eastAsia="仿宋_GB2312"/>
        </w:rPr>
        <w:t>2、财务状况报告：提供2024年度或2025年度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3、税收缴纳证明：提供2025年6月至今已缴纳的1个月的纳税证明或完税证明，依法免税的单位应提供相关证明材料。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4、社会保障资金缴纳证明：提供2025年6月至今已缴纳的1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提供具有履行合同所必需的设备和专业技术能力的承诺。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6、前三年无重大违法记录声明：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7、授权书被授权人身份证：法定代表人（负责人）参加投标的，须提供法定代表人（负责人）身份证；法定代表人（负责人）授权本单位他人参加投标的，须提供法定代表人（负责人）授权委托书。供应商需在项目电子化交易系统中按要求上传相应证明文件并进行电子签章。</w:t>
      </w:r>
    </w:p>
    <w:p>
      <w:pPr>
        <w:pStyle w:val="null3"/>
      </w:pPr>
      <w:r>
        <w:rPr>
          <w:rFonts w:ascii="仿宋_GB2312" w:hAnsi="仿宋_GB2312" w:cs="仿宋_GB2312" w:eastAsia="仿宋_GB2312"/>
        </w:rPr>
        <w:t>8、信用查询：供应商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响应文件递交截止之时）。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9、其他要求：①单位负责人为同一人或者存在直接控股、管理关系的不同供应商不得参加同一合同项下的政府采购活动。供应商需在项目电子化交易系统中按要求上传相应证明文件并进行电子签章。②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10、是否接受联合体投标：本合同包不接受联合体投标，提供非联合体投标声明。供应商需在项目电子化交易系统中按要求上传相应证明文件并进行电子签章。</w:t>
      </w:r>
    </w:p>
    <w:p>
      <w:pPr>
        <w:pStyle w:val="null3"/>
      </w:pPr>
      <w:r>
        <w:rPr>
          <w:rFonts w:ascii="仿宋_GB2312" w:hAnsi="仿宋_GB2312" w:cs="仿宋_GB2312" w:eastAsia="仿宋_GB2312"/>
        </w:rPr>
        <w:t>11、中小企业：本合同包为专门面向中小企业采购（提供中小企业声明函或监狱企业的证明文件或残疾人福利性单位声明函）。供应商需在项目电子化交易系统中按要求上传相应证明文件并进行电子签章。</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西安市未央区辛家庙街道办事处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辛家庙广安路19号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029-86457816</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陕西中鉴项目管理有限公司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陕西省西安市未央区未央路109号万象未央1号楼506室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029-88229191</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采购包1：362,124.00元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采购包1：362,124.00元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颁发的《招标代理服务收费管理暂行办法》（计价格〔2002〕1980号）和国家发展和改革委员会办公厅颁发的《关于招标代理服务收费有关问题的通知》（发改办价格〔2003〕857号）文件收费标准收取。成交单位服务费交纳信息银行户名：陕西中鉴项目管理有限公司，开户行：招商银行股份有限公司西安分行营业部 账号：129911072510777，联系电话：029-88229191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西安市未央区辛家庙街道办事处</w:t>
      </w:r>
      <w:r>
        <w:rPr>
          <w:rFonts w:ascii="仿宋_GB2312" w:hAnsi="仿宋_GB2312" w:cs="仿宋_GB2312" w:eastAsia="仿宋_GB2312"/>
        </w:rPr>
        <w:t>和</w:t>
      </w:r>
      <w:r>
        <w:rPr>
          <w:rFonts w:ascii="仿宋_GB2312" w:hAnsi="仿宋_GB2312" w:cs="仿宋_GB2312" w:eastAsia="仿宋_GB2312"/>
        </w:rPr>
        <w:t>陕西中鉴项目管理有限公司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陕西中鉴项目管理有限公司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西安市未央区辛家庙街道办事处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陕西中鉴项目管理有限公司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按照单一来源采购文件及成交供应商响应文件进行履约验收。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联系人：白工</w:t>
      </w:r>
    </w:p>
    <w:p>
      <w:pPr>
        <w:pStyle w:val="null3"/>
      </w:pPr>
      <w:r>
        <w:rPr>
          <w:rFonts w:ascii="仿宋_GB2312" w:hAnsi="仿宋_GB2312" w:cs="仿宋_GB2312" w:eastAsia="仿宋_GB2312"/>
        </w:rPr>
        <w:t>联系电话：029-88229191</w:t>
      </w:r>
    </w:p>
    <w:p>
      <w:pPr>
        <w:pStyle w:val="null3"/>
      </w:pPr>
      <w:r>
        <w:rPr>
          <w:rFonts w:ascii="仿宋_GB2312" w:hAnsi="仿宋_GB2312" w:cs="仿宋_GB2312" w:eastAsia="仿宋_GB2312"/>
        </w:rPr>
        <w:t>地址：陕西省西安市未央区未央路109号万象未央1号楼506室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购买国有企业退休人员社会化管理服务,详见采购文件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362,124.00</w:t>
      </w:r>
    </w:p>
    <w:p>
      <w:pPr>
        <w:pStyle w:val="null3"/>
      </w:pPr>
      <w:r>
        <w:rPr>
          <w:rFonts w:ascii="仿宋_GB2312" w:hAnsi="仿宋_GB2312" w:cs="仿宋_GB2312" w:eastAsia="仿宋_GB2312"/>
        </w:rPr>
        <w:t>采购包最高限价（元）: 362,124.00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购买国有企业退休人员社会化管理服务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362,124.00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标的名称：购买国有企业退休人员社会化管理服务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一、项目概况</w:t>
            </w:r>
          </w:p>
          <w:p>
            <w:pPr>
              <w:pStyle w:val="null3"/>
              <w:jc w:val="both"/>
            </w:pPr>
            <w:r>
              <w:rPr>
                <w:rFonts w:ascii="仿宋_GB2312" w:hAnsi="仿宋_GB2312" w:cs="仿宋_GB2312" w:eastAsia="仿宋_GB2312"/>
                <w:sz w:val="21"/>
              </w:rPr>
              <w:t>以</w:t>
            </w:r>
            <w:r>
              <w:rPr>
                <w:rFonts w:ascii="仿宋_GB2312" w:hAnsi="仿宋_GB2312" w:cs="仿宋_GB2312" w:eastAsia="仿宋_GB2312"/>
                <w:sz w:val="21"/>
              </w:rPr>
              <w:t>“补位”街道、社区服务职能为宗旨，通过与街道、社区进行服务有效融合，使</w:t>
            </w:r>
            <w:r>
              <w:rPr>
                <w:rFonts w:ascii="仿宋_GB2312" w:hAnsi="仿宋_GB2312" w:cs="仿宋_GB2312" w:eastAsia="仿宋_GB2312"/>
                <w:sz w:val="21"/>
              </w:rPr>
              <w:t>国有企业退休人员</w:t>
            </w:r>
            <w:r>
              <w:rPr>
                <w:rFonts w:ascii="仿宋_GB2312" w:hAnsi="仿宋_GB2312" w:cs="仿宋_GB2312" w:eastAsia="仿宋_GB2312"/>
                <w:sz w:val="21"/>
              </w:rPr>
              <w:t>社会化管理服务工作深入基层、接入地气的满足退休人员的基本需求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二、服务内容</w:t>
            </w:r>
          </w:p>
          <w:p>
            <w:pPr>
              <w:pStyle w:val="null3"/>
              <w:jc w:val="both"/>
            </w:pPr>
            <w:r>
              <w:rPr>
                <w:rFonts w:ascii="仿宋_GB2312" w:hAnsi="仿宋_GB2312" w:cs="仿宋_GB2312" w:eastAsia="仿宋_GB2312"/>
                <w:sz w:val="21"/>
              </w:rPr>
              <w:t>社会化管理服务工作的主要内容：</w:t>
            </w:r>
          </w:p>
          <w:tbl>
            <w:tblPr>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服务模块</w:t>
                  </w:r>
                </w:p>
              </w:tc>
              <w:tc>
                <w:tcPr>
                  <w:tcW w:type="dxa" w:w="85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服务项目</w:t>
                  </w:r>
                </w:p>
              </w:tc>
              <w:tc>
                <w:tcPr>
                  <w:tcW w:type="dxa" w:w="85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服务内容</w:t>
                  </w:r>
                </w:p>
              </w:tc>
            </w:tr>
            <w:tr>
              <w:tc>
                <w:tcPr>
                  <w:tcW w:type="dxa" w:w="8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综合咨询服务类业务</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（窗口服务）</w:t>
                  </w:r>
                </w:p>
              </w:tc>
              <w:tc>
                <w:tcPr>
                  <w:tcW w:type="dxa" w:w="85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档案综合利用服务</w:t>
                  </w:r>
                </w:p>
              </w:tc>
              <w:tc>
                <w:tcPr>
                  <w:tcW w:type="dxa" w:w="8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通过接入档案查询专线，为辛家庙街道办企退人员就近提供人事档案查询、复印、开具证明等服务（用于开具亲属关系证明、房产过户、落户、学历证明、党员身份证明等）。</w:t>
                  </w:r>
                </w:p>
              </w:tc>
            </w:tr>
            <w:tr>
              <w:tc>
                <w:tcPr>
                  <w:tcW w:type="dxa" w:w="851"/>
                  <w:vMerge/>
                  <w:tcBorders>
                    <w:top w:val="none" w:color="000000" w:sz="4"/>
                    <w:left w:val="singl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为辛家庙街道办企退人员就近提供撰写生平简介等服务。</w:t>
                  </w:r>
                </w:p>
              </w:tc>
            </w:tr>
            <w:tr>
              <w:tc>
                <w:tcPr>
                  <w:tcW w:type="dxa" w:w="851"/>
                  <w:vMerge/>
                  <w:tcBorders>
                    <w:top w:val="none" w:color="000000" w:sz="4"/>
                    <w:left w:val="single" w:color="000000" w:sz="4"/>
                    <w:bottom w:val="single" w:color="000000" w:sz="4"/>
                    <w:right w:val="single" w:color="000000" w:sz="4"/>
                  </w:tcBorders>
                </w:tcPr>
                <w:p/>
              </w:tc>
              <w:tc>
                <w:tcPr>
                  <w:tcW w:type="dxa" w:w="8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提供社会保险政策咨询和各项查询服务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向退休人员提供养老保险待遇（养老金发放、调整、丧葬费抚恤金、独生子女父母补助金、工龄等）享受等社保政策咨询服务。</w:t>
                  </w:r>
                </w:p>
              </w:tc>
            </w:tr>
            <w:tr>
              <w:tc>
                <w:tcPr>
                  <w:tcW w:type="dxa" w:w="851"/>
                  <w:vMerge/>
                  <w:tcBorders>
                    <w:top w:val="none" w:color="000000" w:sz="4"/>
                    <w:left w:val="singl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向退休人员提供医疗保险待遇（医保零星报销、慢性病补助、特检特治报销、异地就医、社保卡使用等）享受等社保政策咨询服务。</w:t>
                  </w:r>
                </w:p>
              </w:tc>
            </w:tr>
            <w:tr>
              <w:tc>
                <w:tcPr>
                  <w:tcW w:type="dxa" w:w="851"/>
                  <w:vMerge/>
                  <w:tcBorders>
                    <w:top w:val="none" w:color="000000" w:sz="4"/>
                    <w:left w:val="singl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向退休人员提供个人养老保险信息、待遇领取信息、医保信息、社保卡信息等查询服务。</w:t>
                  </w:r>
                </w:p>
              </w:tc>
            </w:tr>
            <w:tr>
              <w:tc>
                <w:tcPr>
                  <w:tcW w:type="dxa" w:w="851"/>
                  <w:vMerge/>
                  <w:tcBorders>
                    <w:top w:val="none" w:color="000000" w:sz="4"/>
                    <w:left w:val="singl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配合开展养老金按时足额发放服务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负责与各级养老经办机构、相关国有企业沟通，确保退休人员养老金按时足额发放（中断情况、恢复情况、多申领退费、少申领补发等），保障退休人员合法权益。</w:t>
                  </w:r>
                </w:p>
              </w:tc>
            </w:tr>
            <w:tr>
              <w:tc>
                <w:tcPr>
                  <w:tcW w:type="dxa" w:w="851"/>
                  <w:vMerge/>
                  <w:tcBorders>
                    <w:top w:val="none" w:color="000000" w:sz="4"/>
                    <w:left w:val="singl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协助办理养老金资格认证服务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跟踪了解退休人员生存状况，帮助无法正常认证人员（无智能手机、无法线上认证）开展特殊情况认证工作，做好退休人员领取养老金资格认证服务。</w:t>
                  </w:r>
                </w:p>
              </w:tc>
            </w:tr>
            <w:tr>
              <w:tc>
                <w:tcPr>
                  <w:tcW w:type="dxa" w:w="851"/>
                  <w:vMerge/>
                  <w:tcBorders>
                    <w:top w:val="none" w:color="000000" w:sz="4"/>
                    <w:left w:val="single" w:color="000000" w:sz="4"/>
                    <w:bottom w:val="single" w:color="000000" w:sz="4"/>
                    <w:right w:val="single" w:color="000000" w:sz="4"/>
                  </w:tcBorders>
                </w:tcPr>
                <w:p/>
              </w:tc>
              <w:tc>
                <w:tcPr>
                  <w:tcW w:type="dxa" w:w="8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帮助死亡退休人员家属申请丧葬费和抚恤金等服务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为死亡退休人员家属提供办理丧葬费和抚恤金相关业务流程咨询、解释服务。</w:t>
                  </w:r>
                </w:p>
              </w:tc>
            </w:tr>
            <w:tr>
              <w:tc>
                <w:tcPr>
                  <w:tcW w:type="dxa" w:w="851"/>
                  <w:vMerge/>
                  <w:tcBorders>
                    <w:top w:val="none" w:color="000000" w:sz="4"/>
                    <w:left w:val="singl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帮助死亡退休人员家属申请丧葬费和抚恤金等待遇，并告知有关国有企业。</w:t>
                  </w:r>
                </w:p>
              </w:tc>
            </w:tr>
            <w:tr>
              <w:tc>
                <w:tcPr>
                  <w:tcW w:type="dxa" w:w="851"/>
                  <w:vMerge/>
                  <w:tcBorders>
                    <w:top w:val="none" w:color="000000" w:sz="4"/>
                    <w:left w:val="singl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提供退休人员养老、医保等社保基本信息变更维护办理流程咨询、政策解释服务。</w:t>
                  </w:r>
                </w:p>
              </w:tc>
            </w:tr>
            <w:tr>
              <w:tc>
                <w:tcPr>
                  <w:tcW w:type="dxa" w:w="851"/>
                  <w:vMerge/>
                  <w:tcBorders>
                    <w:top w:val="none" w:color="000000" w:sz="4"/>
                    <w:left w:val="singl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老年人权益保护服务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统筹协调相关公共法律服务机构，为退休人员提供财产</w:t>
                  </w:r>
                  <w:r>
                    <w:rPr>
                      <w:rFonts w:ascii="仿宋_GB2312" w:hAnsi="仿宋_GB2312" w:cs="仿宋_GB2312" w:eastAsia="仿宋_GB2312"/>
                      <w:sz w:val="20"/>
                      <w:color w:val="000000"/>
                    </w:rPr>
                    <w:t>/遗嘱公证、法律援助/咨询、消费维权、化解婚姻家庭矛盾纠纷等咨询服务，依法维护退休人员合法权益。</w:t>
                  </w:r>
                </w:p>
              </w:tc>
            </w:tr>
            <w:tr>
              <w:tc>
                <w:tcPr>
                  <w:tcW w:type="dxa" w:w="851"/>
                  <w:vMerge/>
                  <w:tcBorders>
                    <w:top w:val="none" w:color="000000" w:sz="4"/>
                    <w:left w:val="singl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培训服务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为街道办及辖区内社区工作人员提供退休人员常态化移交政策、移交平台操作及服务内容等培训服务。</w:t>
                  </w:r>
                </w:p>
              </w:tc>
            </w:tr>
            <w:tr>
              <w:tc>
                <w:tcPr>
                  <w:tcW w:type="dxa" w:w="851"/>
                  <w:vMerge/>
                  <w:tcBorders>
                    <w:top w:val="none" w:color="000000" w:sz="4"/>
                    <w:left w:val="singl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实地走访服务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实地走访街道办辖区内各社区、移交企业，深入掌握社区、移交企业关于退休人员社会化移交服务存在的问题，做好协调处理服务。</w:t>
                  </w:r>
                </w:p>
              </w:tc>
            </w:tr>
            <w:tr>
              <w:tc>
                <w:tcPr>
                  <w:tcW w:type="dxa" w:w="851"/>
                  <w:vMerge/>
                  <w:tcBorders>
                    <w:top w:val="none" w:color="000000" w:sz="4"/>
                    <w:left w:val="singl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走访慰问服务</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协助、参与街道办或辖区社区在特定节日组织开展高龄、重病、孤寡、特困等特殊人员的走访慰问活动。</w:t>
                  </w:r>
                </w:p>
              </w:tc>
            </w:tr>
            <w:tr>
              <w:tc>
                <w:tcPr>
                  <w:tcW w:type="dxa" w:w="851"/>
                  <w:vMerge/>
                  <w:tcBorders>
                    <w:top w:val="none" w:color="000000" w:sz="4"/>
                    <w:left w:val="singl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宣传工作</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开展国有企业退休人员社会化政策、服务相关宣传工作。</w:t>
                  </w:r>
                </w:p>
              </w:tc>
            </w:tr>
          </w:tbl>
          <w:p>
            <w:pPr>
              <w:pStyle w:val="null3"/>
              <w:jc w:val="both"/>
            </w:pPr>
            <w:r>
              <w:rPr>
                <w:rFonts w:ascii="仿宋_GB2312" w:hAnsi="仿宋_GB2312" w:cs="仿宋_GB2312" w:eastAsia="仿宋_GB2312"/>
                <w:sz w:val="21"/>
                <w:b/>
              </w:rPr>
              <w:t>三、服务期限</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自合同签订之日起一年。</w:t>
            </w:r>
          </w:p>
          <w:p>
            <w:pPr>
              <w:pStyle w:val="null3"/>
              <w:jc w:val="both"/>
            </w:pPr>
            <w:r>
              <w:rPr>
                <w:rFonts w:ascii="仿宋_GB2312" w:hAnsi="仿宋_GB2312" w:cs="仿宋_GB2312" w:eastAsia="仿宋_GB2312"/>
                <w:sz w:val="21"/>
                <w:b/>
              </w:rPr>
              <w:t>四、款项结算</w:t>
            </w:r>
          </w:p>
          <w:p>
            <w:pPr>
              <w:pStyle w:val="null3"/>
              <w:jc w:val="both"/>
            </w:pPr>
            <w:r>
              <w:rPr>
                <w:rFonts w:ascii="仿宋_GB2312" w:hAnsi="仿宋_GB2312" w:cs="仿宋_GB2312" w:eastAsia="仿宋_GB2312"/>
                <w:sz w:val="21"/>
              </w:rPr>
              <w:t>1、 进度款，乙方工作人员正式入场办公后1个月内，甲方按照双方确定的费用向乙方支付第一笔服务费用，乙方按照实际金额向甲方开具发票，达到付款条件起30个工作日内，支付合同总金额的50.0%</w:t>
            </w:r>
          </w:p>
          <w:p>
            <w:pPr>
              <w:pStyle w:val="null3"/>
            </w:pPr>
            <w:r>
              <w:rPr>
                <w:rFonts w:ascii="仿宋_GB2312" w:hAnsi="仿宋_GB2312" w:cs="仿宋_GB2312" w:eastAsia="仿宋_GB2312"/>
                <w:sz w:val="21"/>
              </w:rPr>
              <w:t>2、 进度款，服务期满半年后，由甲方向乙方支付第二笔服务费用，乙方按照实际金额向甲方开具发票，达到付款条件起30个工作日内，支付合同总金额的30.0%</w:t>
            </w:r>
          </w:p>
          <w:p>
            <w:pPr>
              <w:pStyle w:val="null3"/>
            </w:pPr>
            <w:r>
              <w:rPr>
                <w:rFonts w:ascii="仿宋_GB2312" w:hAnsi="仿宋_GB2312" w:cs="仿宋_GB2312" w:eastAsia="仿宋_GB2312"/>
                <w:sz w:val="21"/>
              </w:rPr>
              <w:t>3、 进度款，经甲方确认乙方全年工作无重大工作失误或不发生3次以上投诉后，于一年服务期满后1个月内，由甲方一次性支付给乙方，乙方按照实际金额向甲方开具发票，达到付款条件起30个工作日内，支付合同总金额的20.0%</w:t>
            </w:r>
          </w:p>
          <w:p>
            <w:pPr>
              <w:pStyle w:val="null3"/>
              <w:jc w:val="both"/>
            </w:pPr>
            <w:r>
              <w:rPr>
                <w:rFonts w:ascii="仿宋_GB2312" w:hAnsi="仿宋_GB2312" w:cs="仿宋_GB2312" w:eastAsia="仿宋_GB2312"/>
                <w:sz w:val="21"/>
                <w:b/>
              </w:rPr>
              <w:t>五、服务范围：</w:t>
            </w:r>
            <w:r>
              <w:rPr>
                <w:rFonts w:ascii="仿宋_GB2312" w:hAnsi="仿宋_GB2312" w:cs="仿宋_GB2312" w:eastAsia="仿宋_GB2312"/>
                <w:sz w:val="21"/>
              </w:rPr>
              <w:t>购买国有企业退休人员社会化管理服务所涉及到的所有服务。</w:t>
            </w:r>
          </w:p>
          <w:p>
            <w:pPr>
              <w:pStyle w:val="null3"/>
              <w:jc w:val="both"/>
            </w:pPr>
            <w:r>
              <w:rPr>
                <w:rFonts w:ascii="仿宋_GB2312" w:hAnsi="仿宋_GB2312" w:cs="仿宋_GB2312" w:eastAsia="仿宋_GB2312"/>
                <w:sz w:val="21"/>
                <w:b/>
              </w:rPr>
              <w:t>六、服务要求：</w:t>
            </w:r>
            <w:r>
              <w:rPr>
                <w:rFonts w:ascii="仿宋_GB2312" w:hAnsi="仿宋_GB2312" w:cs="仿宋_GB2312" w:eastAsia="仿宋_GB2312"/>
                <w:sz w:val="21"/>
              </w:rPr>
              <w:t>满足采购人要求。</w:t>
            </w:r>
          </w:p>
          <w:p>
            <w:pPr>
              <w:pStyle w:val="null3"/>
              <w:jc w:val="both"/>
            </w:pPr>
            <w:r>
              <w:rPr>
                <w:rFonts w:ascii="仿宋_GB2312" w:hAnsi="仿宋_GB2312" w:cs="仿宋_GB2312" w:eastAsia="仿宋_GB2312"/>
                <w:sz w:val="21"/>
                <w:b/>
              </w:rPr>
              <w:t>七、服务标准：</w:t>
            </w:r>
            <w:r>
              <w:rPr>
                <w:rFonts w:ascii="仿宋_GB2312" w:hAnsi="仿宋_GB2312" w:cs="仿宋_GB2312" w:eastAsia="仿宋_GB2312"/>
                <w:sz w:val="21"/>
              </w:rPr>
              <w:t>符合国家及行业现行质量标准。</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满足采购人使用需求。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满足采购人使用需求。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进度款，乙方工作人员正式入场办公后1个月内，甲方按照双方确定的费用向乙方支付第一笔服务费用，乙方按照实际金额向甲方开具发票，达到付款条件起30个工作日内，支付合同总金额的50.0%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进度款，服务期满半年后，由甲方向乙方支付第二笔服务费用，乙方按照实际金额向甲方开具发票，达到付款条件起30个工作日内，支付合同总金额的30.0%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经甲方确认乙方全年工作无重大工作失误或不发生3次以上投诉后，于一年服务期满后1个月内，由甲方一次性支付给乙方，乙方按照实际金额向甲方开具发票，达到付款条件起30个工作日内，支付合同总金额的20.0%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合同在履行过程中发生的争议，由甲、乙双方当事人协商解决，协商不成的，甲、乙双方当事人均可向采购人所在地法院进行诉讼。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1.供应商所有分项报价（与最后报价比例一致）同比例下浮。 2.询问、质疑、投诉的接收和处理严格按照《中华人民共和国政府采购法》《中华人民共和国政府采购法实施条例》《政府采购质疑和投诉办法》等规定办理。供应商对采购人或代理机构的质疑答复不满意，或者采购人或代理机构未在规定期限内作出答复的，可以在答复期满后15个工作日内向同级财政部门提起投诉。 根据《陕西省财政厅关于在全省开展电子化投诉工作有关事项的通知》（陕财办采函〔2022〕15 号），政府采购供应商可登录“陕西省政府采购综合管理平台”系统进行线上投诉。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提供2025年6月至今已缴纳的1个月的纳税证明或完税证明，依法免税的单位应提供相关证明材料。此项可提供基本资格条件承诺函。供应商需在项目电子化交易系统中按要求上传相应证明文件并进行电子签章。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纳的1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授权书被授权人身份证</w:t>
            </w:r>
          </w:p>
        </w:tc>
        <w:tc>
          <w:tcPr>
            <w:tcW w:type="dxa" w:w="3322"/>
          </w:tcPr>
          <w:p>
            <w:pPr>
              <w:pStyle w:val="null3"/>
            </w:pPr>
            <w:r>
              <w:rPr>
                <w:rFonts w:ascii="仿宋_GB2312" w:hAnsi="仿宋_GB2312" w:cs="仿宋_GB2312" w:eastAsia="仿宋_GB2312"/>
              </w:rPr>
              <w:t>法定代表人（负责人）参加投标的，须提供法定代表人（负责人）身份证；法定代表人（负责人）授权本单位他人参加投标的，须提供法定代表人（负责人）授权委托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响应文件递交截止之时）。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①单位负责人为同一人或者存在直接控股、管理关系的不同供应商不得参加同一合同项下的政府采购活动。供应商需在项目电子化交易系统中按要求上传相应证明文件并进行电子签章。②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本合同包不接受联合体投标，提供非联合体投标声明。供应商需在项目电子化交易系统中按要求上传相应证明文件并进行电子签章。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本合同包为专门面向中小企业采购（提供中小企业声明函或监狱企业的证明文件或残疾人福利性单位声明函）。供应商需在项目电子化交易系统中按要求上传相应证明文件并进行电子签章。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残疾人福利性单位声明函 中小企业声明函 供应商应提交的相关资格证明材料 供应商资格证明文件.docx 监狱企业的证明文件</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至少以下三处的项目名称、项目编号、标段与本项目完全一致： （1）响应文件封面 （2）响应函 （3）法定代表人（主要负责人）委托授权书\身份证明。</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响应文件组成</w:t>
            </w:r>
          </w:p>
        </w:tc>
        <w:tc>
          <w:tcPr>
            <w:tcW w:type="dxa" w:w="3322"/>
          </w:tcPr>
          <w:p>
            <w:pPr>
              <w:pStyle w:val="null3"/>
            </w:pPr>
            <w:r>
              <w:rPr>
                <w:rFonts w:ascii="仿宋_GB2312" w:hAnsi="仿宋_GB2312" w:cs="仿宋_GB2312" w:eastAsia="仿宋_GB2312"/>
              </w:rPr>
              <w:t>响应文件应包含单一来源采购文件要求的所有内容。</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签章或盖章符合单一来源采购文件要求，且无遗漏。</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符合单一来源采购文件的要求。</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协商有效期</w:t>
            </w:r>
          </w:p>
        </w:tc>
        <w:tc>
          <w:tcPr>
            <w:tcW w:type="dxa" w:w="3322"/>
          </w:tcPr>
          <w:p>
            <w:pPr>
              <w:pStyle w:val="null3"/>
            </w:pPr>
            <w:r>
              <w:rPr>
                <w:rFonts w:ascii="仿宋_GB2312" w:hAnsi="仿宋_GB2312" w:cs="仿宋_GB2312" w:eastAsia="仿宋_GB2312"/>
              </w:rPr>
              <w:t>符合单一来源采购文件的要求。</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协商报价</w:t>
            </w:r>
          </w:p>
        </w:tc>
        <w:tc>
          <w:tcPr>
            <w:tcW w:type="dxa" w:w="3322"/>
          </w:tcPr>
          <w:p>
            <w:pPr>
              <w:pStyle w:val="null3"/>
            </w:pPr>
            <w:r>
              <w:rPr>
                <w:rFonts w:ascii="仿宋_GB2312" w:hAnsi="仿宋_GB2312" w:cs="仿宋_GB2312" w:eastAsia="仿宋_GB2312"/>
              </w:rPr>
              <w:t>同时满足以下条款： （1）货币单位符合单一来源采购文件要求 （2）报价符合唯一性要求 （3）未超出采购预算或最高限价。</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完全理解并响应单一来源采购文件合同条款的要求，且未含有采购人不能接受的附加条件。</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响应文件封面 供应商认为有必要补充说明的事项.docx 残疾人福利性单位声明函 服务方案 标的清单 供应商资格证明文件.docx 响应函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