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162BF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</w:t>
      </w:r>
    </w:p>
    <w:p w14:paraId="2B43A0E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</w:t>
      </w:r>
    </w:p>
    <w:p w14:paraId="1FE5F8C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根据《中华人民共和国政府采购法》《中华人民共和国民法典》《中华人民共和国政府采购法实施条例》等法律法规，针对陕西铁路工程职业技术学院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2026年纸质图书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SCZB2026-CS-0362-009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  <w:lang w:val="en-US" w:eastAsia="zh-CN"/>
        </w:rPr>
        <w:t>采购包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，甲方通过公开招标，选定乙方为供货单位,甲、乙双方在平等基础上协商一致，达成如下合同条款：</w:t>
      </w:r>
    </w:p>
    <w:p w14:paraId="5E9755FC">
      <w:pPr>
        <w:spacing w:line="360" w:lineRule="auto"/>
        <w:ind w:left="482" w:hanging="482" w:hanging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一、采购需求</w:t>
      </w:r>
    </w:p>
    <w:p w14:paraId="2CED828A">
      <w:pPr>
        <w:spacing w:line="360" w:lineRule="auto"/>
        <w:ind w:firstLine="424" w:firstLineChars="177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本次招标为20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26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年纸质图书采购，预算金额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万元。甲方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根据采购需求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提供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书单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，在图书选配时乙方应积极查找货源，以最大限度满足甲方需求。</w:t>
      </w:r>
    </w:p>
    <w:p w14:paraId="439547A1">
      <w:pPr>
        <w:spacing w:line="360" w:lineRule="auto"/>
        <w:ind w:left="482" w:hanging="482" w:hanging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二、采购方式</w:t>
      </w:r>
    </w:p>
    <w:p w14:paraId="725E4A1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订单采购的方式。</w:t>
      </w:r>
    </w:p>
    <w:p w14:paraId="2720C481">
      <w:pPr>
        <w:spacing w:line="360" w:lineRule="auto"/>
        <w:ind w:left="482" w:hanging="482" w:hanging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三、必采书目采购说明</w:t>
      </w:r>
    </w:p>
    <w:p w14:paraId="548B7190">
      <w:pPr>
        <w:spacing w:line="360" w:lineRule="auto"/>
        <w:ind w:firstLine="480" w:firstLineChars="200"/>
        <w:rPr>
          <w:rFonts w:ascii="仿宋" w:hAnsi="仿宋" w:eastAsia="仿宋" w:cs="宋体"/>
          <w:color w:val="auto"/>
          <w:sz w:val="24"/>
          <w:highlight w:val="none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</w:rPr>
        <w:t>1、基本要求</w:t>
      </w:r>
    </w:p>
    <w:p w14:paraId="217E022A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1）乙方与全国大多数出版机构有直接的业务往来，图书经营品种占当年全国出版图书品种的比例不低于60%，能保证涵盖我校95%以上学科所需图书的采集供应。专业类图书供货方面，乙方需提供中国铁道出版社、人民交通出版社、中国建筑工业出版社、高等教育出版社、机械工业出版社、北京交通大学出版社、西南交通大学出版社等出版社的授权合作书。</w:t>
      </w:r>
    </w:p>
    <w:p w14:paraId="7FC66923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（2）乙方所提供的图书价格是包干价，包含运费、税费、招标代理服务费、售后服务费等全部相关费用，同时涵盖图书全加工服务（加工所需材料由乙方自行提供）。</w:t>
      </w:r>
    </w:p>
    <w:p w14:paraId="5F23AF25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3）采购方式：第1包回溯图书I和第2包回溯图书II乙方应至少按照实际采购量1:2的比例向采购方提供可供选书单，所提供的书单必须比对本馆馆藏数据进行查重并组织可供选书单；书目数据要完整，应包含ISBN、书名、作者、价格、摘要、读者对象、丛编、版本、开本、页码等详细信息。第3包新书图书III和第4包新书图书Ⅳ按采购方提供的书单采购。</w:t>
      </w:r>
    </w:p>
    <w:p w14:paraId="21CF3B8B">
      <w:pPr>
        <w:spacing w:line="360" w:lineRule="auto"/>
        <w:ind w:firstLine="480" w:firstLineChars="200"/>
        <w:rPr>
          <w:rFonts w:ascii="仿宋" w:hAnsi="仿宋" w:eastAsia="仿宋" w:cs="宋体"/>
          <w:color w:val="auto"/>
          <w:sz w:val="24"/>
          <w:highlight w:val="none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宋体"/>
          <w:color w:val="auto"/>
          <w:sz w:val="24"/>
          <w:highlight w:val="none"/>
        </w:rPr>
        <w:t>、服务要求</w:t>
      </w:r>
    </w:p>
    <w:p w14:paraId="573BEDE6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（1）乙方收到甲方订单后，需及时发货（预订图书需在订单发出后30 个自然日内到馆，现采图书需在20个自然日内到馆）。订单接收后1个月内到书率需达80%，2个月内总到书率需达95%。乙方需每月向甲方反馈到书情况、停发图书清单及停发原因；若订购图书超过60个自然日仍未到馆，甲方有权取消该部分图书订单。</w:t>
      </w:r>
    </w:p>
    <w:p w14:paraId="3FD85423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2）乙方需将图书运送至甲方图书馆指定地点，随货提供图书总清单1份、每包图书清单2份；总清单需注明订单号、批次号、本批图书种数、册数、码洋，分包清单需注明该包图书的码洋、书名、书号、定价、出版社、复本等详细信息，确保满足图书验收工作要求。</w:t>
      </w:r>
    </w:p>
    <w:p w14:paraId="65723E3A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3）乙方提供的采访信息需为EXCEL和MARC数据格式，数据内容需包含书号、正副题名、丛书名、著者、出版社、版次、出版年、价格、装订形式、开本、内容提要、读者对象、适用范围、语种等标准采访字段；送书的同时，需将本批图书的编目 EXCEL 和 MARC 数据发送至甲方图书馆指定接收渠道。</w:t>
      </w:r>
    </w:p>
    <w:p w14:paraId="5D0FDAAB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（4）订购图书经甲方图书馆验收合格后办理付款手续，付款金额以实际验收合格的图书数量及金额为准。</w:t>
      </w:r>
    </w:p>
    <w:p w14:paraId="0777514D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（5）若订单采购无法满足甲方需求，乙方需配合甲方开展现场采购工作，全权负责图书现采的相关组织事宜，并承担现采过程中产生的全部费用。</w:t>
      </w:r>
    </w:p>
    <w:p w14:paraId="267720E0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6）乙方收到图书采购订单后，需在1个工作日内通过电话、电子邮件方式向甲方回执确认，核实订单内图书的预订册数及金额；以最短时间、最优方案，依据甲方提供的书目订单组织图书货源，及时向甲方通报图书组织进展，对无法采购到的图书，需详细说明具体原因。</w:t>
      </w:r>
    </w:p>
    <w:p w14:paraId="1F3683C6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（7）若部分图书实际出版价格较订单价格高出30%，或ISBN、书名等信息与采访数据不一致，乙方需及时与甲方联系确认，经甲方确认后再组织采购；否则，甲方有权拒收该部分图书。</w:t>
      </w:r>
    </w:p>
    <w:p w14:paraId="4CE3A87D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（8）乙方需及时向甲方提供全国各大出版社最新出版的图书目录信息，书目数据需完整规范，包含 ISBN、书名、作者、价格、摘要、读者对象、丛编、版本、开本、页码等详细信息；可根据甲方需求，定制提供契合本校办学特色、“双高计划”建设的专题采购书目。</w:t>
      </w:r>
    </w:p>
    <w:p w14:paraId="438C1F56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（9）第3包新书图书III和第4包新书图书Ⅳ，中国铁道出版社有限公司、人民交通出版社等指定出版社的专业图书到货率需不低于95%，合计码洋的90% 需来自甲方提供的预采书目（具体见书单目录）；若乙方未达到上述要求，甲方将在最终验收时，扣除应付金额的5%作为违约金。乙方需严格履行价格结算优惠承诺，向甲方提供合法、正规的发票，并在发票上注明图书码洋、册数、销售折扣、实洋等信息。</w:t>
      </w:r>
    </w:p>
    <w:p w14:paraId="1717989A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  <w:lang w:val="en-US" w:eastAsia="zh-CN"/>
        </w:rPr>
        <w:t>（10）乙方需积极配合、协助甲方解决图书采购过程中出现的其他相关问题。</w:t>
      </w:r>
    </w:p>
    <w:p w14:paraId="795D559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四、图书配送要求</w:t>
      </w:r>
    </w:p>
    <w:p w14:paraId="6B1DD70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1、乙方所供图书必须与甲方提供的图书采购订单相符，不得更换或搭配未订购的图书，如果出现违例，超出订单以外的图书甲方将不予以付款，由此造成的损失由乙方承担。</w:t>
      </w:r>
    </w:p>
    <w:p w14:paraId="220AD67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2、乙方如在图书品种（专业参考书）或数量上不能达到甲方的要求，甲方有权少采或不采购图书，由此造成的损失由乙方承担。</w:t>
      </w:r>
    </w:p>
    <w:p w14:paraId="16AF1E2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3、甲方若发现图书中有污损、图文不清、缺页、倒页、缺附件等质量不合格的图书，一律予以退换，不能以已加工为理由拒绝，由此造成的损失由乙方承担。</w:t>
      </w:r>
    </w:p>
    <w:p w14:paraId="622F4FF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4、乙方将采购的图书免费送货至甲方指定地点，并在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年   月  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前供书结束。甲方订单采购到书率不低于98％，90%图书的到书周期应控制在30天之内。</w:t>
      </w:r>
      <w:bookmarkStart w:id="0" w:name="_Hlk109945617"/>
    </w:p>
    <w:p w14:paraId="09C7E6A0">
      <w:pPr>
        <w:pStyle w:val="4"/>
        <w:spacing w:line="360" w:lineRule="auto"/>
        <w:rPr>
          <w:rFonts w:hint="eastAsia" w:ascii="仿宋" w:hAnsi="仿宋" w:eastAsia="仿宋" w:cs="仿宋"/>
          <w:color w:val="auto"/>
          <w:kern w:val="2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kern w:val="2"/>
          <w:szCs w:val="24"/>
          <w:highlight w:val="none"/>
        </w:rPr>
        <w:t xml:space="preserve"> 5、在甲乙双方合作过程中，由乙方发生的安全事故均由乙方承担，甲方不承担任何责任。</w:t>
      </w:r>
    </w:p>
    <w:bookmarkEnd w:id="0"/>
    <w:p w14:paraId="436E1EC2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五、合同价款及付款方式</w:t>
      </w:r>
    </w:p>
    <w:p w14:paraId="5B0930C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1、合同金额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人民币    万元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宋体"/>
          <w:color w:val="auto"/>
          <w:sz w:val="24"/>
          <w:highlight w:val="none"/>
        </w:rPr>
        <w:t>订购图书经乙方图书馆验收合格后予以付款，付款金额以实际验收图书为准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，中标折扣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其中</w:t>
      </w:r>
      <w:r>
        <w:rPr>
          <w:rFonts w:hint="eastAsia" w:ascii="仿宋" w:hAnsi="仿宋" w:eastAsia="仿宋" w:cs="宋体"/>
          <w:color w:val="auto"/>
          <w:sz w:val="24"/>
          <w:highlight w:val="none"/>
        </w:rPr>
        <w:t>包括运费、税费、售后服务费等一切费用，还应包括全加工服务（图书加工中涉及的材料由乙方提供）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3C18AD0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2、订购图书在最后一批加工完成后，由甲方组织验收。验收合格后予以付款，付款金额以实际验收图书为准。</w:t>
      </w:r>
    </w:p>
    <w:p w14:paraId="148530EF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3、乙方在验收合格后向甲方提供合法正规的发票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(增值税专票）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4"/>
          <w:highlight w:val="none"/>
        </w:rPr>
        <w:t>，并在发票上注明图书码洋、册数、折扣、实洋等项内容。甲方以图书实洋通过银行转账方式付款。如有其他特殊图书需求情况，双方协商解决。</w:t>
      </w:r>
    </w:p>
    <w:p w14:paraId="5465F329">
      <w:pPr>
        <w:spacing w:line="360" w:lineRule="auto"/>
        <w:ind w:left="482" w:hanging="482" w:hanging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六、图书加工要求</w:t>
      </w:r>
    </w:p>
    <w:p w14:paraId="6570D5C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（1）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必须能够提供印刷目录和机读目录，包含采访数据和编目MARC 数据，数据格式需严格符合《CALIS 联合目录中文图书著录细则》要求；图书标准分类以《中国图书馆分类法》为依据，且数据需适配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图书馆使用的管理系统（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需提供 MARC 数据样本，以及编目人员经CALIS或国家图书馆培训的合格证明）。同时，确保所提供的数据可正常传递、下载、导入系统，并能及时完成数据更新。</w:t>
      </w:r>
    </w:p>
    <w:p w14:paraId="51E1C7E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需按照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图书馆要求，提供全套图书加工服务，主要包括：</w:t>
      </w:r>
    </w:p>
    <w:p w14:paraId="3932CAB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① 粘贴防盗磁条：使用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指定厂商的16厘米钴基复合充销磁条，300 页以内的一般图书安放1根，精装书、300页以上的图书安放2根；磁条需贴近图书装订缝埋设，做到牢固、隐蔽、不易察觉。</w:t>
      </w:r>
    </w:p>
    <w:p w14:paraId="669E2DE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② 完成清单核对、盖馆藏章、粘贴条码和书标等加工服务。</w:t>
      </w:r>
    </w:p>
    <w:p w14:paraId="632F3E7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③ 按照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图书分类排架要求，完成所送图书的上架细排及图书定位工作。上述所有加工服务费用均包含在中标价内，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不另行支付报价外的任何费用（具体加工细节详见正式合同）。</w:t>
      </w:r>
    </w:p>
    <w:p w14:paraId="1FCA588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（3）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需建立专用的图书查重数据库，保障查重工作精准开展。</w:t>
      </w:r>
    </w:p>
    <w:p w14:paraId="328F2B17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七、乙方图书质量承诺</w:t>
      </w:r>
    </w:p>
    <w:p w14:paraId="16C0092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（1）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必须保证提供的图书为国家正规出版社的正版图书，严禁掺杂盗版及其他各类非法出版物。若经查实供应盗版、翻版图书或非法出版物，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将一律没收，并将拒付全部书款、终止合同，由此产生的所有经济损失及法律责任均由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承担。</w:t>
      </w:r>
    </w:p>
    <w:p w14:paraId="005EA25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（2）图书验收过程中，若发现因出版信息、预定信息不全导致不适合本馆收藏，或因重订、错订等原因造成的不合格图书，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需保证无条件退货。因包装、运输环节造成的图书质量问题或物资损失，由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全权负责；必要时，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需安排人员驻校开展图书加工工作，相关费用由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自行承担。</w:t>
      </w:r>
    </w:p>
    <w:p w14:paraId="11088B3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（3）对于存在开胶、散页、倒装、缺页、污损等质量问题的图书，无论是否完成加工，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必须无条件、及时进行退换处理。</w:t>
      </w:r>
    </w:p>
    <w:p w14:paraId="5F6BEF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（4）加工过程中，光盘、活页等附件不得缺失、损坏。</w:t>
      </w:r>
    </w:p>
    <w:p w14:paraId="1808FE06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八、履约及违约说明</w:t>
      </w:r>
    </w:p>
    <w:p w14:paraId="4F48CDA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1、合同期内，若乙方无法履行合同要求，甲方有权单方面终止合同。</w:t>
      </w:r>
    </w:p>
    <w:p w14:paraId="1D4E7E5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2、甲方向乙方提供的未指定出版社和书名，只指定某一学科的书目单，若乙方不能按要求配送，甲方有权终止合同，并将乙方列入甲方合作的黑名单。</w:t>
      </w:r>
    </w:p>
    <w:p w14:paraId="61A7E5A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3、附件及招投标文件均为合同组成部分，具有同等法律效力。</w:t>
      </w:r>
    </w:p>
    <w:p w14:paraId="191C627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4、乙方不得进行债权转让。</w:t>
      </w:r>
    </w:p>
    <w:p w14:paraId="37C0EDC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、本合同一式捌份，甲方持陆份，乙方持贰份，合同有效期为一年，签字盖章之日起生效。本合同如有未尽事宜, 由双方协商解决。如果协商不成，双方可以向甲方所在地人民法院提起诉讼。</w:t>
      </w:r>
    </w:p>
    <w:tbl>
      <w:tblPr>
        <w:tblStyle w:val="2"/>
        <w:tblpPr w:leftFromText="180" w:rightFromText="180" w:vertAnchor="text" w:horzAnchor="page" w:tblpX="1815" w:tblpY="38"/>
        <w:tblOverlap w:val="never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536"/>
      </w:tblGrid>
      <w:tr w14:paraId="3C30B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 w14:paraId="41F5B907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   方</w:t>
            </w:r>
          </w:p>
        </w:tc>
        <w:tc>
          <w:tcPr>
            <w:tcW w:w="4536" w:type="dxa"/>
            <w:vAlign w:val="center"/>
          </w:tcPr>
          <w:p w14:paraId="0AC82B45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乙     方</w:t>
            </w:r>
          </w:p>
        </w:tc>
      </w:tr>
      <w:tr w14:paraId="4004A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4361" w:type="dxa"/>
            <w:vAlign w:val="center"/>
          </w:tcPr>
          <w:p w14:paraId="4672BF80">
            <w:pPr>
              <w:spacing w:line="440" w:lineRule="exact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单位名称：（盖章）</w:t>
            </w:r>
          </w:p>
        </w:tc>
        <w:tc>
          <w:tcPr>
            <w:tcW w:w="4536" w:type="dxa"/>
            <w:vAlign w:val="center"/>
          </w:tcPr>
          <w:p w14:paraId="3B2971EF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成交供应商全称：（盖章）</w:t>
            </w:r>
          </w:p>
        </w:tc>
      </w:tr>
      <w:tr w14:paraId="1CFEF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4361" w:type="dxa"/>
          </w:tcPr>
          <w:p w14:paraId="0EB67590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  <w:tc>
          <w:tcPr>
            <w:tcW w:w="4536" w:type="dxa"/>
          </w:tcPr>
          <w:p w14:paraId="08C8DE26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</w:tr>
      <w:tr w14:paraId="64594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61" w:type="dxa"/>
            <w:vAlign w:val="center"/>
          </w:tcPr>
          <w:p w14:paraId="7CD13850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536" w:type="dxa"/>
            <w:vAlign w:val="center"/>
          </w:tcPr>
          <w:p w14:paraId="016A4157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</w:tr>
      <w:tr w14:paraId="5CD6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61" w:type="dxa"/>
            <w:vMerge w:val="restart"/>
            <w:vAlign w:val="center"/>
          </w:tcPr>
          <w:p w14:paraId="4FD98C38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法定代表人：（签字）</w:t>
            </w:r>
          </w:p>
        </w:tc>
        <w:tc>
          <w:tcPr>
            <w:tcW w:w="4536" w:type="dxa"/>
            <w:vAlign w:val="center"/>
          </w:tcPr>
          <w:p w14:paraId="67E52558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</w:t>
            </w:r>
          </w:p>
        </w:tc>
      </w:tr>
      <w:tr w14:paraId="40E4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61" w:type="dxa"/>
            <w:vMerge w:val="continue"/>
            <w:vAlign w:val="center"/>
          </w:tcPr>
          <w:p w14:paraId="3017707C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536" w:type="dxa"/>
            <w:vAlign w:val="center"/>
          </w:tcPr>
          <w:p w14:paraId="0E4324BC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被授权代表：（签字）</w:t>
            </w:r>
          </w:p>
        </w:tc>
      </w:tr>
      <w:tr w14:paraId="616F7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61" w:type="dxa"/>
            <w:vAlign w:val="center"/>
          </w:tcPr>
          <w:p w14:paraId="2A26A794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536" w:type="dxa"/>
            <w:vAlign w:val="center"/>
          </w:tcPr>
          <w:p w14:paraId="27F79DDA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</w:tr>
      <w:tr w14:paraId="67407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61" w:type="dxa"/>
            <w:vAlign w:val="center"/>
          </w:tcPr>
          <w:p w14:paraId="0CA0A3D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  <w:tc>
          <w:tcPr>
            <w:tcW w:w="4536" w:type="dxa"/>
            <w:vAlign w:val="center"/>
          </w:tcPr>
          <w:p w14:paraId="09BB0877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  <w:r>
              <w:rPr>
                <w:rFonts w:ascii="宋体" w:hAnsi="宋体"/>
                <w:color w:val="FF0000"/>
                <w:sz w:val="24"/>
              </w:rPr>
              <w:t xml:space="preserve"> </w:t>
            </w:r>
          </w:p>
        </w:tc>
      </w:tr>
      <w:tr w14:paraId="79E98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61" w:type="dxa"/>
            <w:vAlign w:val="center"/>
          </w:tcPr>
          <w:p w14:paraId="2E89BD6B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账号：</w:t>
            </w:r>
          </w:p>
        </w:tc>
        <w:tc>
          <w:tcPr>
            <w:tcW w:w="4536" w:type="dxa"/>
            <w:vAlign w:val="center"/>
          </w:tcPr>
          <w:p w14:paraId="75347E98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账号：</w:t>
            </w:r>
          </w:p>
        </w:tc>
      </w:tr>
      <w:tr w14:paraId="3C86A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61" w:type="dxa"/>
            <w:vAlign w:val="center"/>
          </w:tcPr>
          <w:p w14:paraId="0FE339FC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开户名称：</w:t>
            </w:r>
          </w:p>
        </w:tc>
        <w:tc>
          <w:tcPr>
            <w:tcW w:w="4536" w:type="dxa"/>
            <w:vAlign w:val="center"/>
          </w:tcPr>
          <w:p w14:paraId="1B34329E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开户名称：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 w14:paraId="2EACB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61" w:type="dxa"/>
            <w:vAlign w:val="center"/>
          </w:tcPr>
          <w:p w14:paraId="14F9F1F7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536" w:type="dxa"/>
            <w:vAlign w:val="center"/>
          </w:tcPr>
          <w:p w14:paraId="53C4598F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企业规模：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 w14:paraId="75311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61" w:type="dxa"/>
            <w:vAlign w:val="center"/>
          </w:tcPr>
          <w:p w14:paraId="32381E54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纳税人识别号：</w:t>
            </w:r>
          </w:p>
        </w:tc>
        <w:tc>
          <w:tcPr>
            <w:tcW w:w="4536" w:type="dxa"/>
            <w:vAlign w:val="center"/>
          </w:tcPr>
          <w:p w14:paraId="2DF0426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纳税人识别号：</w:t>
            </w:r>
          </w:p>
        </w:tc>
      </w:tr>
      <w:tr w14:paraId="720C8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61" w:type="dxa"/>
            <w:vAlign w:val="center"/>
          </w:tcPr>
          <w:p w14:paraId="77048267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  年   月   日</w:t>
            </w:r>
          </w:p>
        </w:tc>
        <w:tc>
          <w:tcPr>
            <w:tcW w:w="4536" w:type="dxa"/>
            <w:vAlign w:val="center"/>
          </w:tcPr>
          <w:p w14:paraId="030BAD85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   年   月   日</w:t>
            </w:r>
          </w:p>
        </w:tc>
      </w:tr>
    </w:tbl>
    <w:p w14:paraId="134B8E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11254"/>
    <w:rsid w:val="38C45226"/>
    <w:rsid w:val="7821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3345</Words>
  <Characters>3442</Characters>
  <Lines>0</Lines>
  <Paragraphs>0</Paragraphs>
  <TotalTime>0</TotalTime>
  <ScaleCrop>false</ScaleCrop>
  <LinksUpToDate>false</LinksUpToDate>
  <CharactersWithSpaces>3574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2026-06-23T06:58:00Z</dcterms:created>
  <dc:creator>叶子</dc:creator>
  <cp:lastModifiedBy>叶子</cp:lastModifiedBy>
  <dcterms:modified xsi:type="dcterms:W3CDTF">2026-06-23T07:56:16Z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81F17DEA23B340A7B2882CC4392E6E46_11</vt:lpwstr>
  </property>
  <property fmtid="{D5CDD505-2E9C-101B-9397-08002B2CF9AE}" pid="4" name="KSOTemplateDocerSaveRecord">
    <vt:lpwstr>eyJoZGlkIjoiZjE1YjQ4NWY2MWE2Y2ZiNzE4NTU1MjQ3YTY1ZWQwZjAiLCJ1c2VySWQiOiIzMjkyNDM1OTcifQ==</vt:lpwstr>
  </property>
</Properties>
</file>