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版本号：GHZC2026-07-01220260810001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陕西省公安厅交通管理总队2026年122“全国交通安全日”主题活动项目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GHZC2026-07-012</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陕西国华项目管理有限公司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陕西国华项目管理有限公司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陕西省公安厅交通管理总队2026年122“全国交通安全日”主题活动项目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GHZC2026-07-012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陕西省公安厅交通管理总队2026年122“全国交通安全日”主题活动项目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2026年122“全国交通安全日”主题活动项目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2、财务状况报告：提供2024年或2025年度经审计的财务报告（成立时间至提交投标文件截止时间不足一年的可提供成立后任意时段的资产负债表），或其基本存款账户开户银行出具的三个月内的资信证明；</w:t>
      </w:r>
    </w:p>
    <w:p>
      <w:pPr>
        <w:pStyle w:val="null3"/>
      </w:pPr>
      <w:r>
        <w:rPr>
          <w:rFonts w:ascii="仿宋_GB2312" w:hAnsi="仿宋_GB2312" w:cs="仿宋_GB2312" w:eastAsia="仿宋_GB2312"/>
        </w:rPr>
        <w:t>3、税收缴纳证明：税收缴纳证明：2026年1月以来不少于1个月依法缴纳税收的相关材料，如依法免税或不需要纳税的，则应提供相应证明材料复印件；</w:t>
      </w:r>
    </w:p>
    <w:p>
      <w:pPr>
        <w:pStyle w:val="null3"/>
      </w:pPr>
      <w:r>
        <w:rPr>
          <w:rFonts w:ascii="仿宋_GB2312" w:hAnsi="仿宋_GB2312" w:cs="仿宋_GB2312" w:eastAsia="仿宋_GB2312"/>
        </w:rPr>
        <w:t>4、社会保障资金缴纳证明：提供2026年1月以来不少于1个月的依法缴纳社会保障资金的相关材料，如依法不需要缴纳社会保障资金的，则应提供相应证明材料复印件；</w:t>
      </w:r>
    </w:p>
    <w:p>
      <w:pPr>
        <w:pStyle w:val="null3"/>
      </w:pPr>
      <w:r>
        <w:rPr>
          <w:rFonts w:ascii="仿宋_GB2312" w:hAnsi="仿宋_GB2312" w:cs="仿宋_GB2312" w:eastAsia="仿宋_GB2312"/>
        </w:rPr>
        <w:t>5、无重大违法记录声明：参加政府采购活动近3年内，在经营活动中没有重大违法记录的书面声明；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委托授权书\身份证明：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陕西省西安市未央区白桦林国际A座1901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赵仲康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029-86269925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采购包1：445,880.00元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开户名称：陕西国华项目管理有限公司</w:t>
            </w:r>
          </w:p>
          <w:p>
            <w:pPr>
              <w:pStyle w:val="null3"/>
            </w:pPr>
            <w:r>
              <w:rPr>
                <w:rFonts w:ascii="仿宋_GB2312" w:hAnsi="仿宋_GB2312" w:cs="仿宋_GB2312" w:eastAsia="仿宋_GB2312"/>
              </w:rPr>
              <w:t>开户银行：陕西秦农农村商业银行股份有限公司丈八支行</w:t>
            </w:r>
          </w:p>
          <w:p>
            <w:pPr>
              <w:pStyle w:val="null3"/>
            </w:pPr>
            <w:r>
              <w:rPr>
                <w:rFonts w:ascii="仿宋_GB2312" w:hAnsi="仿宋_GB2312" w:cs="仿宋_GB2312" w:eastAsia="仿宋_GB2312"/>
              </w:rPr>
              <w:t>银行账号：2701020201201000091385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代理服务费收费标准：代理服务费收费标准：采购包1：按照国家计委颁布的《招标代理服务收费管理暂行办法》（计价格『2002』1980号）及发改办价格『2003』857号文规定按服务类收取代理服务费。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陕西国华项目管理有限公司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联系人：赵仲康</w:t>
      </w:r>
    </w:p>
    <w:p>
      <w:pPr>
        <w:pStyle w:val="null3"/>
      </w:pPr>
      <w:r>
        <w:rPr>
          <w:rFonts w:ascii="仿宋_GB2312" w:hAnsi="仿宋_GB2312" w:cs="仿宋_GB2312" w:eastAsia="仿宋_GB2312"/>
        </w:rPr>
        <w:t>联系电话：029-86269925</w:t>
      </w:r>
    </w:p>
    <w:p>
      <w:pPr>
        <w:pStyle w:val="null3"/>
      </w:pPr>
      <w:r>
        <w:rPr>
          <w:rFonts w:ascii="仿宋_GB2312" w:hAnsi="仿宋_GB2312" w:cs="仿宋_GB2312" w:eastAsia="仿宋_GB2312"/>
        </w:rPr>
        <w:t>地址：陕西省西安市未央区白桦林国际A座1901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2026年122“全国交通安全日”主题活动项目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445,880.00</w:t>
      </w:r>
    </w:p>
    <w:p>
      <w:pPr>
        <w:pStyle w:val="null3"/>
      </w:pPr>
      <w:r>
        <w:rPr>
          <w:rFonts w:ascii="仿宋_GB2312" w:hAnsi="仿宋_GB2312" w:cs="仿宋_GB2312" w:eastAsia="仿宋_GB2312"/>
        </w:rPr>
        <w:t>采购包最高限价（元）: 445,880.00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2026年122“全国交通安全日”主题活动项目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445,880.00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标的名称：2026年122“全国交通安全日”主题活动项目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540"/>
              <w:jc w:val="both"/>
              <w:outlineLvl w:val="2"/>
            </w:pPr>
            <w:r>
              <w:rPr>
                <w:rFonts w:ascii="仿宋_GB2312" w:hAnsi="仿宋_GB2312" w:cs="仿宋_GB2312" w:eastAsia="仿宋_GB2312"/>
                <w:sz w:val="28"/>
                <w:b/>
                <w:color w:val="000000"/>
                <w:shd w:fill="FFFFFF" w:val="clear"/>
              </w:rPr>
              <w:t>第一部分：</w:t>
            </w:r>
            <w:r>
              <w:rPr>
                <w:rFonts w:ascii="仿宋_GB2312" w:hAnsi="仿宋_GB2312" w:cs="仿宋_GB2312" w:eastAsia="仿宋_GB2312"/>
                <w:sz w:val="28"/>
                <w:b/>
                <w:color w:val="000000"/>
                <w:shd w:fill="FFFFFF" w:val="clear"/>
              </w:rPr>
              <w:t>主题宣传日活动</w:t>
            </w:r>
          </w:p>
          <w:tbl>
            <w:tblPr>
              <w:tblBorders>
                <w:top w:val="none" w:color="000000" w:sz="4"/>
                <w:left w:val="none" w:color="000000" w:sz="4"/>
                <w:bottom w:val="none" w:color="000000" w:sz="4"/>
                <w:right w:val="none" w:color="000000" w:sz="4"/>
                <w:insideH w:val="none"/>
                <w:insideV w:val="none"/>
              </w:tblBorders>
            </w:tblPr>
            <w:tblGrid>
              <w:gridCol w:w="338"/>
              <w:gridCol w:w="511"/>
              <w:gridCol w:w="941"/>
              <w:gridCol w:w="399"/>
              <w:gridCol w:w="365"/>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型号及说明</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w:t>
                  </w:r>
                  <w:r>
                    <w:rPr>
                      <w:rFonts w:ascii="仿宋_GB2312" w:hAnsi="仿宋_GB2312" w:cs="仿宋_GB2312" w:eastAsia="仿宋_GB2312"/>
                      <w:sz w:val="24"/>
                      <w:b/>
                      <w:color w:val="000000"/>
                    </w:rPr>
                    <w:t>注</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签到处背景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5*3m桁架+黑白布画面厚度1m</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道旗</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5m道旗</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主持人手卡</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10*16cm200g铜版纸彩色快印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20张</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设计</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活动物料延展设计</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压线板</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0.4M*0.6M</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演讲台</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0.8M*1.4M</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长条桌</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0.8M*1.2M</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20张</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椅子</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靠背塑料椅</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40把</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显示屏</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LED显示屏 15x5m弧形搭建</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75平米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大屏背架</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雷亚架</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水箱配重</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舞台区配重</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舞台</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地面搭建</w:t>
                  </w:r>
                  <w:r>
                    <w:rPr>
                      <w:rFonts w:ascii="仿宋_GB2312" w:hAnsi="仿宋_GB2312" w:cs="仿宋_GB2312" w:eastAsia="仿宋_GB2312"/>
                      <w:sz w:val="24"/>
                    </w:rPr>
                    <w:t>20*8M</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160平方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踏步</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jc w:val="both"/>
                  </w:pPr>
                  <w:r>
                    <w:rPr>
                      <w:rFonts w:ascii="仿宋_GB2312" w:hAnsi="仿宋_GB2312" w:cs="仿宋_GB2312" w:eastAsia="仿宋_GB2312"/>
                      <w:sz w:val="24"/>
                    </w:rPr>
                    <w:t>/</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舞台地毯</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jc w:val="both"/>
                  </w:pPr>
                  <w:r>
                    <w:rPr>
                      <w:rFonts w:ascii="仿宋_GB2312" w:hAnsi="仿宋_GB2312" w:cs="仿宋_GB2312" w:eastAsia="仿宋_GB2312"/>
                      <w:sz w:val="24"/>
                    </w:rPr>
                    <w:t>21*9M</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189平方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控屏师</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专业控屏师</w:t>
                  </w:r>
                  <w:r>
                    <w:rPr>
                      <w:rFonts w:ascii="仿宋_GB2312" w:hAnsi="仿宋_GB2312" w:cs="仿宋_GB2312" w:eastAsia="仿宋_GB2312"/>
                      <w:sz w:val="24"/>
                    </w:rPr>
                    <w:t>*2天（含彩排）</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服务台</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Hirender S3服务器</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线阵主扩全频音箱</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r>
                    <w:rPr>
                      <w:rFonts w:ascii="仿宋_GB2312" w:hAnsi="仿宋_GB2312" w:cs="仿宋_GB2312" w:eastAsia="仿宋_GB2312"/>
                      <w:sz w:val="24"/>
                    </w:rPr>
                    <w:t>LF 额定 800W AES，音乐功率 1600W，峰值 3200W；高音 160–200W</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低频音箱</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功率：单只额定</w:t>
                  </w:r>
                  <w:r>
                    <w:rPr>
                      <w:rFonts w:ascii="仿宋_GB2312" w:hAnsi="仿宋_GB2312" w:cs="仿宋_GB2312" w:eastAsia="仿宋_GB2312"/>
                      <w:sz w:val="24"/>
                    </w:rPr>
                    <w:t>1000W AES，峰值 4000W，阻抗 8Ω</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超低音箱</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单只</w:t>
                  </w:r>
                  <w:r>
                    <w:rPr>
                      <w:rFonts w:ascii="仿宋_GB2312" w:hAnsi="仿宋_GB2312" w:cs="仿宋_GB2312" w:eastAsia="仿宋_GB2312"/>
                      <w:sz w:val="24"/>
                    </w:rPr>
                    <w:t>AES 额定：1200W，峰值 4800W</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返听音箱</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功率：</w:t>
                  </w:r>
                  <w:r>
                    <w:rPr>
                      <w:rFonts w:ascii="仿宋_GB2312" w:hAnsi="仿宋_GB2312" w:cs="仿宋_GB2312" w:eastAsia="仿宋_GB2312"/>
                      <w:sz w:val="24"/>
                    </w:rPr>
                    <w:t>AES 额定 400W，峰值 1600W</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无线手持话筒</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头戴麦</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信号放大器</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立体声双声道模式（</w:t>
                  </w:r>
                  <w:r>
                    <w:rPr>
                      <w:rFonts w:ascii="仿宋_GB2312" w:hAnsi="仿宋_GB2312" w:cs="仿宋_GB2312" w:eastAsia="仿宋_GB2312"/>
                      <w:sz w:val="24"/>
                    </w:rPr>
                    <w:t>THD＜0.05%）</w:t>
                  </w:r>
                </w:p>
                <w:p>
                  <w:pPr>
                    <w:pStyle w:val="null3"/>
                    <w:jc w:val="center"/>
                  </w:pPr>
                  <w:r>
                    <w:rPr>
                      <w:rFonts w:ascii="仿宋_GB2312" w:hAnsi="仿宋_GB2312" w:cs="仿宋_GB2312" w:eastAsia="仿宋_GB2312"/>
                      <w:sz w:val="24"/>
                    </w:rPr>
                    <w:t>8Ω：2×1500W</w:t>
                  </w:r>
                </w:p>
                <w:p>
                  <w:pPr>
                    <w:pStyle w:val="null3"/>
                    <w:jc w:val="center"/>
                  </w:pPr>
                  <w:r>
                    <w:rPr>
                      <w:rFonts w:ascii="仿宋_GB2312" w:hAnsi="仿宋_GB2312" w:cs="仿宋_GB2312" w:eastAsia="仿宋_GB2312"/>
                      <w:sz w:val="24"/>
                    </w:rPr>
                    <w:t>4Ω：2×2250W</w:t>
                  </w:r>
                </w:p>
                <w:p>
                  <w:pPr>
                    <w:pStyle w:val="null3"/>
                    <w:jc w:val="center"/>
                  </w:pPr>
                  <w:r>
                    <w:rPr>
                      <w:rFonts w:ascii="仿宋_GB2312" w:hAnsi="仿宋_GB2312" w:cs="仿宋_GB2312" w:eastAsia="仿宋_GB2312"/>
                      <w:sz w:val="24"/>
                    </w:rPr>
                    <w:t>2Ω：2×2950W 单声道桥接模式</w:t>
                  </w:r>
                </w:p>
                <w:p>
                  <w:pPr>
                    <w:pStyle w:val="null3"/>
                    <w:jc w:val="center"/>
                  </w:pPr>
                  <w:r>
                    <w:rPr>
                      <w:rFonts w:ascii="仿宋_GB2312" w:hAnsi="仿宋_GB2312" w:cs="仿宋_GB2312" w:eastAsia="仿宋_GB2312"/>
                      <w:sz w:val="24"/>
                    </w:rPr>
                    <w:t>8Ω 桥接：4000W</w:t>
                  </w:r>
                </w:p>
                <w:p>
                  <w:pPr>
                    <w:pStyle w:val="null3"/>
                    <w:jc w:val="center"/>
                  </w:pPr>
                  <w:r>
                    <w:rPr>
                      <w:rFonts w:ascii="仿宋_GB2312" w:hAnsi="仿宋_GB2312" w:cs="仿宋_GB2312" w:eastAsia="仿宋_GB2312"/>
                      <w:sz w:val="24"/>
                    </w:rPr>
                    <w:t>2Ω 桥接：5200W</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调音台</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M32调音台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音控师</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专业音控师</w:t>
                  </w:r>
                  <w:r>
                    <w:rPr>
                      <w:rFonts w:ascii="仿宋_GB2312" w:hAnsi="仿宋_GB2312" w:cs="仿宋_GB2312" w:eastAsia="仿宋_GB2312"/>
                      <w:sz w:val="24"/>
                    </w:rPr>
                    <w:t>+助理*2天（含彩排）</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人员搭建</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执行及搭建人工（含搭建及撤场）</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运输</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物料运输</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礼仪</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礼仪人员</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歌舞节目</w:t>
                  </w:r>
                  <w:r>
                    <w:rPr>
                      <w:rFonts w:ascii="仿宋_GB2312" w:hAnsi="仿宋_GB2312" w:cs="仿宋_GB2312" w:eastAsia="仿宋_GB2312"/>
                      <w:sz w:val="24"/>
                    </w:rPr>
                    <w:t>1个</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歌手</w:t>
                  </w:r>
                  <w:r>
                    <w:rPr>
                      <w:rFonts w:ascii="仿宋_GB2312" w:hAnsi="仿宋_GB2312" w:cs="仿宋_GB2312" w:eastAsia="仿宋_GB2312"/>
                      <w:sz w:val="24"/>
                    </w:rPr>
                    <w:t>1名+舞蹈演员6名</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独唱节目</w:t>
                  </w:r>
                  <w:r>
                    <w:rPr>
                      <w:rFonts w:ascii="仿宋_GB2312" w:hAnsi="仿宋_GB2312" w:cs="仿宋_GB2312" w:eastAsia="仿宋_GB2312"/>
                      <w:sz w:val="24"/>
                    </w:rPr>
                    <w:t>1个</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歌手</w:t>
                  </w:r>
                  <w:r>
                    <w:rPr>
                      <w:rFonts w:ascii="仿宋_GB2312" w:hAnsi="仿宋_GB2312" w:cs="仿宋_GB2312" w:eastAsia="仿宋_GB2312"/>
                      <w:sz w:val="24"/>
                    </w:rPr>
                    <w:t>1名</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快板节目一个</w:t>
                  </w: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快板演员</w:t>
                  </w:r>
                  <w:r>
                    <w:rPr>
                      <w:rFonts w:ascii="仿宋_GB2312" w:hAnsi="仿宋_GB2312" w:cs="仿宋_GB2312" w:eastAsia="仿宋_GB2312"/>
                      <w:sz w:val="24"/>
                    </w:rPr>
                    <w:t>3名</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outlineLvl w:val="2"/>
            </w:pPr>
            <w:r>
              <w:rPr>
                <w:rFonts w:ascii="仿宋_GB2312" w:hAnsi="仿宋_GB2312" w:cs="仿宋_GB2312" w:eastAsia="仿宋_GB2312"/>
                <w:sz w:val="28"/>
                <w:b/>
                <w:color w:val="000000"/>
                <w:shd w:fill="FFFFFF" w:val="clear"/>
              </w:rPr>
              <w:t>第二部分：</w:t>
            </w:r>
            <w:r>
              <w:rPr>
                <w:rFonts w:ascii="仿宋_GB2312" w:hAnsi="仿宋_GB2312" w:cs="仿宋_GB2312" w:eastAsia="仿宋_GB2312"/>
                <w:sz w:val="28"/>
                <w:b/>
                <w:color w:val="000000"/>
                <w:shd w:fill="FFFFFF" w:val="clear"/>
              </w:rPr>
              <w:t>进农村宣传活动</w:t>
            </w:r>
            <w:r>
              <w:rPr>
                <w:rFonts w:ascii="仿宋_GB2312" w:hAnsi="仿宋_GB2312" w:cs="仿宋_GB2312" w:eastAsia="仿宋_GB2312"/>
                <w:sz w:val="28"/>
                <w:b/>
                <w:color w:val="000000"/>
                <w:shd w:fill="FFFFFF" w:val="clear"/>
              </w:rPr>
              <w:t>（</w:t>
            </w:r>
            <w:r>
              <w:rPr>
                <w:rFonts w:ascii="仿宋_GB2312" w:hAnsi="仿宋_GB2312" w:cs="仿宋_GB2312" w:eastAsia="仿宋_GB2312"/>
                <w:sz w:val="28"/>
                <w:b/>
                <w:color w:val="000000"/>
                <w:shd w:fill="FFFFFF" w:val="clear"/>
              </w:rPr>
              <w:t>11市</w:t>
            </w:r>
            <w:r>
              <w:rPr>
                <w:rFonts w:ascii="仿宋_GB2312" w:hAnsi="仿宋_GB2312" w:cs="仿宋_GB2312" w:eastAsia="仿宋_GB2312"/>
                <w:sz w:val="28"/>
                <w:b/>
                <w:color w:val="000000"/>
                <w:shd w:fill="FFFFFF" w:val="clear"/>
              </w:rPr>
              <w:t>区</w:t>
            </w:r>
            <w:r>
              <w:rPr>
                <w:rFonts w:ascii="仿宋_GB2312" w:hAnsi="仿宋_GB2312" w:cs="仿宋_GB2312" w:eastAsia="仿宋_GB2312"/>
                <w:sz w:val="28"/>
                <w:b/>
                <w:color w:val="000000"/>
                <w:shd w:fill="FFFFFF" w:val="clear"/>
              </w:rPr>
              <w:t>，</w:t>
            </w:r>
            <w:r>
              <w:rPr>
                <w:rFonts w:ascii="仿宋_GB2312" w:hAnsi="仿宋_GB2312" w:cs="仿宋_GB2312" w:eastAsia="仿宋_GB2312"/>
                <w:sz w:val="28"/>
                <w:b/>
                <w:color w:val="000000"/>
                <w:shd w:fill="FFFFFF" w:val="clear"/>
              </w:rPr>
              <w:t>22场）</w:t>
            </w:r>
          </w:p>
          <w:tbl>
            <w:tblPr>
              <w:tblInd w:type="dxa" w:w="135"/>
              <w:tblBorders>
                <w:top w:val="none" w:color="000000" w:sz="4"/>
                <w:left w:val="none" w:color="000000" w:sz="4"/>
                <w:bottom w:val="none" w:color="000000" w:sz="4"/>
                <w:right w:val="none" w:color="000000" w:sz="4"/>
                <w:insideH w:val="none"/>
                <w:insideV w:val="none"/>
              </w:tblBorders>
            </w:tblPr>
            <w:tblGrid>
              <w:gridCol w:w="287"/>
              <w:gridCol w:w="415"/>
              <w:gridCol w:w="769"/>
              <w:gridCol w:w="271"/>
              <w:gridCol w:w="387"/>
              <w:gridCol w:w="409"/>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费用分项名称</w:t>
                  </w:r>
                </w:p>
              </w:tc>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型号及说明</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场次</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w:t>
                  </w:r>
                  <w:r>
                    <w:rPr>
                      <w:rFonts w:ascii="仿宋_GB2312" w:hAnsi="仿宋_GB2312" w:cs="仿宋_GB2312" w:eastAsia="仿宋_GB2312"/>
                      <w:sz w:val="24"/>
                      <w:b/>
                      <w:color w:val="000000"/>
                    </w:rPr>
                    <w:t>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3</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控屏师</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专业控屏师</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1人</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4</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音响</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专业演艺双</w:t>
                  </w:r>
                  <w:r>
                    <w:rPr>
                      <w:rFonts w:ascii="仿宋_GB2312" w:hAnsi="仿宋_GB2312" w:cs="仿宋_GB2312" w:eastAsia="仿宋_GB2312"/>
                      <w:sz w:val="24"/>
                    </w:rPr>
                    <w:t>15</w:t>
                  </w:r>
                </w:p>
                <w:p>
                  <w:pPr>
                    <w:pStyle w:val="null3"/>
                    <w:jc w:val="both"/>
                  </w:pPr>
                  <w:r>
                    <w:rPr>
                      <w:rFonts w:ascii="仿宋_GB2312" w:hAnsi="仿宋_GB2312" w:cs="仿宋_GB2312" w:eastAsia="仿宋_GB2312"/>
                      <w:sz w:val="24"/>
                    </w:rPr>
                    <w:t>低音</w:t>
                  </w:r>
                  <w:r>
                    <w:rPr>
                      <w:rFonts w:ascii="仿宋_GB2312" w:hAnsi="仿宋_GB2312" w:cs="仿宋_GB2312" w:eastAsia="仿宋_GB2312"/>
                      <w:sz w:val="24"/>
                    </w:rPr>
                    <w:t>220磁 50赫兹  高音100蕊 2000赫兹</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5</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功放</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英伦</w:t>
                  </w:r>
                  <w:r>
                    <w:rPr>
                      <w:rFonts w:ascii="仿宋_GB2312" w:hAnsi="仿宋_GB2312" w:cs="仿宋_GB2312" w:eastAsia="仿宋_GB2312"/>
                      <w:sz w:val="24"/>
                    </w:rPr>
                    <w:t>2000W*2</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6</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调音台</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8路模拟调音台</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7</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线材</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屏蔽线材</w:t>
                  </w:r>
                  <w:r>
                    <w:rPr>
                      <w:rFonts w:ascii="仿宋_GB2312" w:hAnsi="仿宋_GB2312" w:cs="仿宋_GB2312" w:eastAsia="仿宋_GB2312"/>
                      <w:sz w:val="24"/>
                    </w:rPr>
                    <w:t>1.5MM</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1批次</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8</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手持麦</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6支</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9</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技术及服务人员</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安装搬运</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2人</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0</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道旗</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5m道旗</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6套</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1</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歌曲节目</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歌手</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（含差旅、食宿）</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2</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传统曲艺</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戏腔演员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（含差旅、食宿）</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3</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快板</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曲艺快板演员</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（含差旅、食宿）</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4</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主持人</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1名</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22场</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（含差旅、食宿）</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5</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rFonts w:ascii="仿宋_GB2312" w:hAnsi="仿宋_GB2312" w:cs="仿宋_GB2312" w:eastAsia="仿宋_GB2312"/>
                      <w:sz w:val="24"/>
                      <w:color w:val="332C2B"/>
                    </w:rPr>
                    <w:t>交警小熊</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毛绒</w:t>
                  </w:r>
                  <w:r>
                    <w:rPr>
                      <w:rFonts w:ascii="仿宋_GB2312" w:hAnsi="仿宋_GB2312" w:cs="仿宋_GB2312" w:eastAsia="仿宋_GB2312"/>
                      <w:sz w:val="24"/>
                    </w:rPr>
                    <w:t>28CM</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332C2B"/>
                    </w:rPr>
                    <w:t>234个</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6</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交通安全提示厨房围裙</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厨房围裙</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1000个</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7</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交通安全提示帆布袋</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帆布</w:t>
                  </w:r>
                  <w:r>
                    <w:rPr>
                      <w:rFonts w:ascii="仿宋_GB2312" w:hAnsi="仿宋_GB2312" w:cs="仿宋_GB2312" w:eastAsia="仿宋_GB2312"/>
                      <w:sz w:val="24"/>
                    </w:rPr>
                    <w:t>33*24*12CM</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1116个</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满足本项目所有要求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满足本项目所有要求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自合同签订之日起至2026年12月30日止（含策划、创作、排练、活动执行、资料归档等全部工作）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1、验收依据：合同文本、合同附件、招标文件、投标文件。2、服务期内的过程资料。3、国内响应的标准、规范。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进度款，项目验收合格后，达到付款条件起15个工作日内，支付合同总金额的20.0%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2、乙方履约延误 2-1、如乙方事先未征得甲方同意并得到甲方的谅解而单方面延迟执行合同，将按违约终止合同。 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 3、违约终止合同：未按合同要求提供服务或不能满足技术要求，甲方会同监督机构有权终止合同，并按照合同总额30%向乙方主张违约金，违约金不足以弥补甲方损失的，乙方还应予以补足，同时甲方有权按政府采购法的有关规定对其进行相应的处罚。 4、双方在合同履行过程中产生争议的，首先应友好协商解决。协商不成的，双方均有权向西安仲裁委员会申请仲裁。</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要求：符合国家及行业有关现行规范、标准的要求，（2）投标人需要在线提交所有通过电子化交易平台实施的政府采购项目的响应文件，同时，线下提交响应文件正本壹份、副本贰套、电子版壹套（U盘一套标明供应商名称）。 线下纸质文件递交截止时间：同在线递交电子响应文件截止时间一致；线下纸质文件递交地点：陕西省西安市未央区白桦林国际A座1901。 （3）根据《陕西省财政厅关于进一步优化政府采购营商环境有关事项的通知》（陕财办采〔2023〕4号）规定，采购人应在成交通知书发出之日起25日与成交供应商签订采购合同，因采购系统文件编制有所限制，文件前后不一致以此处为准。（4）投标保证金退还： A．未中标供应商：自中标通知书发出之日起5个工作日内退还未中标供应商的投标保证金，无需亲自前来办理； B.中标供应商：自采购合同签订之日起5个工作日内退还中标供应商的投标保证金。（须携带或邮寄合同原件或合同复印件（加盖单位鲜章）各一份，同时将合同扫描件发送至联系人邮箱），但因中标供应商自身原因导致无法及时退还的除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投标人资格证明文件.docx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提供2024年或2025年度经审计的财务报告（成立时间至提交投标文件截止时间不足一年的可提供成立后任意时段的资产负债表），或其基本存款账户开户银行出具的三个月内的资信证明；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税收缴纳证明：2026年1月以来不少于1个月依法缴纳税收的相关材料，如依法免税或不需要纳税的，则应提供相应证明材料复印件；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提供2026年1月以来不少于1个月的依法缴纳社会保障资金的相关材料，如依法不需要缴纳社会保障资金的，则应提供相应证明材料复印件；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商务条款响应说明.docx 技术指标偏差表.docx 投标函 残疾人福利性单位声明函 标的清单 投标人资格证明文件.docx 投标文件封面 投标人承诺书.docx 服务方案.docx 监狱企业的证明文件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法人授权委托书及被授权人身份证（法人参与投标的，需提供法定代表人身份证及法定代表人身份证明书）合格有效</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总价报价未超过采购预算，且无选择性报价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投标文件的签署、加盖印章是否合格、有效</w:t>
            </w:r>
          </w:p>
        </w:tc>
        <w:tc>
          <w:tcPr>
            <w:tcW w:type="dxa" w:w="1661"/>
          </w:tcPr>
          <w:p>
            <w:pPr>
              <w:pStyle w:val="null3"/>
            </w:pPr>
            <w:r>
              <w:rPr>
                <w:rFonts w:ascii="仿宋_GB2312" w:hAnsi="仿宋_GB2312" w:cs="仿宋_GB2312" w:eastAsia="仿宋_GB2312"/>
              </w:rPr>
              <w:t>开标一览表 中小企业声明函 商务条款响应说明.docx 技术指标偏差表.docx 投标函 残疾人福利性单位声明函 标的清单 投标人资格证明文件.docx 投标文件封面 投标人承诺书.docx 服务方案.docx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技术及商务条款的响应符合招标文件要求</w:t>
            </w:r>
          </w:p>
        </w:tc>
        <w:tc>
          <w:tcPr>
            <w:tcW w:type="dxa" w:w="1661"/>
          </w:tcPr>
          <w:p>
            <w:pPr>
              <w:pStyle w:val="null3"/>
            </w:pPr>
            <w:r>
              <w:rPr>
                <w:rFonts w:ascii="仿宋_GB2312" w:hAnsi="仿宋_GB2312" w:cs="仿宋_GB2312" w:eastAsia="仿宋_GB2312"/>
              </w:rPr>
              <w:t>商务条款响应说明.docx 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完全理解并接受法律法规和招标文件对供应商合法经营的各类规约和责任义务要求，未出现法律、法规或招标文件规定的其他无效情形的。</w:t>
            </w:r>
          </w:p>
        </w:tc>
        <w:tc>
          <w:tcPr>
            <w:tcW w:type="dxa" w:w="1661"/>
          </w:tcPr>
          <w:p>
            <w:pPr>
              <w:pStyle w:val="null3"/>
            </w:pPr>
            <w:r>
              <w:rPr>
                <w:rFonts w:ascii="仿宋_GB2312" w:hAnsi="仿宋_GB2312" w:cs="仿宋_GB2312" w:eastAsia="仿宋_GB2312"/>
              </w:rPr>
              <w:t>开标一览表 中小企业声明函 商务条款响应说明.docx 技术指标偏差表.docx 投标函 残疾人福利性单位声明函 标的清单 投标人资格证明文件.docx 投标文件封面 投标人承诺书.docx 服务方案.docx 监狱企业的证明文件 投标保证金.docx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对本项目的理解 A.对活动内容、采购需求、目标要求认识全面、理解深刻到位，完全符合项目需求，得4分； B.对活动内容、采购需求、目标要求有一定认识和理解，基本符 合项目需求，得3分；C.对活动内容、采购需求有一定认识和理解，针对性不强，得2分 ； D.对本项目相关要求的认识、理解不深入，有偏差，得1分； E.其他或未提供不得分 。</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活动组织方案</w:t>
            </w:r>
          </w:p>
        </w:tc>
        <w:tc>
          <w:tcPr>
            <w:tcW w:type="dxa" w:w="2492"/>
          </w:tcPr>
          <w:p>
            <w:pPr>
              <w:pStyle w:val="null3"/>
            </w:pPr>
            <w:r>
              <w:rPr>
                <w:rFonts w:ascii="仿宋_GB2312" w:hAnsi="仿宋_GB2312" w:cs="仿宋_GB2312" w:eastAsia="仿宋_GB2312"/>
              </w:rPr>
              <w:t>活动组织方案 包括但不限于活动策划与执行、活动各阶段的组织协调工作、其他采购人需要的事务性工作等。A.方案内容完善，规范性、针对性及可行性强，得4分；B.方案 内容完善，有一定的针对性、可行性，得3分；C.方案内容一般，针对性不强，得2分；D.方案内容简单笼统，缺乏针对性，得1分；E.其他或未提供不得分。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场地规划及会场布置</w:t>
            </w:r>
          </w:p>
        </w:tc>
        <w:tc>
          <w:tcPr>
            <w:tcW w:type="dxa" w:w="2492"/>
          </w:tcPr>
          <w:p>
            <w:pPr>
              <w:pStyle w:val="null3"/>
            </w:pPr>
            <w:r>
              <w:rPr>
                <w:rFonts w:ascii="仿宋_GB2312" w:hAnsi="仿宋_GB2312" w:cs="仿宋_GB2312" w:eastAsia="仿宋_GB2312"/>
              </w:rPr>
              <w:t>场地规划及会场布置 A.活动空间充足，场地规划合理，会场布置氛围贴合活动主题，得4分； B.活动空间紧张，场地规划基本合理，会场布置氛围普遍通用，得2分； C.活动 空间小，场地规划不明确，会场布置简单，得1分； D.其他或未提供不得分。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根据完成本项目须提供的相关物品明确投入计划。 A.材料设备配备齐全，质量可靠，充分满足服务需求，有备品备件，得4 分； B.材料设备配备基本齐全，质量基本可靠，满足服务需求，得2分； C.材料设备配 备紧张，基本满足服务需求，得1分。 D.其他或未提供不得分。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舞美及物料设计方案</w:t>
            </w:r>
          </w:p>
        </w:tc>
        <w:tc>
          <w:tcPr>
            <w:tcW w:type="dxa" w:w="2492"/>
          </w:tcPr>
          <w:p>
            <w:pPr>
              <w:pStyle w:val="null3"/>
            </w:pPr>
            <w:r>
              <w:rPr>
                <w:rFonts w:ascii="仿宋_GB2312" w:hAnsi="仿宋_GB2312" w:cs="仿宋_GB2312" w:eastAsia="仿宋_GB2312"/>
              </w:rPr>
              <w:t>根据服务内容及要求，提供活动平面设计、舞美设计、电子邀请函设计、及相关物料等 设计方案。 A.方案内容完善，设计新颖独特，针对性及可行性强，得4分； B.方案内容 一般，设计有一定创意，有一定的针对性及可行性，得2分； C.方案内容简单笼统，设 计普通，缺乏针对性，得1分； D.其他或未提供不得分。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活动宣发</w:t>
            </w:r>
          </w:p>
        </w:tc>
        <w:tc>
          <w:tcPr>
            <w:tcW w:type="dxa" w:w="2492"/>
          </w:tcPr>
          <w:p>
            <w:pPr>
              <w:pStyle w:val="null3"/>
            </w:pPr>
            <w:r>
              <w:rPr>
                <w:rFonts w:ascii="仿宋_GB2312" w:hAnsi="仿宋_GB2312" w:cs="仿宋_GB2312" w:eastAsia="仿宋_GB2312"/>
              </w:rPr>
              <w:t>活动宣发 A.宣发方案内容完善，媒体属性局限性小，信息承载力强，新闻发布资质证明材料齐全，采编能力强且具有针对性，得4分； B.宣发方案内容较完善，媒体属性局限 性较小，信息承载力较强，新闻发布资质证明材料较齐全，采编能力具有针对性，得2分； C.宣发方案内容简单笼统，缺乏层次，无新闻发布资质证明材料，得1分； D.其他 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服务团队 A.人员配备完善充足、岗位设置齐全、分工明确、管理方案详细，得4分； B .人员配备、岗位设置、分工及管理方案简单笼统，得2分； C.人员配备不充足，岗位设 置及分工简单、无针对性，管理方案不健全，得1分； D.其他或未提供不得分。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安全保障方案：针对本项目具体情况，供应商提供可靠的安全保障方案（包括但不限于 活动现场治安、消防、观众进退场等）。 A.方案内容完善，措施针对性、合理性、可行 性强，得4分； B.方案内容较完善，措施针对性、合理性、可行性较强，得3分； C.方 案内容基本完善，措施有一定的合理性、可行性，得2分； D.方案内容简单笼统，措施 缺乏针对性，得1分； E.其他或未提供不得分。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制定合理、可行的各种突发情况（包含现场秩序调节、活动效果调动、停电、断网、所 提供的设备及材料出现质量问题等）的应急预案。 A.应急预案内容完善，应对措施全面 、可行性强、考虑充分，能够确保活动顺利开展，得4分； B.应急预案内容基本完善， 应对措施的可行性较强，考虑得当，基本能够确保活动顺利开展，得2分； C.应急预案 内容基本完善，应对措施有一定可行性，考虑不足，得1分； D.其他或未提供不得分。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提供针对本项目的服务质量保证方案（包括：健全的质量控制体系、针对本项目的质量 把控方案、质量保证措施，并有质量目标无法实现时的认罚承诺等）。 A.方案内容全面 、可行、针对性强。得4分； B.方案内容较全面、可行，有一定的针对性。得2分； C. 方案内容简单笼统或不全面，无针对性。得1分； D.其他或未提供不得分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团队规模</w:t>
            </w:r>
          </w:p>
        </w:tc>
        <w:tc>
          <w:tcPr>
            <w:tcW w:type="dxa" w:w="2492"/>
          </w:tcPr>
          <w:p>
            <w:pPr>
              <w:pStyle w:val="null3"/>
            </w:pPr>
            <w:r>
              <w:rPr>
                <w:rFonts w:ascii="仿宋_GB2312" w:hAnsi="仿宋_GB2312" w:cs="仿宋_GB2312" w:eastAsia="仿宋_GB2312"/>
              </w:rPr>
              <w:t>拟投入本项目服务团队总人数：10人及以上得5分；5(含)-9(含)人得2分；5人以下不得分（投标人需提供人员清单及社保证明（或劳动合同））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投标人针对本项目提供有利于本项目开展的其它承诺（例如：增值服务、优惠条件等），每提供一项承诺，经评标专家一致认定得1分，满分5分，无承诺不得分。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服务承诺范围</w:t>
            </w:r>
          </w:p>
        </w:tc>
        <w:tc>
          <w:tcPr>
            <w:tcW w:type="dxa" w:w="2492"/>
          </w:tcPr>
          <w:p>
            <w:pPr>
              <w:pStyle w:val="null3"/>
            </w:pPr>
            <w:r>
              <w:rPr>
                <w:rFonts w:ascii="仿宋_GB2312" w:hAnsi="仿宋_GB2312" w:cs="仿宋_GB2312" w:eastAsia="仿宋_GB2312"/>
              </w:rPr>
              <w:t>投标人须出具服务承诺函，承诺内容包含以下全部5项得10分，每缺少1项扣2分：①严格按照合同约定时间节点交付全部服务成果；②活动期间配备不少于5人的现场执行保障团队；③提供活动全程照片/视频拍摄及整理交付；④对活动场地及设施提供安全责任承诺（如因搭建质量问题导致安全事故由投标人承担全部责任）；⑤承诺在活动结束后24小时内响应采购人后续修改需求，72小时内完成（证明材料需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提供供应商2023年1月1日至开标截止日类似业绩，每提供一份业绩得2分，最高得10 分。（以合同签订时间为准，合同、协议复印件加盖公章装订在招标文件中，否则不作 为评审依据）若提供虚假业绩，一经发现，按无效投标处理。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详见附件：合同范本8.10.docx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