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1DC97F">
      <w:pPr>
        <w:pStyle w:val="8"/>
        <w:spacing w:line="540" w:lineRule="exact"/>
        <w:jc w:val="left"/>
        <w:rPr>
          <w:rFonts w:hint="eastAsia" w:ascii="宋体" w:hAnsi="宋体" w:eastAsia="宋体" w:cs="宋体"/>
          <w:bCs/>
          <w:color w:val="FF0000"/>
          <w:sz w:val="24"/>
          <w:szCs w:val="24"/>
        </w:rPr>
      </w:pPr>
      <w:r>
        <w:rPr>
          <w:rFonts w:hint="eastAsia" w:ascii="宋体" w:hAnsi="宋体" w:eastAsia="宋体" w:cs="宋体"/>
          <w:b/>
          <w:sz w:val="24"/>
          <w:szCs w:val="24"/>
        </w:rPr>
        <w:t xml:space="preserve"> </w:t>
      </w:r>
      <w:r>
        <w:rPr>
          <w:rFonts w:hint="eastAsia" w:hAnsi="宋体" w:cs="宋体"/>
          <w:b/>
          <w:sz w:val="24"/>
          <w:szCs w:val="24"/>
          <w:lang w:val="en-US" w:eastAsia="zh-CN"/>
        </w:rPr>
        <w:t>一、</w:t>
      </w:r>
      <w:r>
        <w:rPr>
          <w:rFonts w:hint="eastAsia" w:ascii="宋体" w:hAnsi="宋体" w:eastAsia="宋体" w:cs="宋体"/>
          <w:sz w:val="24"/>
          <w:szCs w:val="24"/>
        </w:rPr>
        <w:t xml:space="preserve"> </w:t>
      </w:r>
      <w:r>
        <w:rPr>
          <w:rFonts w:hint="eastAsia" w:ascii="宋体" w:hAnsi="宋体" w:eastAsia="宋体" w:cs="宋体"/>
          <w:b/>
          <w:sz w:val="24"/>
          <w:szCs w:val="24"/>
        </w:rPr>
        <w:t>项目概述</w:t>
      </w:r>
    </w:p>
    <w:p w14:paraId="12D6BA8F">
      <w:pPr>
        <w:pStyle w:val="8"/>
        <w:spacing w:line="540" w:lineRule="exact"/>
        <w:jc w:val="left"/>
        <w:rPr>
          <w:rFonts w:hint="eastAsia" w:ascii="宋体" w:hAnsi="宋体" w:eastAsia="宋体" w:cs="宋体"/>
          <w:bCs/>
          <w:sz w:val="24"/>
          <w:szCs w:val="24"/>
          <w:u w:val="none"/>
        </w:rPr>
      </w:pPr>
      <w:r>
        <w:rPr>
          <w:rFonts w:hint="eastAsia" w:ascii="宋体" w:hAnsi="宋体" w:eastAsia="宋体" w:cs="宋体"/>
          <w:b/>
          <w:sz w:val="24"/>
          <w:szCs w:val="24"/>
        </w:rPr>
        <w:t xml:space="preserve">  </w:t>
      </w:r>
      <w:r>
        <w:rPr>
          <w:rFonts w:hint="eastAsia" w:ascii="宋体" w:hAnsi="宋体" w:eastAsia="宋体" w:cs="宋体"/>
          <w:b/>
          <w:sz w:val="24"/>
          <w:szCs w:val="24"/>
          <w:u w:val="none"/>
        </w:rPr>
        <w:t xml:space="preserve"> </w:t>
      </w:r>
      <w:r>
        <w:rPr>
          <w:rFonts w:hint="eastAsia" w:ascii="宋体" w:hAnsi="宋体" w:eastAsia="宋体" w:cs="宋体"/>
          <w:bCs/>
          <w:sz w:val="24"/>
          <w:szCs w:val="24"/>
          <w:u w:val="none"/>
        </w:rPr>
        <w:t xml:space="preserve"> （1）项目背景</w:t>
      </w:r>
    </w:p>
    <w:p w14:paraId="3EB977E9">
      <w:pPr>
        <w:pStyle w:val="8"/>
        <w:spacing w:line="540" w:lineRule="exact"/>
        <w:ind w:firstLine="480" w:firstLineChars="200"/>
        <w:jc w:val="left"/>
        <w:rPr>
          <w:rFonts w:hint="eastAsia" w:ascii="宋体" w:hAnsi="宋体" w:eastAsia="宋体" w:cs="宋体"/>
          <w:bCs/>
          <w:sz w:val="24"/>
          <w:szCs w:val="24"/>
          <w:u w:val="none"/>
        </w:rPr>
      </w:pPr>
      <w:r>
        <w:rPr>
          <w:rFonts w:hint="eastAsia" w:ascii="宋体" w:hAnsi="宋体" w:eastAsia="宋体" w:cs="宋体"/>
          <w:bCs/>
          <w:sz w:val="24"/>
          <w:szCs w:val="24"/>
          <w:u w:val="none"/>
        </w:rPr>
        <w:t>为响应国家关于加强大学生体质健康的号召，贯彻落实《关于</w:t>
      </w:r>
      <w:bookmarkStart w:id="0" w:name="_GoBack"/>
      <w:bookmarkEnd w:id="0"/>
      <w:r>
        <w:rPr>
          <w:rFonts w:hint="eastAsia" w:ascii="宋体" w:hAnsi="宋体" w:eastAsia="宋体" w:cs="宋体"/>
          <w:bCs/>
          <w:sz w:val="24"/>
          <w:szCs w:val="24"/>
          <w:u w:val="none"/>
        </w:rPr>
        <w:t>全面加强和改进新时代学校体育工作的意见》文件精神，完善我校体育设施布局，解决阎良校区师生“健身难、距离远、费用高”的实际痛点，学校立项建设阎良校区专业健身中心。项目选址于阎良校区二食堂二楼（原图书馆新书库），建筑面积约850㎡，需对场地进行强弱电改造、新风系统安装、装修装饰及配套设施建设，确保2026年9月开学季健身中心正式投入使用。</w:t>
      </w:r>
    </w:p>
    <w:p w14:paraId="54DE313A">
      <w:pPr>
        <w:pStyle w:val="8"/>
        <w:spacing w:line="540" w:lineRule="exact"/>
        <w:ind w:firstLine="480" w:firstLineChars="200"/>
        <w:jc w:val="left"/>
        <w:rPr>
          <w:rFonts w:hint="eastAsia" w:ascii="宋体" w:hAnsi="宋体" w:eastAsia="宋体" w:cs="宋体"/>
          <w:bCs/>
          <w:sz w:val="24"/>
          <w:szCs w:val="24"/>
          <w:u w:val="none"/>
        </w:rPr>
      </w:pPr>
      <w:r>
        <w:rPr>
          <w:rFonts w:hint="eastAsia" w:ascii="宋体" w:hAnsi="宋体" w:eastAsia="宋体" w:cs="宋体"/>
          <w:bCs/>
          <w:sz w:val="24"/>
          <w:szCs w:val="24"/>
          <w:u w:val="none"/>
        </w:rPr>
        <w:t>（2）项目必要性</w:t>
      </w:r>
    </w:p>
    <w:p w14:paraId="505BC993">
      <w:pPr>
        <w:pStyle w:val="8"/>
        <w:spacing w:line="540" w:lineRule="exact"/>
        <w:ind w:firstLine="480" w:firstLineChars="200"/>
        <w:jc w:val="left"/>
        <w:rPr>
          <w:rFonts w:hint="eastAsia" w:ascii="宋体" w:hAnsi="宋体" w:eastAsia="宋体" w:cs="宋体"/>
          <w:bCs/>
          <w:sz w:val="24"/>
          <w:szCs w:val="24"/>
          <w:u w:val="none"/>
        </w:rPr>
      </w:pPr>
      <w:r>
        <w:rPr>
          <w:rFonts w:hint="eastAsia" w:ascii="宋体" w:hAnsi="宋体" w:eastAsia="宋体" w:cs="宋体"/>
          <w:bCs/>
          <w:sz w:val="24"/>
          <w:szCs w:val="24"/>
          <w:u w:val="none"/>
        </w:rPr>
        <w:t>① 保障健身中心按时投用，为师生提供安全、舒适、专业的健身场地；</w:t>
      </w:r>
    </w:p>
    <w:p w14:paraId="3CC8AA61">
      <w:pPr>
        <w:pStyle w:val="8"/>
        <w:spacing w:line="540" w:lineRule="exact"/>
        <w:ind w:firstLine="480" w:firstLineChars="200"/>
        <w:jc w:val="left"/>
        <w:rPr>
          <w:rFonts w:hint="eastAsia" w:ascii="宋体" w:hAnsi="宋体" w:eastAsia="宋体" w:cs="宋体"/>
          <w:bCs/>
          <w:sz w:val="24"/>
          <w:szCs w:val="24"/>
          <w:u w:val="none"/>
        </w:rPr>
      </w:pPr>
      <w:r>
        <w:rPr>
          <w:rFonts w:hint="eastAsia" w:ascii="宋体" w:hAnsi="宋体" w:eastAsia="宋体" w:cs="宋体"/>
          <w:bCs/>
          <w:sz w:val="24"/>
          <w:szCs w:val="24"/>
          <w:u w:val="none"/>
        </w:rPr>
        <w:t>② 完善场地基础设施，满足有氧训练、力量训练、团体课程等功能需求；</w:t>
      </w:r>
    </w:p>
    <w:p w14:paraId="7100723B">
      <w:pPr>
        <w:pStyle w:val="8"/>
        <w:spacing w:line="540" w:lineRule="exact"/>
        <w:ind w:firstLine="480" w:firstLineChars="200"/>
        <w:jc w:val="left"/>
        <w:rPr>
          <w:rFonts w:hint="eastAsia" w:ascii="宋体" w:hAnsi="宋体" w:eastAsia="宋体" w:cs="宋体"/>
          <w:bCs/>
          <w:sz w:val="24"/>
          <w:szCs w:val="24"/>
          <w:u w:val="none"/>
        </w:rPr>
      </w:pPr>
      <w:r>
        <w:rPr>
          <w:rFonts w:hint="eastAsia" w:ascii="宋体" w:hAnsi="宋体" w:eastAsia="宋体" w:cs="宋体"/>
          <w:bCs/>
          <w:sz w:val="24"/>
          <w:szCs w:val="24"/>
          <w:u w:val="none"/>
        </w:rPr>
        <w:t>③消除原有场地安全隐患，优化空间布局，提升场地使用效率；</w:t>
      </w:r>
    </w:p>
    <w:p w14:paraId="50625E81">
      <w:pPr>
        <w:pStyle w:val="8"/>
        <w:spacing w:line="540" w:lineRule="exact"/>
        <w:ind w:firstLine="480" w:firstLineChars="200"/>
        <w:jc w:val="left"/>
        <w:rPr>
          <w:rFonts w:hint="eastAsia" w:ascii="宋体" w:hAnsi="宋体" w:eastAsia="宋体" w:cs="宋体"/>
          <w:bCs/>
          <w:sz w:val="24"/>
          <w:szCs w:val="24"/>
          <w:u w:val="none"/>
        </w:rPr>
      </w:pPr>
      <w:r>
        <w:rPr>
          <w:rFonts w:hint="eastAsia" w:ascii="宋体" w:hAnsi="宋体" w:eastAsia="宋体" w:cs="宋体"/>
          <w:bCs/>
          <w:sz w:val="24"/>
          <w:szCs w:val="24"/>
          <w:u w:val="none"/>
        </w:rPr>
        <w:t>④为后续健身器械安装和运营管理奠定基础。</w:t>
      </w:r>
    </w:p>
    <w:p w14:paraId="21688B93">
      <w:pPr>
        <w:pStyle w:val="8"/>
        <w:spacing w:line="540" w:lineRule="exact"/>
        <w:ind w:firstLine="480" w:firstLineChars="200"/>
        <w:jc w:val="left"/>
        <w:rPr>
          <w:rFonts w:hint="eastAsia" w:ascii="宋体" w:hAnsi="宋体" w:eastAsia="宋体" w:cs="宋体"/>
          <w:bCs/>
          <w:sz w:val="24"/>
          <w:szCs w:val="24"/>
          <w:u w:val="none"/>
        </w:rPr>
      </w:pPr>
      <w:r>
        <w:rPr>
          <w:rFonts w:hint="eastAsia" w:ascii="宋体" w:hAnsi="宋体" w:eastAsia="宋体" w:cs="宋体"/>
          <w:bCs/>
          <w:sz w:val="24"/>
          <w:szCs w:val="24"/>
          <w:u w:val="none"/>
        </w:rPr>
        <w:t>（3）项目范围</w:t>
      </w:r>
    </w:p>
    <w:p w14:paraId="6C420859">
      <w:pPr>
        <w:pStyle w:val="8"/>
        <w:spacing w:line="540" w:lineRule="exact"/>
        <w:ind w:firstLine="480" w:firstLineChars="200"/>
        <w:jc w:val="left"/>
        <w:rPr>
          <w:rFonts w:hint="eastAsia" w:ascii="宋体" w:hAnsi="宋体" w:eastAsia="宋体" w:cs="宋体"/>
          <w:bCs/>
          <w:sz w:val="24"/>
          <w:szCs w:val="24"/>
          <w:u w:val="none"/>
        </w:rPr>
      </w:pPr>
      <w:r>
        <w:rPr>
          <w:rFonts w:hint="eastAsia" w:ascii="宋体" w:hAnsi="宋体" w:eastAsia="宋体" w:cs="宋体"/>
          <w:bCs/>
          <w:sz w:val="24"/>
          <w:szCs w:val="24"/>
          <w:u w:val="none"/>
        </w:rPr>
        <w:t>西安航空学院阎良校区健身中心850㎡场地的全部改造工程，具体包括：强弱电系统改造、室内装修装饰、配套设施建设及相关收尾工作。供应商仅负责上述场地改造工程，不参与健身中心后期运营管理。</w:t>
      </w:r>
    </w:p>
    <w:p w14:paraId="06666E24">
      <w:pPr>
        <w:pStyle w:val="8"/>
        <w:spacing w:line="540" w:lineRule="exact"/>
        <w:ind w:firstLine="480" w:firstLineChars="200"/>
        <w:jc w:val="left"/>
        <w:rPr>
          <w:rFonts w:hint="eastAsia" w:ascii="宋体" w:hAnsi="宋体" w:eastAsia="宋体" w:cs="宋体"/>
          <w:bCs/>
          <w:sz w:val="24"/>
          <w:szCs w:val="24"/>
          <w:u w:val="none"/>
        </w:rPr>
      </w:pPr>
      <w:r>
        <w:rPr>
          <w:rFonts w:hint="eastAsia" w:ascii="宋体" w:hAnsi="宋体" w:eastAsia="宋体" w:cs="宋体"/>
          <w:bCs/>
          <w:sz w:val="24"/>
          <w:szCs w:val="24"/>
          <w:u w:val="none"/>
        </w:rPr>
        <w:t>（4）项目用途</w:t>
      </w:r>
    </w:p>
    <w:p w14:paraId="404C9AAD">
      <w:pPr>
        <w:pStyle w:val="8"/>
        <w:spacing w:line="540" w:lineRule="exact"/>
        <w:ind w:firstLine="480" w:firstLineChars="200"/>
        <w:jc w:val="left"/>
        <w:rPr>
          <w:rFonts w:hint="eastAsia" w:ascii="宋体" w:hAnsi="宋体" w:eastAsia="宋体" w:cs="宋体"/>
          <w:bCs/>
          <w:sz w:val="24"/>
          <w:szCs w:val="24"/>
          <w:u w:val="none"/>
        </w:rPr>
      </w:pPr>
      <w:r>
        <w:rPr>
          <w:rFonts w:hint="eastAsia" w:ascii="宋体" w:hAnsi="宋体" w:eastAsia="宋体" w:cs="宋体"/>
          <w:bCs/>
          <w:sz w:val="24"/>
          <w:szCs w:val="24"/>
          <w:u w:val="none"/>
        </w:rPr>
        <w:t>改造完成后的场地用于建设集有氧训练、力量训练、团体课程、更衣于一体的综合性健身空间，可同时容纳近1</w:t>
      </w:r>
      <w:r>
        <w:rPr>
          <w:rFonts w:hint="eastAsia" w:ascii="宋体" w:hAnsi="宋体" w:eastAsia="宋体" w:cs="宋体"/>
          <w:bCs/>
          <w:sz w:val="24"/>
          <w:szCs w:val="24"/>
          <w:u w:val="none"/>
          <w:lang w:val="en-US" w:eastAsia="zh-CN"/>
        </w:rPr>
        <w:t>5</w:t>
      </w:r>
      <w:r>
        <w:rPr>
          <w:rFonts w:hint="eastAsia" w:ascii="宋体" w:hAnsi="宋体" w:eastAsia="宋体" w:cs="宋体"/>
          <w:bCs/>
          <w:sz w:val="24"/>
          <w:szCs w:val="24"/>
          <w:u w:val="none"/>
        </w:rPr>
        <w:t>0人健身，服务阎良校区全体师生。</w:t>
      </w:r>
    </w:p>
    <w:p w14:paraId="6D28E81C">
      <w:pPr>
        <w:pStyle w:val="8"/>
        <w:spacing w:line="540" w:lineRule="exact"/>
        <w:ind w:firstLine="480" w:firstLineChars="200"/>
        <w:jc w:val="left"/>
        <w:rPr>
          <w:rFonts w:hint="eastAsia" w:ascii="宋体" w:hAnsi="宋体" w:eastAsia="宋体" w:cs="宋体"/>
          <w:bCs/>
          <w:sz w:val="24"/>
          <w:szCs w:val="24"/>
          <w:u w:val="none"/>
        </w:rPr>
      </w:pPr>
      <w:r>
        <w:rPr>
          <w:rFonts w:hint="eastAsia" w:ascii="宋体" w:hAnsi="宋体" w:eastAsia="宋体" w:cs="宋体"/>
          <w:bCs/>
          <w:sz w:val="24"/>
          <w:szCs w:val="24"/>
          <w:u w:val="none"/>
        </w:rPr>
        <w:t>（5）预期效益</w:t>
      </w:r>
    </w:p>
    <w:p w14:paraId="1D84A4ED">
      <w:pPr>
        <w:pStyle w:val="8"/>
        <w:spacing w:line="540" w:lineRule="exact"/>
        <w:ind w:firstLine="480" w:firstLineChars="200"/>
        <w:jc w:val="left"/>
        <w:rPr>
          <w:rFonts w:hint="eastAsia" w:ascii="宋体" w:hAnsi="宋体" w:eastAsia="宋体" w:cs="宋体"/>
          <w:bCs/>
          <w:sz w:val="24"/>
          <w:szCs w:val="24"/>
          <w:u w:val="none"/>
        </w:rPr>
      </w:pPr>
      <w:r>
        <w:rPr>
          <w:rFonts w:hint="eastAsia" w:ascii="宋体" w:hAnsi="宋体" w:eastAsia="宋体" w:cs="宋体"/>
          <w:bCs/>
          <w:sz w:val="24"/>
          <w:szCs w:val="24"/>
          <w:u w:val="none"/>
        </w:rPr>
        <w:t>①按时保质完成850㎡场地改造工程，确保2026年9月1日健身中心具备投用条件；</w:t>
      </w:r>
    </w:p>
    <w:p w14:paraId="33A1DE32">
      <w:pPr>
        <w:pStyle w:val="8"/>
        <w:spacing w:line="540" w:lineRule="exact"/>
        <w:ind w:firstLine="480" w:firstLineChars="200"/>
        <w:jc w:val="left"/>
        <w:rPr>
          <w:rFonts w:hint="eastAsia" w:ascii="宋体" w:hAnsi="宋体" w:eastAsia="宋体" w:cs="宋体"/>
          <w:bCs/>
          <w:sz w:val="24"/>
          <w:szCs w:val="24"/>
          <w:u w:val="none"/>
        </w:rPr>
      </w:pPr>
      <w:r>
        <w:rPr>
          <w:rFonts w:hint="eastAsia" w:ascii="宋体" w:hAnsi="宋体" w:eastAsia="宋体" w:cs="宋体"/>
          <w:bCs/>
          <w:sz w:val="24"/>
          <w:szCs w:val="24"/>
          <w:u w:val="none"/>
        </w:rPr>
        <w:t>②打造功能完善、安全舒适、符合现代健身标准的室内健身空间；</w:t>
      </w:r>
    </w:p>
    <w:p w14:paraId="3933F1E5">
      <w:pPr>
        <w:pStyle w:val="8"/>
        <w:spacing w:line="540" w:lineRule="exact"/>
        <w:ind w:firstLine="480" w:firstLineChars="200"/>
        <w:jc w:val="left"/>
        <w:rPr>
          <w:rFonts w:hint="eastAsia" w:ascii="宋体" w:hAnsi="宋体" w:eastAsia="宋体" w:cs="宋体"/>
          <w:b/>
          <w:sz w:val="24"/>
          <w:szCs w:val="24"/>
        </w:rPr>
      </w:pPr>
      <w:r>
        <w:rPr>
          <w:rFonts w:hint="eastAsia" w:ascii="宋体" w:hAnsi="宋体" w:eastAsia="宋体" w:cs="宋体"/>
          <w:bCs/>
          <w:sz w:val="24"/>
          <w:szCs w:val="24"/>
          <w:u w:val="none"/>
        </w:rPr>
        <w:t>③工程质量达到国家合格标准，质保期内无重大质量问题。</w:t>
      </w:r>
    </w:p>
    <w:p w14:paraId="74F73285">
      <w:pPr>
        <w:pStyle w:val="8"/>
        <w:spacing w:line="540" w:lineRule="exact"/>
        <w:jc w:val="left"/>
        <w:rPr>
          <w:rFonts w:hint="eastAsia" w:ascii="宋体" w:hAnsi="宋体" w:eastAsia="宋体" w:cs="宋体"/>
          <w:b/>
          <w:sz w:val="24"/>
          <w:szCs w:val="24"/>
        </w:rPr>
      </w:pPr>
      <w:r>
        <w:rPr>
          <w:rFonts w:hint="eastAsia" w:hAnsi="宋体" w:cs="宋体"/>
          <w:b/>
          <w:sz w:val="24"/>
          <w:szCs w:val="24"/>
          <w:lang w:val="en-US" w:eastAsia="zh-CN"/>
        </w:rPr>
        <w:t>二、</w:t>
      </w:r>
      <w:r>
        <w:rPr>
          <w:rFonts w:hint="eastAsia" w:ascii="宋体" w:hAnsi="宋体" w:eastAsia="宋体" w:cs="宋体"/>
          <w:b/>
          <w:sz w:val="24"/>
          <w:szCs w:val="24"/>
        </w:rPr>
        <w:t>服务内容和标准</w:t>
      </w:r>
    </w:p>
    <w:p w14:paraId="60E51B04">
      <w:pPr>
        <w:spacing w:line="5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（1）总体要求</w:t>
      </w:r>
    </w:p>
    <w:p w14:paraId="64B71EB4">
      <w:pPr>
        <w:spacing w:line="5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供应商须严格按照国家及行业相关施工规范、本项目技术要求和施工图纸进行施工，确保工程质量、安全和工期。施工过程中须采取有效措施减少对校园正常教学和生活秩序的影响，做到安全文明施工。工程完工后须负责场地清洁，将建筑垃圾清运出校园。</w:t>
      </w:r>
    </w:p>
    <w:p w14:paraId="39EBB5A7">
      <w:pPr>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（2）具体改造内容及技术标准</w:t>
      </w:r>
    </w:p>
    <w:p w14:paraId="21915439">
      <w:pPr>
        <w:widowControl/>
        <w:spacing w:line="540" w:lineRule="exact"/>
        <w:ind w:firstLine="480" w:firstLineChars="200"/>
        <w:jc w:val="left"/>
        <w:rPr>
          <w:rFonts w:hint="eastAsia" w:ascii="宋体" w:hAnsi="宋体" w:eastAsia="宋体" w:cs="宋体"/>
          <w:b/>
          <w:color w:val="auto"/>
          <w:kern w:val="0"/>
          <w:sz w:val="24"/>
          <w:szCs w:val="24"/>
        </w:rPr>
      </w:pPr>
      <w:r>
        <w:rPr>
          <w:rFonts w:hint="eastAsia" w:ascii="宋体" w:hAnsi="宋体" w:eastAsia="宋体" w:cs="宋体"/>
          <w:color w:val="auto"/>
          <w:sz w:val="24"/>
          <w:szCs w:val="24"/>
        </w:rPr>
        <w:t>1).主要改造内容</w:t>
      </w:r>
      <w:r>
        <w:rPr>
          <w:rFonts w:hint="eastAsia" w:ascii="宋体" w:hAnsi="宋体" w:eastAsia="宋体" w:cs="宋体"/>
          <w:b/>
          <w:color w:val="auto"/>
          <w:kern w:val="0"/>
          <w:sz w:val="24"/>
          <w:szCs w:val="24"/>
        </w:rPr>
        <w:t>：</w:t>
      </w:r>
    </w:p>
    <w:tbl>
      <w:tblPr>
        <w:tblStyle w:val="10"/>
        <w:tblW w:w="877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64"/>
        <w:gridCol w:w="1417"/>
        <w:gridCol w:w="3967"/>
        <w:gridCol w:w="783"/>
        <w:gridCol w:w="900"/>
        <w:gridCol w:w="947"/>
      </w:tblGrid>
      <w:tr w14:paraId="303CAA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764" w:type="dxa"/>
            <w:tcBorders>
              <w:top w:val="single" w:color="000000" w:sz="4" w:space="0"/>
              <w:left w:val="single" w:color="000000" w:sz="4" w:space="0"/>
              <w:bottom w:val="single" w:color="000000" w:sz="4" w:space="0"/>
              <w:right w:val="single" w:color="000000" w:sz="4" w:space="0"/>
            </w:tcBorders>
            <w:noWrap/>
            <w:vAlign w:val="center"/>
          </w:tcPr>
          <w:p w14:paraId="3C906B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417" w:type="dxa"/>
            <w:tcBorders>
              <w:top w:val="single" w:color="000000" w:sz="4" w:space="0"/>
              <w:left w:val="single" w:color="000000" w:sz="4" w:space="0"/>
              <w:bottom w:val="single" w:color="000000" w:sz="4" w:space="0"/>
              <w:right w:val="single" w:color="000000" w:sz="4" w:space="0"/>
            </w:tcBorders>
            <w:noWrap/>
            <w:vAlign w:val="center"/>
          </w:tcPr>
          <w:p w14:paraId="6D504D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部位</w:t>
            </w:r>
          </w:p>
        </w:tc>
        <w:tc>
          <w:tcPr>
            <w:tcW w:w="3967" w:type="dxa"/>
            <w:tcBorders>
              <w:top w:val="single" w:color="000000" w:sz="4" w:space="0"/>
              <w:left w:val="single" w:color="000000" w:sz="4" w:space="0"/>
              <w:bottom w:val="single" w:color="000000" w:sz="4" w:space="0"/>
              <w:right w:val="single" w:color="000000" w:sz="4" w:space="0"/>
            </w:tcBorders>
            <w:noWrap/>
            <w:vAlign w:val="center"/>
          </w:tcPr>
          <w:p w14:paraId="42E130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改造内容</w:t>
            </w:r>
          </w:p>
        </w:tc>
        <w:tc>
          <w:tcPr>
            <w:tcW w:w="783" w:type="dxa"/>
            <w:tcBorders>
              <w:top w:val="single" w:color="000000" w:sz="4" w:space="0"/>
              <w:left w:val="single" w:color="000000" w:sz="4" w:space="0"/>
              <w:bottom w:val="single" w:color="000000" w:sz="4" w:space="0"/>
              <w:right w:val="single" w:color="000000" w:sz="4" w:space="0"/>
            </w:tcBorders>
            <w:noWrap/>
            <w:vAlign w:val="center"/>
          </w:tcPr>
          <w:p w14:paraId="78F504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70790D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947" w:type="dxa"/>
            <w:tcBorders>
              <w:top w:val="single" w:color="000000" w:sz="4" w:space="0"/>
              <w:left w:val="single" w:color="000000" w:sz="4" w:space="0"/>
              <w:bottom w:val="single" w:color="000000" w:sz="4" w:space="0"/>
              <w:right w:val="single" w:color="000000" w:sz="4" w:space="0"/>
            </w:tcBorders>
            <w:noWrap/>
            <w:vAlign w:val="center"/>
          </w:tcPr>
          <w:p w14:paraId="667B54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r>
      <w:tr w14:paraId="52401E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2" w:hRule="atLeast"/>
          <w:jc w:val="center"/>
        </w:trPr>
        <w:tc>
          <w:tcPr>
            <w:tcW w:w="764" w:type="dxa"/>
            <w:tcBorders>
              <w:top w:val="single" w:color="000000" w:sz="4" w:space="0"/>
              <w:left w:val="single" w:color="000000" w:sz="4" w:space="0"/>
              <w:bottom w:val="single" w:color="000000" w:sz="4" w:space="0"/>
              <w:right w:val="single" w:color="000000" w:sz="4" w:space="0"/>
            </w:tcBorders>
            <w:noWrap/>
            <w:vAlign w:val="center"/>
          </w:tcPr>
          <w:p w14:paraId="25E0ED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14:paraId="342F8B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瑜伽室</w:t>
            </w:r>
          </w:p>
        </w:tc>
        <w:tc>
          <w:tcPr>
            <w:tcW w:w="3967" w:type="dxa"/>
            <w:tcBorders>
              <w:top w:val="single" w:color="000000" w:sz="4" w:space="0"/>
              <w:left w:val="single" w:color="000000" w:sz="4" w:space="0"/>
              <w:bottom w:val="single" w:color="000000" w:sz="4" w:space="0"/>
              <w:right w:val="single" w:color="000000" w:sz="4" w:space="0"/>
            </w:tcBorders>
            <w:noWrap/>
            <w:vAlign w:val="center"/>
          </w:tcPr>
          <w:p w14:paraId="5C5FCC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敷设复合木地板</w:t>
            </w:r>
          </w:p>
        </w:tc>
        <w:tc>
          <w:tcPr>
            <w:tcW w:w="783" w:type="dxa"/>
            <w:tcBorders>
              <w:top w:val="single" w:color="000000" w:sz="4" w:space="0"/>
              <w:left w:val="single" w:color="000000" w:sz="4" w:space="0"/>
              <w:bottom w:val="single" w:color="000000" w:sz="4" w:space="0"/>
              <w:right w:val="single" w:color="000000" w:sz="4" w:space="0"/>
            </w:tcBorders>
            <w:noWrap/>
            <w:vAlign w:val="center"/>
          </w:tcPr>
          <w:p w14:paraId="483A5A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m2</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3FAD78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w:t>
            </w:r>
          </w:p>
        </w:tc>
        <w:tc>
          <w:tcPr>
            <w:tcW w:w="947" w:type="dxa"/>
            <w:tcBorders>
              <w:top w:val="single" w:color="000000" w:sz="4" w:space="0"/>
              <w:left w:val="single" w:color="000000" w:sz="4" w:space="0"/>
              <w:bottom w:val="single" w:color="000000" w:sz="4" w:space="0"/>
              <w:right w:val="single" w:color="000000" w:sz="4" w:space="0"/>
            </w:tcBorders>
            <w:noWrap/>
            <w:vAlign w:val="center"/>
          </w:tcPr>
          <w:p w14:paraId="55C02EA7">
            <w:pPr>
              <w:jc w:val="center"/>
              <w:rPr>
                <w:rFonts w:hint="eastAsia" w:ascii="宋体" w:hAnsi="宋体" w:eastAsia="宋体" w:cs="宋体"/>
                <w:i w:val="0"/>
                <w:iCs w:val="0"/>
                <w:color w:val="000000"/>
                <w:sz w:val="24"/>
                <w:szCs w:val="24"/>
                <w:u w:val="none"/>
              </w:rPr>
            </w:pPr>
          </w:p>
        </w:tc>
      </w:tr>
      <w:tr w14:paraId="356222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8" w:hRule="atLeast"/>
          <w:jc w:val="center"/>
        </w:trPr>
        <w:tc>
          <w:tcPr>
            <w:tcW w:w="764" w:type="dxa"/>
            <w:tcBorders>
              <w:top w:val="single" w:color="000000" w:sz="4" w:space="0"/>
              <w:left w:val="single" w:color="000000" w:sz="4" w:space="0"/>
              <w:bottom w:val="single" w:color="000000" w:sz="4" w:space="0"/>
              <w:right w:val="single" w:color="000000" w:sz="4" w:space="0"/>
            </w:tcBorders>
            <w:noWrap/>
            <w:vAlign w:val="center"/>
          </w:tcPr>
          <w:p w14:paraId="00A262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417" w:type="dxa"/>
            <w:tcBorders>
              <w:top w:val="single" w:color="000000" w:sz="4" w:space="0"/>
              <w:left w:val="single" w:color="000000" w:sz="4" w:space="0"/>
              <w:bottom w:val="single" w:color="000000" w:sz="4" w:space="0"/>
              <w:right w:val="single" w:color="000000" w:sz="4" w:space="0"/>
            </w:tcBorders>
            <w:noWrap/>
            <w:vAlign w:val="center"/>
          </w:tcPr>
          <w:p w14:paraId="55D005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入口处</w:t>
            </w:r>
          </w:p>
        </w:tc>
        <w:tc>
          <w:tcPr>
            <w:tcW w:w="3967" w:type="dxa"/>
            <w:tcBorders>
              <w:top w:val="single" w:color="000000" w:sz="4" w:space="0"/>
              <w:left w:val="single" w:color="000000" w:sz="4" w:space="0"/>
              <w:bottom w:val="single" w:color="000000" w:sz="4" w:space="0"/>
              <w:right w:val="single" w:color="000000" w:sz="4" w:space="0"/>
            </w:tcBorders>
            <w:noWrap/>
            <w:vAlign w:val="center"/>
          </w:tcPr>
          <w:p w14:paraId="231BC7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新做前台背景墙</w:t>
            </w:r>
          </w:p>
        </w:tc>
        <w:tc>
          <w:tcPr>
            <w:tcW w:w="783" w:type="dxa"/>
            <w:tcBorders>
              <w:top w:val="single" w:color="000000" w:sz="4" w:space="0"/>
              <w:left w:val="single" w:color="000000" w:sz="4" w:space="0"/>
              <w:bottom w:val="single" w:color="000000" w:sz="4" w:space="0"/>
              <w:right w:val="single" w:color="000000" w:sz="4" w:space="0"/>
            </w:tcBorders>
            <w:noWrap/>
            <w:vAlign w:val="center"/>
          </w:tcPr>
          <w:p w14:paraId="23D7CF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m2</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45F8CD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947" w:type="dxa"/>
            <w:tcBorders>
              <w:top w:val="single" w:color="000000" w:sz="4" w:space="0"/>
              <w:left w:val="single" w:color="000000" w:sz="4" w:space="0"/>
              <w:bottom w:val="single" w:color="000000" w:sz="4" w:space="0"/>
              <w:right w:val="single" w:color="000000" w:sz="4" w:space="0"/>
            </w:tcBorders>
            <w:noWrap/>
            <w:vAlign w:val="center"/>
          </w:tcPr>
          <w:p w14:paraId="59B3FD4F">
            <w:pPr>
              <w:jc w:val="center"/>
              <w:rPr>
                <w:rFonts w:hint="eastAsia" w:ascii="宋体" w:hAnsi="宋体" w:eastAsia="宋体" w:cs="宋体"/>
                <w:i w:val="0"/>
                <w:iCs w:val="0"/>
                <w:color w:val="000000"/>
                <w:sz w:val="24"/>
                <w:szCs w:val="24"/>
                <w:u w:val="none"/>
              </w:rPr>
            </w:pPr>
          </w:p>
        </w:tc>
      </w:tr>
      <w:tr w14:paraId="7C3FF8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4" w:hRule="atLeast"/>
          <w:jc w:val="center"/>
        </w:trPr>
        <w:tc>
          <w:tcPr>
            <w:tcW w:w="764" w:type="dxa"/>
            <w:tcBorders>
              <w:top w:val="single" w:color="000000" w:sz="4" w:space="0"/>
              <w:left w:val="single" w:color="000000" w:sz="4" w:space="0"/>
              <w:bottom w:val="single" w:color="000000" w:sz="4" w:space="0"/>
              <w:right w:val="single" w:color="000000" w:sz="4" w:space="0"/>
            </w:tcBorders>
            <w:noWrap/>
            <w:vAlign w:val="center"/>
          </w:tcPr>
          <w:p w14:paraId="378EAE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417" w:type="dxa"/>
            <w:tcBorders>
              <w:top w:val="single" w:color="000000" w:sz="4" w:space="0"/>
              <w:left w:val="single" w:color="000000" w:sz="4" w:space="0"/>
              <w:bottom w:val="single" w:color="000000" w:sz="4" w:space="0"/>
              <w:right w:val="single" w:color="000000" w:sz="4" w:space="0"/>
            </w:tcBorders>
            <w:noWrap/>
            <w:vAlign w:val="center"/>
          </w:tcPr>
          <w:p w14:paraId="348A6C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墙面</w:t>
            </w:r>
          </w:p>
        </w:tc>
        <w:tc>
          <w:tcPr>
            <w:tcW w:w="3967" w:type="dxa"/>
            <w:tcBorders>
              <w:top w:val="single" w:color="000000" w:sz="4" w:space="0"/>
              <w:left w:val="single" w:color="000000" w:sz="4" w:space="0"/>
              <w:bottom w:val="single" w:color="000000" w:sz="4" w:space="0"/>
              <w:right w:val="single" w:color="000000" w:sz="4" w:space="0"/>
            </w:tcBorders>
            <w:noWrap w:val="0"/>
            <w:vAlign w:val="center"/>
          </w:tcPr>
          <w:p w14:paraId="1E00A2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铲除原墙面后新做乳胶漆墙面</w:t>
            </w:r>
          </w:p>
        </w:tc>
        <w:tc>
          <w:tcPr>
            <w:tcW w:w="783" w:type="dxa"/>
            <w:tcBorders>
              <w:top w:val="single" w:color="000000" w:sz="4" w:space="0"/>
              <w:left w:val="single" w:color="000000" w:sz="4" w:space="0"/>
              <w:bottom w:val="single" w:color="000000" w:sz="4" w:space="0"/>
              <w:right w:val="single" w:color="000000" w:sz="4" w:space="0"/>
            </w:tcBorders>
            <w:noWrap/>
            <w:vAlign w:val="center"/>
          </w:tcPr>
          <w:p w14:paraId="53FEFD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m2</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67649C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2200</w:t>
            </w:r>
          </w:p>
        </w:tc>
        <w:tc>
          <w:tcPr>
            <w:tcW w:w="947" w:type="dxa"/>
            <w:tcBorders>
              <w:top w:val="single" w:color="000000" w:sz="4" w:space="0"/>
              <w:left w:val="single" w:color="000000" w:sz="4" w:space="0"/>
              <w:bottom w:val="single" w:color="000000" w:sz="4" w:space="0"/>
              <w:right w:val="single" w:color="000000" w:sz="4" w:space="0"/>
            </w:tcBorders>
            <w:noWrap/>
            <w:vAlign w:val="center"/>
          </w:tcPr>
          <w:p w14:paraId="6B335426">
            <w:pPr>
              <w:jc w:val="center"/>
              <w:rPr>
                <w:rFonts w:hint="eastAsia" w:ascii="宋体" w:hAnsi="宋体" w:eastAsia="宋体" w:cs="宋体"/>
                <w:i w:val="0"/>
                <w:iCs w:val="0"/>
                <w:color w:val="000000"/>
                <w:sz w:val="24"/>
                <w:szCs w:val="24"/>
                <w:u w:val="none"/>
              </w:rPr>
            </w:pPr>
          </w:p>
        </w:tc>
      </w:tr>
      <w:tr w14:paraId="4F7732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64" w:type="dxa"/>
            <w:tcBorders>
              <w:top w:val="single" w:color="000000" w:sz="4" w:space="0"/>
              <w:left w:val="single" w:color="000000" w:sz="4" w:space="0"/>
              <w:bottom w:val="single" w:color="000000" w:sz="4" w:space="0"/>
              <w:right w:val="single" w:color="000000" w:sz="4" w:space="0"/>
            </w:tcBorders>
            <w:noWrap/>
            <w:vAlign w:val="center"/>
          </w:tcPr>
          <w:p w14:paraId="1DB60F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417" w:type="dxa"/>
            <w:tcBorders>
              <w:top w:val="single" w:color="000000" w:sz="4" w:space="0"/>
              <w:left w:val="single" w:color="000000" w:sz="4" w:space="0"/>
              <w:bottom w:val="single" w:color="000000" w:sz="4" w:space="0"/>
              <w:right w:val="single" w:color="000000" w:sz="4" w:space="0"/>
            </w:tcBorders>
            <w:noWrap/>
            <w:vAlign w:val="center"/>
          </w:tcPr>
          <w:p w14:paraId="510C67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顶面</w:t>
            </w:r>
          </w:p>
        </w:tc>
        <w:tc>
          <w:tcPr>
            <w:tcW w:w="3967" w:type="dxa"/>
            <w:tcBorders>
              <w:top w:val="single" w:color="000000" w:sz="4" w:space="0"/>
              <w:left w:val="single" w:color="000000" w:sz="4" w:space="0"/>
              <w:bottom w:val="single" w:color="000000" w:sz="4" w:space="0"/>
              <w:right w:val="single" w:color="000000" w:sz="4" w:space="0"/>
            </w:tcBorders>
            <w:noWrap w:val="0"/>
            <w:vAlign w:val="center"/>
          </w:tcPr>
          <w:p w14:paraId="4124ED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钢结构喷涂调和漆两遍</w:t>
            </w:r>
          </w:p>
        </w:tc>
        <w:tc>
          <w:tcPr>
            <w:tcW w:w="783" w:type="dxa"/>
            <w:tcBorders>
              <w:top w:val="single" w:color="000000" w:sz="4" w:space="0"/>
              <w:left w:val="single" w:color="000000" w:sz="4" w:space="0"/>
              <w:bottom w:val="single" w:color="000000" w:sz="4" w:space="0"/>
              <w:right w:val="single" w:color="000000" w:sz="4" w:space="0"/>
            </w:tcBorders>
            <w:noWrap/>
            <w:vAlign w:val="center"/>
          </w:tcPr>
          <w:p w14:paraId="54A495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m2</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0FC918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1800</w:t>
            </w:r>
          </w:p>
        </w:tc>
        <w:tc>
          <w:tcPr>
            <w:tcW w:w="947" w:type="dxa"/>
            <w:tcBorders>
              <w:top w:val="single" w:color="000000" w:sz="4" w:space="0"/>
              <w:left w:val="single" w:color="000000" w:sz="4" w:space="0"/>
              <w:bottom w:val="single" w:color="000000" w:sz="4" w:space="0"/>
              <w:right w:val="single" w:color="000000" w:sz="4" w:space="0"/>
            </w:tcBorders>
            <w:noWrap/>
            <w:vAlign w:val="center"/>
          </w:tcPr>
          <w:p w14:paraId="4A729963">
            <w:pPr>
              <w:jc w:val="center"/>
              <w:rPr>
                <w:rFonts w:hint="eastAsia" w:ascii="宋体" w:hAnsi="宋体" w:eastAsia="宋体" w:cs="宋体"/>
                <w:i w:val="0"/>
                <w:iCs w:val="0"/>
                <w:color w:val="000000"/>
                <w:sz w:val="24"/>
                <w:szCs w:val="24"/>
                <w:u w:val="none"/>
              </w:rPr>
            </w:pPr>
          </w:p>
        </w:tc>
      </w:tr>
      <w:tr w14:paraId="240C19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6" w:hRule="atLeast"/>
          <w:jc w:val="center"/>
        </w:trPr>
        <w:tc>
          <w:tcPr>
            <w:tcW w:w="764" w:type="dxa"/>
            <w:tcBorders>
              <w:top w:val="single" w:color="000000" w:sz="4" w:space="0"/>
              <w:left w:val="single" w:color="000000" w:sz="4" w:space="0"/>
              <w:bottom w:val="single" w:color="000000" w:sz="4" w:space="0"/>
              <w:right w:val="single" w:color="000000" w:sz="4" w:space="0"/>
            </w:tcBorders>
            <w:noWrap/>
            <w:vAlign w:val="center"/>
          </w:tcPr>
          <w:p w14:paraId="579A88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417" w:type="dxa"/>
            <w:tcBorders>
              <w:top w:val="single" w:color="000000" w:sz="4" w:space="0"/>
              <w:left w:val="single" w:color="000000" w:sz="4" w:space="0"/>
              <w:bottom w:val="single" w:color="000000" w:sz="4" w:space="0"/>
              <w:right w:val="single" w:color="000000" w:sz="4" w:space="0"/>
            </w:tcBorders>
            <w:noWrap/>
            <w:vAlign w:val="center"/>
          </w:tcPr>
          <w:p w14:paraId="064C63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卫生间</w:t>
            </w:r>
          </w:p>
        </w:tc>
        <w:tc>
          <w:tcPr>
            <w:tcW w:w="3967" w:type="dxa"/>
            <w:tcBorders>
              <w:top w:val="single" w:color="000000" w:sz="4" w:space="0"/>
              <w:left w:val="single" w:color="000000" w:sz="4" w:space="0"/>
              <w:bottom w:val="single" w:color="000000" w:sz="4" w:space="0"/>
              <w:right w:val="single" w:color="000000" w:sz="4" w:space="0"/>
            </w:tcBorders>
            <w:noWrap w:val="0"/>
            <w:vAlign w:val="center"/>
          </w:tcPr>
          <w:p w14:paraId="66A220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拆除及新做墙面、地面及顶面，更换给排水管道及卫生器具等</w:t>
            </w:r>
          </w:p>
        </w:tc>
        <w:tc>
          <w:tcPr>
            <w:tcW w:w="783" w:type="dxa"/>
            <w:tcBorders>
              <w:top w:val="single" w:color="000000" w:sz="4" w:space="0"/>
              <w:left w:val="single" w:color="000000" w:sz="4" w:space="0"/>
              <w:bottom w:val="single" w:color="000000" w:sz="4" w:space="0"/>
              <w:right w:val="single" w:color="000000" w:sz="4" w:space="0"/>
            </w:tcBorders>
            <w:noWrap/>
            <w:vAlign w:val="center"/>
          </w:tcPr>
          <w:p w14:paraId="18016D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m2</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0A4211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947" w:type="dxa"/>
            <w:tcBorders>
              <w:top w:val="single" w:color="000000" w:sz="4" w:space="0"/>
              <w:left w:val="single" w:color="000000" w:sz="4" w:space="0"/>
              <w:bottom w:val="single" w:color="000000" w:sz="4" w:space="0"/>
              <w:right w:val="single" w:color="000000" w:sz="4" w:space="0"/>
            </w:tcBorders>
            <w:noWrap/>
            <w:vAlign w:val="center"/>
          </w:tcPr>
          <w:p w14:paraId="2EEC574D">
            <w:pPr>
              <w:jc w:val="center"/>
              <w:rPr>
                <w:rFonts w:hint="eastAsia" w:ascii="宋体" w:hAnsi="宋体" w:eastAsia="宋体" w:cs="宋体"/>
                <w:i w:val="0"/>
                <w:iCs w:val="0"/>
                <w:color w:val="000000"/>
                <w:sz w:val="24"/>
                <w:szCs w:val="24"/>
                <w:u w:val="none"/>
              </w:rPr>
            </w:pPr>
          </w:p>
        </w:tc>
      </w:tr>
      <w:tr w14:paraId="555597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jc w:val="center"/>
        </w:trPr>
        <w:tc>
          <w:tcPr>
            <w:tcW w:w="764" w:type="dxa"/>
            <w:tcBorders>
              <w:top w:val="single" w:color="000000" w:sz="4" w:space="0"/>
              <w:left w:val="single" w:color="000000" w:sz="4" w:space="0"/>
              <w:bottom w:val="single" w:color="000000" w:sz="4" w:space="0"/>
              <w:right w:val="single" w:color="000000" w:sz="4" w:space="0"/>
            </w:tcBorders>
            <w:noWrap/>
            <w:vAlign w:val="center"/>
          </w:tcPr>
          <w:p w14:paraId="2C849E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417" w:type="dxa"/>
            <w:tcBorders>
              <w:top w:val="single" w:color="000000" w:sz="4" w:space="0"/>
              <w:left w:val="single" w:color="000000" w:sz="4" w:space="0"/>
              <w:bottom w:val="single" w:color="000000" w:sz="4" w:space="0"/>
              <w:right w:val="single" w:color="000000" w:sz="4" w:space="0"/>
            </w:tcBorders>
            <w:noWrap/>
            <w:vAlign w:val="center"/>
          </w:tcPr>
          <w:p w14:paraId="128AC4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全场</w:t>
            </w:r>
          </w:p>
        </w:tc>
        <w:tc>
          <w:tcPr>
            <w:tcW w:w="3967" w:type="dxa"/>
            <w:tcBorders>
              <w:top w:val="single" w:color="000000" w:sz="4" w:space="0"/>
              <w:left w:val="single" w:color="000000" w:sz="4" w:space="0"/>
              <w:bottom w:val="single" w:color="000000" w:sz="4" w:space="0"/>
              <w:right w:val="single" w:color="000000" w:sz="4" w:space="0"/>
            </w:tcBorders>
            <w:noWrap w:val="0"/>
            <w:vAlign w:val="center"/>
          </w:tcPr>
          <w:p w14:paraId="5F4E3C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拆除原灯具等，新做配电箱、桥架、配管及灯具等</w:t>
            </w:r>
          </w:p>
        </w:tc>
        <w:tc>
          <w:tcPr>
            <w:tcW w:w="783" w:type="dxa"/>
            <w:tcBorders>
              <w:top w:val="single" w:color="000000" w:sz="4" w:space="0"/>
              <w:left w:val="single" w:color="000000" w:sz="4" w:space="0"/>
              <w:bottom w:val="single" w:color="000000" w:sz="4" w:space="0"/>
              <w:right w:val="single" w:color="000000" w:sz="4" w:space="0"/>
            </w:tcBorders>
            <w:noWrap/>
            <w:vAlign w:val="center"/>
          </w:tcPr>
          <w:p w14:paraId="0E082D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m2</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6A24F6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850</w:t>
            </w:r>
          </w:p>
        </w:tc>
        <w:tc>
          <w:tcPr>
            <w:tcW w:w="947" w:type="dxa"/>
            <w:tcBorders>
              <w:top w:val="single" w:color="000000" w:sz="4" w:space="0"/>
              <w:left w:val="single" w:color="000000" w:sz="4" w:space="0"/>
              <w:bottom w:val="single" w:color="000000" w:sz="4" w:space="0"/>
              <w:right w:val="single" w:color="000000" w:sz="4" w:space="0"/>
            </w:tcBorders>
            <w:noWrap/>
            <w:vAlign w:val="center"/>
          </w:tcPr>
          <w:p w14:paraId="775DE500">
            <w:pPr>
              <w:jc w:val="center"/>
              <w:rPr>
                <w:rFonts w:hint="eastAsia" w:ascii="宋体" w:hAnsi="宋体" w:eastAsia="宋体" w:cs="宋体"/>
                <w:i w:val="0"/>
                <w:iCs w:val="0"/>
                <w:color w:val="000000"/>
                <w:sz w:val="24"/>
                <w:szCs w:val="24"/>
                <w:u w:val="none"/>
              </w:rPr>
            </w:pPr>
          </w:p>
        </w:tc>
      </w:tr>
      <w:tr w14:paraId="1B281E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764" w:type="dxa"/>
            <w:tcBorders>
              <w:top w:val="single" w:color="000000" w:sz="4" w:space="0"/>
              <w:left w:val="single" w:color="000000" w:sz="4" w:space="0"/>
              <w:bottom w:val="single" w:color="000000" w:sz="4" w:space="0"/>
              <w:right w:val="single" w:color="000000" w:sz="4" w:space="0"/>
            </w:tcBorders>
            <w:noWrap/>
            <w:vAlign w:val="center"/>
          </w:tcPr>
          <w:p w14:paraId="28A7D0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417" w:type="dxa"/>
            <w:tcBorders>
              <w:top w:val="single" w:color="000000" w:sz="4" w:space="0"/>
              <w:left w:val="single" w:color="000000" w:sz="4" w:space="0"/>
              <w:bottom w:val="single" w:color="000000" w:sz="4" w:space="0"/>
              <w:right w:val="single" w:color="000000" w:sz="4" w:space="0"/>
            </w:tcBorders>
            <w:noWrap/>
            <w:vAlign w:val="center"/>
          </w:tcPr>
          <w:p w14:paraId="192703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全场</w:t>
            </w:r>
          </w:p>
        </w:tc>
        <w:tc>
          <w:tcPr>
            <w:tcW w:w="3967" w:type="dxa"/>
            <w:tcBorders>
              <w:top w:val="single" w:color="000000" w:sz="4" w:space="0"/>
              <w:left w:val="single" w:color="000000" w:sz="4" w:space="0"/>
              <w:bottom w:val="single" w:color="000000" w:sz="4" w:space="0"/>
              <w:right w:val="single" w:color="000000" w:sz="4" w:space="0"/>
            </w:tcBorders>
            <w:noWrap w:val="0"/>
            <w:vAlign w:val="center"/>
          </w:tcPr>
          <w:p w14:paraId="1583DF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增加应急灯具、配管及配线等</w:t>
            </w:r>
          </w:p>
        </w:tc>
        <w:tc>
          <w:tcPr>
            <w:tcW w:w="783" w:type="dxa"/>
            <w:tcBorders>
              <w:top w:val="single" w:color="000000" w:sz="4" w:space="0"/>
              <w:left w:val="single" w:color="000000" w:sz="4" w:space="0"/>
              <w:bottom w:val="single" w:color="000000" w:sz="4" w:space="0"/>
              <w:right w:val="single" w:color="000000" w:sz="4" w:space="0"/>
            </w:tcBorders>
            <w:noWrap/>
            <w:vAlign w:val="center"/>
          </w:tcPr>
          <w:p w14:paraId="63D5F3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m2</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65864D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850</w:t>
            </w:r>
          </w:p>
        </w:tc>
        <w:tc>
          <w:tcPr>
            <w:tcW w:w="947" w:type="dxa"/>
            <w:tcBorders>
              <w:top w:val="single" w:color="000000" w:sz="4" w:space="0"/>
              <w:left w:val="single" w:color="000000" w:sz="4" w:space="0"/>
              <w:bottom w:val="single" w:color="000000" w:sz="4" w:space="0"/>
              <w:right w:val="single" w:color="000000" w:sz="4" w:space="0"/>
            </w:tcBorders>
            <w:noWrap/>
            <w:vAlign w:val="center"/>
          </w:tcPr>
          <w:p w14:paraId="07E1C00B">
            <w:pPr>
              <w:jc w:val="center"/>
              <w:rPr>
                <w:rFonts w:hint="eastAsia" w:ascii="宋体" w:hAnsi="宋体" w:eastAsia="宋体" w:cs="宋体"/>
                <w:i w:val="0"/>
                <w:iCs w:val="0"/>
                <w:color w:val="000000"/>
                <w:sz w:val="24"/>
                <w:szCs w:val="24"/>
                <w:u w:val="none"/>
              </w:rPr>
            </w:pPr>
          </w:p>
        </w:tc>
      </w:tr>
      <w:tr w14:paraId="386A99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3" w:hRule="atLeast"/>
          <w:jc w:val="center"/>
        </w:trPr>
        <w:tc>
          <w:tcPr>
            <w:tcW w:w="764" w:type="dxa"/>
            <w:tcBorders>
              <w:top w:val="single" w:color="000000" w:sz="4" w:space="0"/>
              <w:left w:val="single" w:color="000000" w:sz="4" w:space="0"/>
              <w:bottom w:val="single" w:color="000000" w:sz="4" w:space="0"/>
              <w:right w:val="single" w:color="000000" w:sz="4" w:space="0"/>
            </w:tcBorders>
            <w:noWrap/>
            <w:vAlign w:val="center"/>
          </w:tcPr>
          <w:p w14:paraId="5DA7F9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417" w:type="dxa"/>
            <w:tcBorders>
              <w:top w:val="single" w:color="000000" w:sz="4" w:space="0"/>
              <w:left w:val="single" w:color="000000" w:sz="4" w:space="0"/>
              <w:bottom w:val="single" w:color="000000" w:sz="4" w:space="0"/>
              <w:right w:val="single" w:color="000000" w:sz="4" w:space="0"/>
            </w:tcBorders>
            <w:noWrap/>
            <w:vAlign w:val="center"/>
          </w:tcPr>
          <w:p w14:paraId="71FB02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全场</w:t>
            </w:r>
          </w:p>
        </w:tc>
        <w:tc>
          <w:tcPr>
            <w:tcW w:w="3967" w:type="dxa"/>
            <w:tcBorders>
              <w:top w:val="single" w:color="000000" w:sz="4" w:space="0"/>
              <w:left w:val="single" w:color="000000" w:sz="4" w:space="0"/>
              <w:bottom w:val="single" w:color="000000" w:sz="4" w:space="0"/>
              <w:right w:val="single" w:color="000000" w:sz="4" w:space="0"/>
            </w:tcBorders>
            <w:noWrap w:val="0"/>
            <w:vAlign w:val="center"/>
          </w:tcPr>
          <w:p w14:paraId="5C664D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增加吸顶无线AP、吸顶式音箱、监控及弱电插座等</w:t>
            </w:r>
          </w:p>
        </w:tc>
        <w:tc>
          <w:tcPr>
            <w:tcW w:w="783" w:type="dxa"/>
            <w:tcBorders>
              <w:top w:val="single" w:color="000000" w:sz="4" w:space="0"/>
              <w:left w:val="single" w:color="000000" w:sz="4" w:space="0"/>
              <w:bottom w:val="single" w:color="000000" w:sz="4" w:space="0"/>
              <w:right w:val="single" w:color="000000" w:sz="4" w:space="0"/>
            </w:tcBorders>
            <w:noWrap/>
            <w:vAlign w:val="center"/>
          </w:tcPr>
          <w:p w14:paraId="177835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m2</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27ADCB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850</w:t>
            </w:r>
          </w:p>
        </w:tc>
        <w:tc>
          <w:tcPr>
            <w:tcW w:w="947" w:type="dxa"/>
            <w:tcBorders>
              <w:top w:val="single" w:color="000000" w:sz="4" w:space="0"/>
              <w:left w:val="single" w:color="000000" w:sz="4" w:space="0"/>
              <w:bottom w:val="single" w:color="000000" w:sz="4" w:space="0"/>
              <w:right w:val="single" w:color="000000" w:sz="4" w:space="0"/>
            </w:tcBorders>
            <w:noWrap/>
            <w:vAlign w:val="center"/>
          </w:tcPr>
          <w:p w14:paraId="2A8CB260">
            <w:pPr>
              <w:jc w:val="center"/>
              <w:rPr>
                <w:rFonts w:hint="eastAsia" w:ascii="宋体" w:hAnsi="宋体" w:eastAsia="宋体" w:cs="宋体"/>
                <w:i w:val="0"/>
                <w:iCs w:val="0"/>
                <w:color w:val="000000"/>
                <w:sz w:val="24"/>
                <w:szCs w:val="24"/>
                <w:u w:val="none"/>
              </w:rPr>
            </w:pPr>
          </w:p>
        </w:tc>
      </w:tr>
      <w:tr w14:paraId="0B206A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2" w:hRule="atLeast"/>
          <w:jc w:val="center"/>
        </w:trPr>
        <w:tc>
          <w:tcPr>
            <w:tcW w:w="764" w:type="dxa"/>
            <w:tcBorders>
              <w:top w:val="single" w:color="000000" w:sz="4" w:space="0"/>
              <w:left w:val="single" w:color="000000" w:sz="4" w:space="0"/>
              <w:bottom w:val="single" w:color="000000" w:sz="4" w:space="0"/>
              <w:right w:val="single" w:color="000000" w:sz="4" w:space="0"/>
            </w:tcBorders>
            <w:noWrap/>
            <w:vAlign w:val="center"/>
          </w:tcPr>
          <w:p w14:paraId="598A82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417" w:type="dxa"/>
            <w:tcBorders>
              <w:top w:val="single" w:color="000000" w:sz="4" w:space="0"/>
              <w:left w:val="single" w:color="000000" w:sz="4" w:space="0"/>
              <w:bottom w:val="single" w:color="000000" w:sz="4" w:space="0"/>
              <w:right w:val="single" w:color="000000" w:sz="4" w:space="0"/>
            </w:tcBorders>
            <w:noWrap/>
            <w:vAlign w:val="center"/>
          </w:tcPr>
          <w:p w14:paraId="0D1A33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入口</w:t>
            </w:r>
          </w:p>
        </w:tc>
        <w:tc>
          <w:tcPr>
            <w:tcW w:w="3967" w:type="dxa"/>
            <w:tcBorders>
              <w:top w:val="single" w:color="000000" w:sz="4" w:space="0"/>
              <w:left w:val="single" w:color="000000" w:sz="4" w:space="0"/>
              <w:bottom w:val="single" w:color="000000" w:sz="4" w:space="0"/>
              <w:right w:val="single" w:color="000000" w:sz="4" w:space="0"/>
            </w:tcBorders>
            <w:noWrap/>
            <w:vAlign w:val="center"/>
          </w:tcPr>
          <w:p w14:paraId="48D1B304">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增加双通道闸机</w:t>
            </w:r>
          </w:p>
        </w:tc>
        <w:tc>
          <w:tcPr>
            <w:tcW w:w="783" w:type="dxa"/>
            <w:tcBorders>
              <w:top w:val="single" w:color="000000" w:sz="4" w:space="0"/>
              <w:left w:val="single" w:color="000000" w:sz="4" w:space="0"/>
              <w:bottom w:val="single" w:color="000000" w:sz="4" w:space="0"/>
              <w:right w:val="single" w:color="000000" w:sz="4" w:space="0"/>
            </w:tcBorders>
            <w:noWrap/>
            <w:vAlign w:val="center"/>
          </w:tcPr>
          <w:p w14:paraId="0EB27B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162E89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47" w:type="dxa"/>
            <w:tcBorders>
              <w:top w:val="single" w:color="000000" w:sz="4" w:space="0"/>
              <w:left w:val="single" w:color="000000" w:sz="4" w:space="0"/>
              <w:bottom w:val="single" w:color="000000" w:sz="4" w:space="0"/>
              <w:right w:val="single" w:color="000000" w:sz="4" w:space="0"/>
            </w:tcBorders>
            <w:noWrap/>
            <w:vAlign w:val="center"/>
          </w:tcPr>
          <w:p w14:paraId="21AFA5E9">
            <w:pPr>
              <w:jc w:val="center"/>
              <w:rPr>
                <w:rFonts w:hint="eastAsia" w:ascii="宋体" w:hAnsi="宋体" w:eastAsia="宋体" w:cs="宋体"/>
                <w:i w:val="0"/>
                <w:iCs w:val="0"/>
                <w:color w:val="000000"/>
                <w:sz w:val="24"/>
                <w:szCs w:val="24"/>
                <w:u w:val="none"/>
              </w:rPr>
            </w:pPr>
          </w:p>
        </w:tc>
      </w:tr>
    </w:tbl>
    <w:p w14:paraId="68401058">
      <w:pPr>
        <w:widowControl/>
        <w:spacing w:line="540" w:lineRule="exact"/>
        <w:jc w:val="left"/>
        <w:rPr>
          <w:rFonts w:hint="eastAsia" w:ascii="宋体" w:hAnsi="宋体" w:eastAsia="宋体" w:cs="宋体"/>
          <w:b/>
          <w:kern w:val="0"/>
          <w:sz w:val="24"/>
          <w:szCs w:val="24"/>
        </w:rPr>
      </w:pPr>
    </w:p>
    <w:p w14:paraId="5D1F275D">
      <w:pPr>
        <w:widowControl/>
        <w:spacing w:line="54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2).技术标准：</w:t>
      </w:r>
    </w:p>
    <w:tbl>
      <w:tblPr>
        <w:tblStyle w:val="1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4"/>
        <w:gridCol w:w="7804"/>
      </w:tblGrid>
      <w:tr w14:paraId="552067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4" w:type="dxa"/>
            <w:noWrap w:val="0"/>
            <w:vAlign w:val="top"/>
          </w:tcPr>
          <w:p w14:paraId="0341BECC">
            <w:pPr>
              <w:widowControl/>
              <w:spacing w:line="540" w:lineRule="exact"/>
              <w:jc w:val="center"/>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序号</w:t>
            </w:r>
          </w:p>
        </w:tc>
        <w:tc>
          <w:tcPr>
            <w:tcW w:w="7804" w:type="dxa"/>
            <w:noWrap w:val="0"/>
            <w:vAlign w:val="top"/>
          </w:tcPr>
          <w:p w14:paraId="58E0160C">
            <w:pPr>
              <w:widowControl/>
              <w:spacing w:line="540" w:lineRule="exact"/>
              <w:jc w:val="center"/>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标准、规范、规程名称</w:t>
            </w:r>
          </w:p>
        </w:tc>
      </w:tr>
      <w:tr w14:paraId="73B48C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4" w:type="dxa"/>
            <w:noWrap w:val="0"/>
            <w:vAlign w:val="top"/>
          </w:tcPr>
          <w:p w14:paraId="5FABD9B6">
            <w:pPr>
              <w:widowControl/>
              <w:spacing w:line="540" w:lineRule="exact"/>
              <w:jc w:val="center"/>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1</w:t>
            </w:r>
          </w:p>
        </w:tc>
        <w:tc>
          <w:tcPr>
            <w:tcW w:w="7804" w:type="dxa"/>
            <w:noWrap w:val="0"/>
            <w:vAlign w:val="top"/>
          </w:tcPr>
          <w:p w14:paraId="28397769">
            <w:pPr>
              <w:widowControl/>
              <w:spacing w:line="540" w:lineRule="exact"/>
              <w:jc w:val="center"/>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《民用建筑设计统一标准》GB 50352-2019</w:t>
            </w:r>
          </w:p>
        </w:tc>
      </w:tr>
      <w:tr w14:paraId="6520C1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4" w:type="dxa"/>
            <w:noWrap w:val="0"/>
            <w:vAlign w:val="top"/>
          </w:tcPr>
          <w:p w14:paraId="17FF78AE">
            <w:pPr>
              <w:widowControl/>
              <w:spacing w:line="540" w:lineRule="exact"/>
              <w:jc w:val="center"/>
              <w:rPr>
                <w:rFonts w:hint="eastAsia" w:ascii="宋体" w:hAnsi="宋体" w:eastAsia="宋体" w:cs="宋体"/>
                <w:bCs/>
                <w:kern w:val="0"/>
                <w:sz w:val="24"/>
                <w:szCs w:val="24"/>
                <w:highlight w:val="none"/>
                <w:lang w:val="en-US" w:eastAsia="zh-CN"/>
              </w:rPr>
            </w:pPr>
            <w:r>
              <w:rPr>
                <w:rFonts w:hint="eastAsia" w:ascii="宋体" w:hAnsi="宋体" w:eastAsia="宋体" w:cs="宋体"/>
                <w:bCs/>
                <w:kern w:val="0"/>
                <w:sz w:val="24"/>
                <w:szCs w:val="24"/>
                <w:highlight w:val="none"/>
                <w:lang w:val="en-US" w:eastAsia="zh-CN"/>
              </w:rPr>
              <w:t>2</w:t>
            </w:r>
          </w:p>
        </w:tc>
        <w:tc>
          <w:tcPr>
            <w:tcW w:w="7804" w:type="dxa"/>
            <w:noWrap w:val="0"/>
            <w:vAlign w:val="top"/>
          </w:tcPr>
          <w:p w14:paraId="799B3F2D">
            <w:pPr>
              <w:widowControl/>
              <w:spacing w:line="540" w:lineRule="exact"/>
              <w:jc w:val="center"/>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lang w:val="en-US" w:eastAsia="zh-CN"/>
              </w:rPr>
              <w:t>《民用建筑通用规范》GB 55031-2022</w:t>
            </w:r>
          </w:p>
        </w:tc>
      </w:tr>
      <w:tr w14:paraId="3C6EBD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4" w:type="dxa"/>
            <w:noWrap w:val="0"/>
            <w:vAlign w:val="top"/>
          </w:tcPr>
          <w:p w14:paraId="207BE97F">
            <w:pPr>
              <w:widowControl/>
              <w:spacing w:line="540" w:lineRule="exact"/>
              <w:jc w:val="center"/>
              <w:rPr>
                <w:rFonts w:hint="eastAsia" w:ascii="宋体" w:hAnsi="宋体" w:eastAsia="宋体" w:cs="宋体"/>
                <w:bCs/>
                <w:kern w:val="0"/>
                <w:sz w:val="24"/>
                <w:szCs w:val="24"/>
                <w:highlight w:val="none"/>
                <w:lang w:eastAsia="zh-CN"/>
              </w:rPr>
            </w:pPr>
            <w:r>
              <w:rPr>
                <w:rFonts w:hint="eastAsia" w:ascii="宋体" w:hAnsi="宋体" w:eastAsia="宋体" w:cs="宋体"/>
                <w:bCs/>
                <w:kern w:val="0"/>
                <w:sz w:val="24"/>
                <w:szCs w:val="24"/>
                <w:highlight w:val="none"/>
                <w:lang w:val="en-US" w:eastAsia="zh-CN"/>
              </w:rPr>
              <w:t>3</w:t>
            </w:r>
          </w:p>
        </w:tc>
        <w:tc>
          <w:tcPr>
            <w:tcW w:w="7804" w:type="dxa"/>
            <w:noWrap w:val="0"/>
            <w:vAlign w:val="top"/>
          </w:tcPr>
          <w:p w14:paraId="3BAC8064">
            <w:pPr>
              <w:widowControl/>
              <w:spacing w:line="540" w:lineRule="exact"/>
              <w:jc w:val="center"/>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lang w:val="en-US" w:eastAsia="zh-CN"/>
              </w:rPr>
              <w:t>《建筑设计防火规范》GB50016-2014（2018 年版）</w:t>
            </w:r>
          </w:p>
        </w:tc>
      </w:tr>
      <w:tr w14:paraId="5B19F4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4" w:type="dxa"/>
            <w:noWrap w:val="0"/>
            <w:vAlign w:val="top"/>
          </w:tcPr>
          <w:p w14:paraId="3A25DAB6">
            <w:pPr>
              <w:widowControl/>
              <w:spacing w:line="540" w:lineRule="exact"/>
              <w:jc w:val="center"/>
              <w:rPr>
                <w:rFonts w:hint="eastAsia" w:ascii="宋体" w:hAnsi="宋体" w:eastAsia="宋体" w:cs="宋体"/>
                <w:bCs/>
                <w:kern w:val="0"/>
                <w:sz w:val="24"/>
                <w:szCs w:val="24"/>
                <w:highlight w:val="none"/>
                <w:lang w:eastAsia="zh-CN"/>
              </w:rPr>
            </w:pPr>
            <w:r>
              <w:rPr>
                <w:rFonts w:hint="eastAsia" w:ascii="宋体" w:hAnsi="宋体" w:eastAsia="宋体" w:cs="宋体"/>
                <w:bCs/>
                <w:kern w:val="0"/>
                <w:sz w:val="24"/>
                <w:szCs w:val="24"/>
                <w:highlight w:val="none"/>
                <w:lang w:val="en-US" w:eastAsia="zh-CN"/>
              </w:rPr>
              <w:t>4</w:t>
            </w:r>
          </w:p>
        </w:tc>
        <w:tc>
          <w:tcPr>
            <w:tcW w:w="7804" w:type="dxa"/>
            <w:tcBorders>
              <w:top w:val="single" w:color="000000" w:sz="4" w:space="0"/>
              <w:left w:val="single" w:color="000000" w:sz="4" w:space="0"/>
              <w:bottom w:val="single" w:color="000000" w:sz="4" w:space="0"/>
              <w:right w:val="single" w:color="000000" w:sz="4" w:space="0"/>
            </w:tcBorders>
            <w:noWrap w:val="0"/>
            <w:vAlign w:val="top"/>
          </w:tcPr>
          <w:p w14:paraId="284A0D7E">
            <w:pPr>
              <w:widowControl/>
              <w:spacing w:line="540" w:lineRule="exact"/>
              <w:jc w:val="center"/>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lang w:val="en-US" w:eastAsia="zh-CN"/>
              </w:rPr>
              <w:t>《建筑防火通用规范》GB 55037-2022</w:t>
            </w:r>
          </w:p>
        </w:tc>
      </w:tr>
      <w:tr w14:paraId="0441A0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4" w:type="dxa"/>
            <w:noWrap w:val="0"/>
            <w:vAlign w:val="top"/>
          </w:tcPr>
          <w:p w14:paraId="0F550266">
            <w:pPr>
              <w:widowControl/>
              <w:spacing w:line="540" w:lineRule="exact"/>
              <w:jc w:val="center"/>
              <w:rPr>
                <w:rFonts w:hint="eastAsia" w:ascii="宋体" w:hAnsi="宋体" w:eastAsia="宋体" w:cs="宋体"/>
                <w:bCs/>
                <w:kern w:val="0"/>
                <w:sz w:val="24"/>
                <w:szCs w:val="24"/>
                <w:highlight w:val="none"/>
                <w:lang w:val="en-US" w:eastAsia="zh-CN"/>
              </w:rPr>
            </w:pPr>
            <w:r>
              <w:rPr>
                <w:rFonts w:hint="eastAsia" w:ascii="宋体" w:hAnsi="宋体" w:eastAsia="宋体" w:cs="宋体"/>
                <w:bCs/>
                <w:kern w:val="0"/>
                <w:sz w:val="24"/>
                <w:szCs w:val="24"/>
                <w:highlight w:val="none"/>
                <w:lang w:val="en-US" w:eastAsia="zh-CN"/>
              </w:rPr>
              <w:t>5</w:t>
            </w:r>
          </w:p>
        </w:tc>
        <w:tc>
          <w:tcPr>
            <w:tcW w:w="7804" w:type="dxa"/>
            <w:tcBorders>
              <w:top w:val="single" w:color="000000" w:sz="4" w:space="0"/>
              <w:left w:val="single" w:color="000000" w:sz="4" w:space="0"/>
              <w:bottom w:val="single" w:color="000000" w:sz="4" w:space="0"/>
              <w:right w:val="single" w:color="000000" w:sz="4" w:space="0"/>
            </w:tcBorders>
            <w:noWrap w:val="0"/>
            <w:vAlign w:val="top"/>
          </w:tcPr>
          <w:p w14:paraId="3B874D32">
            <w:pPr>
              <w:widowControl/>
              <w:spacing w:line="540" w:lineRule="exact"/>
              <w:jc w:val="center"/>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《公共建筑节能设计标准》GB 50189-2015</w:t>
            </w:r>
          </w:p>
        </w:tc>
      </w:tr>
      <w:tr w14:paraId="18A82B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4" w:type="dxa"/>
            <w:noWrap w:val="0"/>
            <w:vAlign w:val="top"/>
          </w:tcPr>
          <w:p w14:paraId="56183D14">
            <w:pPr>
              <w:widowControl/>
              <w:spacing w:line="540" w:lineRule="exact"/>
              <w:jc w:val="center"/>
              <w:rPr>
                <w:rFonts w:hint="eastAsia" w:ascii="宋体" w:hAnsi="宋体" w:eastAsia="宋体" w:cs="宋体"/>
                <w:bCs/>
                <w:kern w:val="0"/>
                <w:sz w:val="24"/>
                <w:szCs w:val="24"/>
                <w:highlight w:val="none"/>
                <w:lang w:eastAsia="zh-CN"/>
              </w:rPr>
            </w:pPr>
            <w:r>
              <w:rPr>
                <w:rFonts w:hint="eastAsia" w:ascii="宋体" w:hAnsi="宋体" w:eastAsia="宋体" w:cs="宋体"/>
                <w:bCs/>
                <w:kern w:val="0"/>
                <w:sz w:val="24"/>
                <w:szCs w:val="24"/>
                <w:highlight w:val="none"/>
                <w:lang w:val="en-US" w:eastAsia="zh-CN"/>
              </w:rPr>
              <w:t>6</w:t>
            </w:r>
          </w:p>
        </w:tc>
        <w:tc>
          <w:tcPr>
            <w:tcW w:w="7804" w:type="dxa"/>
            <w:tcBorders>
              <w:top w:val="single" w:color="000000" w:sz="4" w:space="0"/>
              <w:left w:val="single" w:color="000000" w:sz="4" w:space="0"/>
              <w:bottom w:val="single" w:color="000000" w:sz="4" w:space="0"/>
              <w:right w:val="single" w:color="000000" w:sz="4" w:space="0"/>
            </w:tcBorders>
            <w:noWrap w:val="0"/>
            <w:vAlign w:val="top"/>
          </w:tcPr>
          <w:p w14:paraId="605DE3EA">
            <w:pPr>
              <w:widowControl/>
              <w:spacing w:line="540" w:lineRule="exact"/>
              <w:jc w:val="center"/>
              <w:rPr>
                <w:rFonts w:hint="eastAsia" w:ascii="宋体" w:hAnsi="宋体" w:eastAsia="宋体" w:cs="宋体"/>
                <w:bCs/>
                <w:kern w:val="0"/>
                <w:sz w:val="24"/>
                <w:szCs w:val="24"/>
                <w:highlight w:val="none"/>
                <w:lang w:val="en-US" w:eastAsia="zh-CN"/>
              </w:rPr>
            </w:pPr>
            <w:r>
              <w:rPr>
                <w:rFonts w:hint="eastAsia" w:ascii="宋体" w:hAnsi="宋体" w:eastAsia="宋体" w:cs="宋体"/>
                <w:bCs/>
                <w:kern w:val="0"/>
                <w:sz w:val="24"/>
                <w:szCs w:val="24"/>
                <w:highlight w:val="none"/>
              </w:rPr>
              <w:t>《建筑节能与可再生能源利用通用规范》GB 55015-2021</w:t>
            </w:r>
          </w:p>
        </w:tc>
      </w:tr>
      <w:tr w14:paraId="3BA664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4" w:type="dxa"/>
            <w:noWrap w:val="0"/>
            <w:vAlign w:val="top"/>
          </w:tcPr>
          <w:p w14:paraId="4781CB8E">
            <w:pPr>
              <w:widowControl/>
              <w:spacing w:line="540" w:lineRule="exact"/>
              <w:jc w:val="center"/>
              <w:rPr>
                <w:rFonts w:hint="eastAsia" w:ascii="宋体" w:hAnsi="宋体" w:eastAsia="宋体" w:cs="宋体"/>
                <w:bCs/>
                <w:kern w:val="0"/>
                <w:sz w:val="24"/>
                <w:szCs w:val="24"/>
                <w:highlight w:val="none"/>
                <w:lang w:eastAsia="zh-CN"/>
              </w:rPr>
            </w:pPr>
            <w:r>
              <w:rPr>
                <w:rFonts w:hint="eastAsia" w:ascii="宋体" w:hAnsi="宋体" w:eastAsia="宋体" w:cs="宋体"/>
                <w:bCs/>
                <w:kern w:val="0"/>
                <w:sz w:val="24"/>
                <w:szCs w:val="24"/>
                <w:highlight w:val="none"/>
                <w:lang w:val="en-US" w:eastAsia="zh-CN"/>
              </w:rPr>
              <w:t>7</w:t>
            </w:r>
          </w:p>
        </w:tc>
        <w:tc>
          <w:tcPr>
            <w:tcW w:w="7804" w:type="dxa"/>
            <w:tcBorders>
              <w:top w:val="single" w:color="000000" w:sz="4" w:space="0"/>
              <w:left w:val="single" w:color="000000" w:sz="4" w:space="0"/>
              <w:bottom w:val="single" w:color="000000" w:sz="4" w:space="0"/>
              <w:right w:val="single" w:color="000000" w:sz="4" w:space="0"/>
            </w:tcBorders>
            <w:noWrap w:val="0"/>
            <w:vAlign w:val="top"/>
          </w:tcPr>
          <w:p w14:paraId="4EBBACC4">
            <w:pPr>
              <w:widowControl/>
              <w:spacing w:line="540" w:lineRule="exact"/>
              <w:jc w:val="center"/>
              <w:rPr>
                <w:rFonts w:hint="default" w:ascii="宋体" w:hAnsi="宋体" w:eastAsia="宋体" w:cs="宋体"/>
                <w:bCs/>
                <w:kern w:val="0"/>
                <w:sz w:val="24"/>
                <w:szCs w:val="24"/>
                <w:highlight w:val="none"/>
                <w:lang w:val="en-US" w:eastAsia="zh-CN"/>
              </w:rPr>
            </w:pPr>
            <w:r>
              <w:rPr>
                <w:rFonts w:hint="eastAsia" w:ascii="宋体" w:hAnsi="宋体" w:eastAsia="宋体" w:cs="宋体"/>
                <w:bCs/>
                <w:kern w:val="0"/>
                <w:sz w:val="24"/>
                <w:szCs w:val="24"/>
                <w:highlight w:val="none"/>
                <w:lang w:val="en-US" w:eastAsia="zh-CN"/>
              </w:rPr>
              <w:t>《室内空气质量标准》GB/T 18883-2022</w:t>
            </w:r>
          </w:p>
        </w:tc>
      </w:tr>
      <w:tr w14:paraId="276057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4" w:type="dxa"/>
            <w:noWrap w:val="0"/>
            <w:vAlign w:val="top"/>
          </w:tcPr>
          <w:p w14:paraId="16F4A709">
            <w:pPr>
              <w:widowControl/>
              <w:spacing w:line="540" w:lineRule="exact"/>
              <w:jc w:val="center"/>
              <w:rPr>
                <w:rFonts w:hint="eastAsia" w:ascii="宋体" w:hAnsi="宋体" w:eastAsia="宋体" w:cs="宋体"/>
                <w:bCs/>
                <w:kern w:val="0"/>
                <w:sz w:val="24"/>
                <w:szCs w:val="24"/>
                <w:highlight w:val="none"/>
                <w:lang w:val="en-US" w:eastAsia="zh-CN"/>
              </w:rPr>
            </w:pPr>
            <w:r>
              <w:rPr>
                <w:rFonts w:hint="eastAsia" w:ascii="宋体" w:hAnsi="宋体" w:eastAsia="宋体" w:cs="宋体"/>
                <w:bCs/>
                <w:kern w:val="0"/>
                <w:sz w:val="24"/>
                <w:szCs w:val="24"/>
                <w:highlight w:val="none"/>
                <w:lang w:val="en-US" w:eastAsia="zh-CN"/>
              </w:rPr>
              <w:t>8</w:t>
            </w:r>
          </w:p>
        </w:tc>
        <w:tc>
          <w:tcPr>
            <w:tcW w:w="7804" w:type="dxa"/>
            <w:tcBorders>
              <w:top w:val="single" w:color="000000" w:sz="4" w:space="0"/>
              <w:left w:val="single" w:color="000000" w:sz="4" w:space="0"/>
              <w:bottom w:val="single" w:color="000000" w:sz="4" w:space="0"/>
              <w:right w:val="single" w:color="000000" w:sz="4" w:space="0"/>
            </w:tcBorders>
            <w:noWrap w:val="0"/>
            <w:vAlign w:val="top"/>
          </w:tcPr>
          <w:p w14:paraId="47D1B958">
            <w:pPr>
              <w:widowControl/>
              <w:spacing w:line="540" w:lineRule="exact"/>
              <w:jc w:val="center"/>
              <w:rPr>
                <w:rFonts w:hint="eastAsia" w:ascii="宋体" w:hAnsi="宋体" w:eastAsia="宋体" w:cs="宋体"/>
                <w:bCs/>
                <w:kern w:val="0"/>
                <w:sz w:val="24"/>
                <w:szCs w:val="24"/>
                <w:highlight w:val="none"/>
                <w:lang w:val="en-US" w:eastAsia="zh-CN"/>
              </w:rPr>
            </w:pPr>
            <w:r>
              <w:rPr>
                <w:rFonts w:hint="eastAsia" w:ascii="宋体" w:hAnsi="宋体" w:eastAsia="宋体" w:cs="宋体"/>
                <w:bCs/>
                <w:kern w:val="0"/>
                <w:sz w:val="24"/>
                <w:szCs w:val="24"/>
                <w:highlight w:val="none"/>
                <w:lang w:val="en-US" w:eastAsia="zh-CN"/>
              </w:rPr>
              <w:t>《建筑工程施工质量验收统一标准》GB50300-2013</w:t>
            </w:r>
          </w:p>
        </w:tc>
      </w:tr>
      <w:tr w14:paraId="00689B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4" w:type="dxa"/>
            <w:noWrap w:val="0"/>
            <w:vAlign w:val="top"/>
          </w:tcPr>
          <w:p w14:paraId="7FFEF774">
            <w:pPr>
              <w:widowControl/>
              <w:spacing w:line="540" w:lineRule="exact"/>
              <w:jc w:val="center"/>
              <w:rPr>
                <w:rFonts w:hint="eastAsia" w:ascii="宋体" w:hAnsi="宋体" w:eastAsia="宋体" w:cs="宋体"/>
                <w:bCs/>
                <w:kern w:val="0"/>
                <w:sz w:val="24"/>
                <w:szCs w:val="24"/>
                <w:highlight w:val="none"/>
                <w:lang w:val="en-US" w:eastAsia="zh-CN"/>
              </w:rPr>
            </w:pPr>
            <w:r>
              <w:rPr>
                <w:rFonts w:hint="eastAsia" w:ascii="宋体" w:hAnsi="宋体" w:eastAsia="宋体" w:cs="宋体"/>
                <w:bCs/>
                <w:kern w:val="0"/>
                <w:sz w:val="24"/>
                <w:szCs w:val="24"/>
                <w:highlight w:val="none"/>
                <w:lang w:val="en-US" w:eastAsia="zh-CN"/>
              </w:rPr>
              <w:t>9</w:t>
            </w:r>
          </w:p>
        </w:tc>
        <w:tc>
          <w:tcPr>
            <w:tcW w:w="7804" w:type="dxa"/>
            <w:tcBorders>
              <w:top w:val="single" w:color="000000" w:sz="4" w:space="0"/>
              <w:left w:val="single" w:color="000000" w:sz="4" w:space="0"/>
              <w:bottom w:val="single" w:color="000000" w:sz="4" w:space="0"/>
              <w:right w:val="single" w:color="000000" w:sz="4" w:space="0"/>
            </w:tcBorders>
            <w:noWrap w:val="0"/>
            <w:vAlign w:val="top"/>
          </w:tcPr>
          <w:p w14:paraId="27DBE36E">
            <w:pPr>
              <w:widowControl/>
              <w:spacing w:line="540" w:lineRule="exact"/>
              <w:jc w:val="center"/>
              <w:rPr>
                <w:rFonts w:hint="eastAsia" w:ascii="宋体" w:hAnsi="宋体" w:eastAsia="宋体" w:cs="宋体"/>
                <w:bCs/>
                <w:kern w:val="0"/>
                <w:sz w:val="24"/>
                <w:szCs w:val="24"/>
                <w:highlight w:val="none"/>
                <w:lang w:val="en-US" w:eastAsia="zh-CN"/>
              </w:rPr>
            </w:pPr>
            <w:r>
              <w:rPr>
                <w:rFonts w:hint="eastAsia" w:ascii="宋体" w:hAnsi="宋体" w:eastAsia="宋体" w:cs="宋体"/>
                <w:bCs/>
                <w:kern w:val="0"/>
                <w:sz w:val="24"/>
                <w:szCs w:val="24"/>
                <w:highlight w:val="none"/>
                <w:lang w:val="en-US" w:eastAsia="zh-CN"/>
              </w:rPr>
              <w:t>《建筑与市政工程施工质量控制通用规范》GB 55032-2022</w:t>
            </w:r>
          </w:p>
        </w:tc>
      </w:tr>
      <w:tr w14:paraId="5F2E56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4" w:type="dxa"/>
            <w:noWrap w:val="0"/>
            <w:vAlign w:val="top"/>
          </w:tcPr>
          <w:p w14:paraId="1632ACE7">
            <w:pPr>
              <w:widowControl/>
              <w:spacing w:line="540" w:lineRule="exact"/>
              <w:jc w:val="center"/>
              <w:rPr>
                <w:rFonts w:hint="default" w:ascii="宋体" w:hAnsi="宋体" w:eastAsia="宋体" w:cs="宋体"/>
                <w:bCs/>
                <w:kern w:val="0"/>
                <w:sz w:val="24"/>
                <w:szCs w:val="24"/>
                <w:highlight w:val="none"/>
                <w:lang w:val="en-US" w:eastAsia="zh-CN"/>
              </w:rPr>
            </w:pPr>
            <w:r>
              <w:rPr>
                <w:rFonts w:hint="eastAsia" w:ascii="宋体" w:hAnsi="宋体" w:eastAsia="宋体" w:cs="宋体"/>
                <w:bCs/>
                <w:kern w:val="0"/>
                <w:sz w:val="24"/>
                <w:szCs w:val="24"/>
                <w:highlight w:val="none"/>
                <w:lang w:val="en-US" w:eastAsia="zh-CN"/>
              </w:rPr>
              <w:t>10</w:t>
            </w:r>
          </w:p>
        </w:tc>
        <w:tc>
          <w:tcPr>
            <w:tcW w:w="7804" w:type="dxa"/>
            <w:tcBorders>
              <w:top w:val="single" w:color="000000" w:sz="4" w:space="0"/>
              <w:left w:val="single" w:color="000000" w:sz="4" w:space="0"/>
              <w:bottom w:val="single" w:color="000000" w:sz="4" w:space="0"/>
              <w:right w:val="single" w:color="000000" w:sz="4" w:space="0"/>
            </w:tcBorders>
            <w:noWrap w:val="0"/>
            <w:vAlign w:val="top"/>
          </w:tcPr>
          <w:p w14:paraId="5E4425DC">
            <w:pPr>
              <w:widowControl/>
              <w:spacing w:line="540" w:lineRule="exact"/>
              <w:jc w:val="center"/>
              <w:rPr>
                <w:rFonts w:hint="eastAsia" w:ascii="宋体" w:hAnsi="宋体" w:eastAsia="宋体" w:cs="宋体"/>
                <w:bCs/>
                <w:kern w:val="0"/>
                <w:sz w:val="24"/>
                <w:szCs w:val="24"/>
                <w:highlight w:val="none"/>
                <w:lang w:val="en-US" w:eastAsia="zh-CN"/>
              </w:rPr>
            </w:pPr>
            <w:r>
              <w:rPr>
                <w:rFonts w:hint="eastAsia" w:ascii="宋体" w:hAnsi="宋体" w:eastAsia="宋体" w:cs="宋体"/>
                <w:bCs/>
                <w:kern w:val="0"/>
                <w:sz w:val="24"/>
                <w:szCs w:val="24"/>
                <w:highlight w:val="none"/>
                <w:lang w:val="en-US" w:eastAsia="zh-CN"/>
              </w:rPr>
              <w:t>《建筑装饰装修工程质量验收标准》GB 50210-2018</w:t>
            </w:r>
          </w:p>
        </w:tc>
      </w:tr>
      <w:tr w14:paraId="4D7574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4" w:type="dxa"/>
            <w:noWrap w:val="0"/>
            <w:vAlign w:val="top"/>
          </w:tcPr>
          <w:p w14:paraId="69478DCA">
            <w:pPr>
              <w:widowControl/>
              <w:spacing w:line="540" w:lineRule="exact"/>
              <w:jc w:val="center"/>
              <w:rPr>
                <w:rFonts w:hint="default" w:ascii="宋体" w:hAnsi="宋体" w:eastAsia="宋体" w:cs="宋体"/>
                <w:bCs/>
                <w:kern w:val="0"/>
                <w:sz w:val="24"/>
                <w:szCs w:val="24"/>
                <w:highlight w:val="none"/>
                <w:lang w:val="en-US" w:eastAsia="zh-CN"/>
              </w:rPr>
            </w:pPr>
            <w:r>
              <w:rPr>
                <w:rFonts w:hint="eastAsia" w:ascii="宋体" w:hAnsi="宋体" w:eastAsia="宋体" w:cs="宋体"/>
                <w:bCs/>
                <w:kern w:val="0"/>
                <w:sz w:val="24"/>
                <w:szCs w:val="24"/>
                <w:highlight w:val="none"/>
                <w:lang w:val="en-US" w:eastAsia="zh-CN"/>
              </w:rPr>
              <w:t>11</w:t>
            </w:r>
          </w:p>
        </w:tc>
        <w:tc>
          <w:tcPr>
            <w:tcW w:w="7804" w:type="dxa"/>
            <w:tcBorders>
              <w:top w:val="single" w:color="000000" w:sz="4" w:space="0"/>
              <w:left w:val="single" w:color="000000" w:sz="4" w:space="0"/>
              <w:bottom w:val="single" w:color="000000" w:sz="4" w:space="0"/>
              <w:right w:val="single" w:color="000000" w:sz="4" w:space="0"/>
            </w:tcBorders>
            <w:noWrap w:val="0"/>
            <w:vAlign w:val="top"/>
          </w:tcPr>
          <w:p w14:paraId="468EA9D0">
            <w:pPr>
              <w:widowControl/>
              <w:spacing w:line="540" w:lineRule="exact"/>
              <w:jc w:val="center"/>
              <w:rPr>
                <w:rFonts w:hint="eastAsia" w:ascii="宋体" w:hAnsi="宋体" w:eastAsia="宋体" w:cs="宋体"/>
                <w:bCs/>
                <w:kern w:val="0"/>
                <w:sz w:val="24"/>
                <w:szCs w:val="24"/>
                <w:highlight w:val="none"/>
                <w:lang w:val="en-US" w:eastAsia="zh-CN"/>
              </w:rPr>
            </w:pPr>
            <w:r>
              <w:rPr>
                <w:rFonts w:hint="eastAsia" w:ascii="宋体" w:hAnsi="宋体" w:eastAsia="宋体" w:cs="宋体"/>
                <w:bCs/>
                <w:kern w:val="0"/>
                <w:sz w:val="24"/>
                <w:szCs w:val="24"/>
                <w:highlight w:val="none"/>
                <w:lang w:val="en-US" w:eastAsia="zh-CN"/>
              </w:rPr>
              <w:t>《民用建筑工程室内环境污染控制标准》GB50325-2020</w:t>
            </w:r>
          </w:p>
        </w:tc>
      </w:tr>
      <w:tr w14:paraId="1087F8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4" w:type="dxa"/>
            <w:noWrap w:val="0"/>
            <w:vAlign w:val="top"/>
          </w:tcPr>
          <w:p w14:paraId="450B1980">
            <w:pPr>
              <w:widowControl/>
              <w:spacing w:line="540" w:lineRule="exact"/>
              <w:jc w:val="center"/>
              <w:rPr>
                <w:rFonts w:hint="default" w:ascii="宋体" w:hAnsi="宋体" w:eastAsia="宋体" w:cs="宋体"/>
                <w:bCs/>
                <w:kern w:val="0"/>
                <w:sz w:val="24"/>
                <w:szCs w:val="24"/>
                <w:highlight w:val="none"/>
                <w:lang w:val="en-US" w:eastAsia="zh-CN"/>
              </w:rPr>
            </w:pPr>
            <w:r>
              <w:rPr>
                <w:rFonts w:hint="eastAsia" w:ascii="宋体" w:hAnsi="宋体" w:eastAsia="宋体" w:cs="宋体"/>
                <w:bCs/>
                <w:kern w:val="0"/>
                <w:sz w:val="24"/>
                <w:szCs w:val="24"/>
                <w:highlight w:val="none"/>
                <w:lang w:val="en-US" w:eastAsia="zh-CN"/>
              </w:rPr>
              <w:t>12</w:t>
            </w:r>
          </w:p>
        </w:tc>
        <w:tc>
          <w:tcPr>
            <w:tcW w:w="7804" w:type="dxa"/>
            <w:tcBorders>
              <w:top w:val="single" w:color="000000" w:sz="4" w:space="0"/>
              <w:left w:val="single" w:color="000000" w:sz="4" w:space="0"/>
              <w:bottom w:val="single" w:color="000000" w:sz="4" w:space="0"/>
              <w:right w:val="single" w:color="000000" w:sz="4" w:space="0"/>
            </w:tcBorders>
            <w:noWrap w:val="0"/>
            <w:vAlign w:val="top"/>
          </w:tcPr>
          <w:p w14:paraId="6232E50C">
            <w:pPr>
              <w:widowControl/>
              <w:spacing w:line="540" w:lineRule="exact"/>
              <w:jc w:val="center"/>
              <w:rPr>
                <w:rFonts w:hint="eastAsia" w:ascii="宋体" w:hAnsi="宋体" w:eastAsia="宋体" w:cs="宋体"/>
                <w:bCs/>
                <w:kern w:val="0"/>
                <w:sz w:val="24"/>
                <w:szCs w:val="24"/>
                <w:highlight w:val="none"/>
                <w:lang w:val="en-US" w:eastAsia="zh-CN"/>
              </w:rPr>
            </w:pPr>
            <w:r>
              <w:rPr>
                <w:rFonts w:hint="eastAsia" w:ascii="宋体" w:hAnsi="宋体" w:eastAsia="宋体" w:cs="宋体"/>
                <w:bCs/>
                <w:kern w:val="0"/>
                <w:sz w:val="24"/>
                <w:szCs w:val="24"/>
                <w:highlight w:val="none"/>
                <w:lang w:val="en-US" w:eastAsia="zh-CN"/>
              </w:rPr>
              <w:t>《室内装饰装修材料 人造板及其制品中甲醛释放限量》GB 18580-2025</w:t>
            </w:r>
          </w:p>
        </w:tc>
      </w:tr>
    </w:tbl>
    <w:p w14:paraId="36C21C57">
      <w:pPr>
        <w:spacing w:line="5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（3）施工组织要求</w:t>
      </w:r>
    </w:p>
    <w:p w14:paraId="2F51C09F">
      <w:pPr>
        <w:spacing w:line="5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供应商须编制详细的施工组织设计，包括施工进度计划、人员配置计划、材料进场计划、质量保证措施、安全文明施工措施、应急预案等；</w:t>
      </w:r>
    </w:p>
    <w:p w14:paraId="659B0824">
      <w:pPr>
        <w:spacing w:line="5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项目经理须常驻施工现场，负责工程的全面管理和协调工作；</w:t>
      </w:r>
    </w:p>
    <w:p w14:paraId="21AF5C70">
      <w:pPr>
        <w:spacing w:line="5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施工人员须持证上岗，特种作业人员须持有相应的特种作业操作证；</w:t>
      </w:r>
    </w:p>
    <w:p w14:paraId="515E71FE">
      <w:pPr>
        <w:spacing w:line="5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建立健全质量管理制度，严格执行 “三检制”（自检、互检、交接检），确保每道工序质量合格。</w:t>
      </w:r>
    </w:p>
    <w:p w14:paraId="47BB7A45">
      <w:pPr>
        <w:spacing w:line="5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（4）安全文明施工要求</w:t>
      </w:r>
    </w:p>
    <w:p w14:paraId="0AD70B41">
      <w:pPr>
        <w:spacing w:line="5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施工区域须设置明显的安全警示标志和施工围挡，与非施工区域隔离；</w:t>
      </w:r>
    </w:p>
    <w:p w14:paraId="65B796A2">
      <w:pPr>
        <w:spacing w:line="5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施工人员须佩戴安全帽、工作服等劳动防护用品，严禁酒后上岗；</w:t>
      </w:r>
    </w:p>
    <w:p w14:paraId="52AA2827">
      <w:pPr>
        <w:spacing w:line="5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施工现场严禁吸烟，配备足够的消防器材，做好防火、防盗、防触电等安全工作；</w:t>
      </w:r>
    </w:p>
    <w:p w14:paraId="0B9C8146">
      <w:pPr>
        <w:spacing w:line="5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施工过程中产生的建筑垃圾须及时清理，做到工完场清；</w:t>
      </w:r>
    </w:p>
    <w:p w14:paraId="0115D6F3">
      <w:pPr>
        <w:spacing w:line="5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rPr>
        <w:t>严格控制施工噪音，避免在师生休息时间（12:00-14:00、22:00 -次日6:00）进行高噪音作业。</w:t>
      </w:r>
    </w:p>
    <w:p w14:paraId="4604913E">
      <w:pPr>
        <w:shd w:val="clear" w:color="auto" w:fill="auto"/>
        <w:spacing w:line="5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（5）质保期及保修要求</w:t>
      </w:r>
    </w:p>
    <w:p w14:paraId="7CBE5B7B">
      <w:pPr>
        <w:shd w:val="clear" w:color="auto" w:fill="auto"/>
        <w:spacing w:line="54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质保期：</w:t>
      </w:r>
      <w:r>
        <w:rPr>
          <w:rFonts w:hint="eastAsia" w:ascii="宋体" w:hAnsi="宋体" w:eastAsia="宋体" w:cs="宋体"/>
          <w:color w:val="auto"/>
          <w:kern w:val="0"/>
          <w:sz w:val="24"/>
          <w:highlight w:val="none"/>
          <w:lang w:val="en-US" w:eastAsia="zh-CN" w:bidi="ar-SA"/>
        </w:rPr>
        <w:t>本工程竣工验收合格之日起3年，其中防水工程质保期为5年。</w:t>
      </w:r>
    </w:p>
    <w:p w14:paraId="08AD00C6">
      <w:pPr>
        <w:shd w:val="clear" w:color="auto" w:fill="auto"/>
        <w:spacing w:line="5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保修要求：属于保修范围和内容的项目，承包人应在接到维修通知后24小时内派人维修；发生紧急抢修事故（如水管爆裂、电路故障等），承包人应在接到事故通知后6小时内到达事故现场并于12小时内完成应急维修；</w:t>
      </w:r>
    </w:p>
    <w:p w14:paraId="32AF4BA4">
      <w:pPr>
        <w:shd w:val="clear" w:color="auto" w:fill="auto"/>
        <w:spacing w:line="5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质保期内，因施工质量问题造成的损坏</w:t>
      </w:r>
      <w:r>
        <w:rPr>
          <w:rFonts w:hint="eastAsia" w:ascii="宋体" w:hAnsi="宋体" w:eastAsia="宋体" w:cs="宋体"/>
          <w:sz w:val="24"/>
          <w:szCs w:val="24"/>
          <w:highlight w:val="none"/>
          <w:shd w:val="clear" w:color="auto" w:fill="auto"/>
        </w:rPr>
        <w:t>，承包人须</w:t>
      </w:r>
      <w:r>
        <w:rPr>
          <w:rFonts w:hint="eastAsia" w:ascii="宋体" w:hAnsi="宋体" w:eastAsia="宋体" w:cs="宋体"/>
          <w:sz w:val="24"/>
          <w:szCs w:val="24"/>
          <w:highlight w:val="none"/>
          <w:shd w:val="clear" w:color="auto" w:fill="auto"/>
          <w:lang w:val="en-US" w:eastAsia="zh-CN"/>
        </w:rPr>
        <w:t>进行</w:t>
      </w:r>
      <w:r>
        <w:rPr>
          <w:rFonts w:hint="eastAsia" w:ascii="宋体" w:hAnsi="宋体" w:eastAsia="宋体" w:cs="宋体"/>
          <w:sz w:val="24"/>
          <w:szCs w:val="24"/>
          <w:highlight w:val="none"/>
          <w:shd w:val="clear" w:color="auto" w:fill="auto"/>
        </w:rPr>
        <w:t>维修或更换</w:t>
      </w:r>
      <w:r>
        <w:rPr>
          <w:rFonts w:hint="eastAsia" w:ascii="宋体" w:hAnsi="宋体" w:eastAsia="宋体" w:cs="宋体"/>
          <w:sz w:val="24"/>
          <w:szCs w:val="24"/>
          <w:highlight w:val="none"/>
          <w:shd w:val="clear" w:color="auto" w:fill="auto"/>
          <w:lang w:eastAsia="zh-CN"/>
        </w:rPr>
        <w:t>（</w:t>
      </w:r>
      <w:r>
        <w:rPr>
          <w:rFonts w:hint="eastAsia" w:ascii="宋体" w:hAnsi="宋体" w:eastAsia="宋体" w:cs="宋体"/>
          <w:sz w:val="24"/>
          <w:szCs w:val="24"/>
          <w:highlight w:val="none"/>
          <w:shd w:val="clear" w:color="auto" w:fill="auto"/>
          <w:lang w:val="en-US" w:eastAsia="zh-CN"/>
        </w:rPr>
        <w:t>费用包含在总报价中</w:t>
      </w:r>
      <w:r>
        <w:rPr>
          <w:rFonts w:hint="eastAsia" w:ascii="宋体" w:hAnsi="宋体" w:eastAsia="宋体" w:cs="宋体"/>
          <w:sz w:val="24"/>
          <w:szCs w:val="24"/>
          <w:highlight w:val="none"/>
          <w:shd w:val="clear" w:color="auto" w:fill="auto"/>
          <w:lang w:eastAsia="zh-CN"/>
        </w:rPr>
        <w:t>），</w:t>
      </w:r>
      <w:r>
        <w:rPr>
          <w:rFonts w:hint="eastAsia" w:ascii="宋体" w:hAnsi="宋体" w:eastAsia="宋体" w:cs="宋体"/>
          <w:sz w:val="24"/>
          <w:szCs w:val="24"/>
          <w:highlight w:val="none"/>
          <w:shd w:val="clear" w:color="auto" w:fill="auto"/>
        </w:rPr>
        <w:t>因</w:t>
      </w:r>
      <w:r>
        <w:rPr>
          <w:rFonts w:hint="eastAsia" w:ascii="宋体" w:hAnsi="宋体" w:eastAsia="宋体" w:cs="宋体"/>
          <w:sz w:val="24"/>
          <w:szCs w:val="24"/>
          <w:highlight w:val="none"/>
        </w:rPr>
        <w:t>使用不当造成的损坏，承包人可收取成本费用进行维修。</w:t>
      </w:r>
    </w:p>
    <w:p w14:paraId="7C1AA6FC">
      <w:pPr>
        <w:pStyle w:val="8"/>
        <w:shd w:val="clear" w:color="auto" w:fill="auto"/>
        <w:spacing w:line="540" w:lineRule="exact"/>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b/>
          <w:sz w:val="24"/>
          <w:szCs w:val="24"/>
          <w:lang w:val="en-US" w:eastAsia="zh-CN"/>
        </w:rPr>
        <w:t>三、合同签订方式</w:t>
      </w:r>
    </w:p>
    <w:p w14:paraId="46835339">
      <w:pPr>
        <w:pStyle w:val="8"/>
        <w:shd w:val="clear" w:color="auto" w:fill="auto"/>
        <w:spacing w:line="540" w:lineRule="exact"/>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按服务时限一次性签订合同。</w:t>
      </w:r>
    </w:p>
    <w:p w14:paraId="0A6346EF">
      <w:pPr>
        <w:pStyle w:val="8"/>
        <w:shd w:val="clear" w:color="auto" w:fill="auto"/>
        <w:spacing w:line="540" w:lineRule="exact"/>
        <w:jc w:val="lef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四、其他要求</w:t>
      </w:r>
    </w:p>
    <w:p w14:paraId="10F5DB38">
      <w:pPr>
        <w:pStyle w:val="8"/>
        <w:shd w:val="clear" w:color="auto" w:fill="auto"/>
        <w:spacing w:line="540" w:lineRule="exact"/>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highlight w:val="none"/>
          <w:lang w:val="en-US" w:eastAsia="zh-CN" w:bidi="ar-SA"/>
        </w:rPr>
        <w:t>（1） 严格保护师生会员个人信息，不得泄露、</w:t>
      </w:r>
      <w:r>
        <w:rPr>
          <w:rFonts w:hint="eastAsia" w:ascii="宋体" w:hAnsi="宋体" w:eastAsia="宋体" w:cs="宋体"/>
          <w:kern w:val="2"/>
          <w:sz w:val="24"/>
          <w:szCs w:val="24"/>
          <w:lang w:val="en-US" w:eastAsia="zh-CN" w:bidi="ar-SA"/>
        </w:rPr>
        <w:t>出售或用于本项目以外的任何用途；建立数据安全管理制度，确保会员信息系统安全 。</w:t>
      </w:r>
    </w:p>
    <w:p w14:paraId="396E6045">
      <w:pPr>
        <w:pStyle w:val="8"/>
        <w:spacing w:line="540" w:lineRule="exact"/>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（2）供应商须具有至少1个类似室内装修改造工程成功案例（提供合同复印件等证明材料）</w:t>
      </w:r>
    </w:p>
    <w:p w14:paraId="7D993BC7">
      <w:pPr>
        <w:pStyle w:val="8"/>
        <w:spacing w:line="540" w:lineRule="exact"/>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（3）供应商须严格遵守学校校园管理规定，施工期间服从学校统一管理。</w:t>
      </w:r>
    </w:p>
    <w:p w14:paraId="12FEACD1">
      <w:pPr>
        <w:pStyle w:val="8"/>
        <w:shd w:val="clear" w:color="auto" w:fill="auto"/>
        <w:spacing w:line="540" w:lineRule="exact"/>
        <w:jc w:val="lef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五、履约验收</w:t>
      </w:r>
    </w:p>
    <w:p w14:paraId="581820BA">
      <w:pPr>
        <w:pStyle w:val="8"/>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由通识教育学院（公共艺术教育中心）、后勤保障处、国有资产与实验室管理处、计划财务处组成验收小组，实行竣工验收制度。</w:t>
      </w:r>
    </w:p>
    <w:p w14:paraId="0420BB4E">
      <w:pPr>
        <w:pStyle w:val="8"/>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竣工验收：工程完工后，供应商提交竣工验收申请，验收小组按照国家及行业相关标准、本项目技术要求和合同约定进行全面验收，验收合格后出具竣工验收报告；</w:t>
      </w:r>
    </w:p>
    <w:p w14:paraId="0119DD2B">
      <w:pPr>
        <w:pStyle w:val="8"/>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验收标准：工程质量须符合《建筑工程施工质量验收统一标准》GB 50300-2013及相关专业验收规范，达到合格等级 。</w:t>
      </w:r>
    </w:p>
    <w:p w14:paraId="27564D70">
      <w:r>
        <w:rPr>
          <w:rFonts w:hint="eastAsia" w:ascii="宋体" w:hAnsi="宋体" w:eastAsia="宋体" w:cs="宋体"/>
          <w:b/>
          <w:sz w:val="24"/>
          <w:szCs w:val="24"/>
          <w:lang w:val="en-US" w:eastAsia="zh-CN"/>
        </w:rPr>
        <w:t>六、西安航空学院阎良校区健身中心清单编制说明及工程量清单详见附件。</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F"/>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8CB240E"/>
    <w:rsid w:val="0CC513F5"/>
    <w:rsid w:val="193E7AC0"/>
    <w:rsid w:val="32684154"/>
    <w:rsid w:val="3C266791"/>
    <w:rsid w:val="4A215225"/>
    <w:rsid w:val="58CB240E"/>
    <w:rsid w:val="677C5037"/>
    <w:rsid w:val="71F32E24"/>
    <w:rsid w:val="733C0C54"/>
    <w:rsid w:val="75C45F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qFormat="1"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napToGrid w:val="0"/>
      <w:spacing w:before="100" w:beforeLines="0" w:beforeAutospacing="0" w:after="100" w:afterLines="0" w:afterAutospacing="0" w:line="360" w:lineRule="auto"/>
      <w:outlineLvl w:val="0"/>
    </w:pPr>
    <w:rPr>
      <w:rFonts w:ascii="宋体" w:hAnsi="宋体" w:eastAsia="宋体" w:cs="宋体"/>
      <w:b/>
      <w:kern w:val="44"/>
      <w:sz w:val="32"/>
      <w:szCs w:val="28"/>
    </w:rPr>
  </w:style>
  <w:style w:type="paragraph" w:styleId="3">
    <w:name w:val="heading 2"/>
    <w:basedOn w:val="1"/>
    <w:next w:val="1"/>
    <w:semiHidden/>
    <w:unhideWhenUsed/>
    <w:qFormat/>
    <w:uiPriority w:val="0"/>
    <w:pPr>
      <w:keepNext/>
      <w:keepLines/>
      <w:spacing w:beforeLines="0" w:beforeAutospacing="0" w:afterLines="0" w:afterAutospacing="0" w:line="360" w:lineRule="auto"/>
      <w:outlineLvl w:val="1"/>
    </w:pPr>
    <w:rPr>
      <w:rFonts w:ascii="Arial" w:hAnsi="Arial" w:eastAsia="宋体" w:cs="宋体"/>
      <w:b/>
      <w:sz w:val="28"/>
      <w:szCs w:val="28"/>
    </w:rPr>
  </w:style>
  <w:style w:type="paragraph" w:styleId="4">
    <w:name w:val="heading 3"/>
    <w:basedOn w:val="1"/>
    <w:next w:val="1"/>
    <w:semiHidden/>
    <w:unhideWhenUsed/>
    <w:qFormat/>
    <w:uiPriority w:val="0"/>
    <w:pPr>
      <w:keepNext/>
      <w:keepLines/>
      <w:spacing w:beforeLines="0" w:afterLines="0" w:line="360" w:lineRule="auto"/>
      <w:outlineLvl w:val="2"/>
    </w:pPr>
    <w:rPr>
      <w:rFonts w:ascii="仿宋" w:hAnsi="仿宋"/>
      <w:b/>
      <w:sz w:val="28"/>
      <w:szCs w:val="28"/>
    </w:rPr>
  </w:style>
  <w:style w:type="paragraph" w:styleId="5">
    <w:name w:val="heading 4"/>
    <w:basedOn w:val="6"/>
    <w:next w:val="1"/>
    <w:link w:val="12"/>
    <w:semiHidden/>
    <w:unhideWhenUsed/>
    <w:qFormat/>
    <w:uiPriority w:val="0"/>
    <w:pPr>
      <w:keepNext/>
      <w:keepLines/>
      <w:spacing w:beforeLines="0" w:afterLines="0" w:line="360" w:lineRule="auto"/>
      <w:outlineLvl w:val="3"/>
    </w:pPr>
    <w:rPr>
      <w:rFonts w:ascii="仿宋" w:hAnsi="仿宋" w:eastAsia="仿宋" w:cs="仿宋"/>
      <w:sz w:val="28"/>
      <w:szCs w:val="28"/>
      <w:lang w:eastAsia="zh-TW"/>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6">
    <w:name w:val="index heading"/>
    <w:basedOn w:val="1"/>
    <w:next w:val="7"/>
    <w:qFormat/>
    <w:uiPriority w:val="0"/>
    <w:rPr>
      <w:rFonts w:ascii="Arial" w:hAnsi="Arial"/>
      <w:b/>
    </w:rPr>
  </w:style>
  <w:style w:type="paragraph" w:styleId="7">
    <w:name w:val="index 1"/>
    <w:basedOn w:val="1"/>
    <w:next w:val="1"/>
    <w:qFormat/>
    <w:uiPriority w:val="0"/>
  </w:style>
  <w:style w:type="paragraph" w:styleId="8">
    <w:name w:val="Plain Text"/>
    <w:basedOn w:val="1"/>
    <w:qFormat/>
    <w:uiPriority w:val="0"/>
    <w:rPr>
      <w:rFonts w:ascii="宋体" w:hAnsi="Courier New" w:eastAsia="宋体" w:cs="Courier New"/>
      <w:szCs w:val="21"/>
    </w:rPr>
  </w:style>
  <w:style w:type="paragraph" w:styleId="9">
    <w:name w:val="footer"/>
    <w:basedOn w:val="1"/>
    <w:uiPriority w:val="0"/>
    <w:pPr>
      <w:keepNext w:val="0"/>
      <w:keepLines w:val="0"/>
      <w:widowControl w:val="0"/>
      <w:suppressLineNumbers w:val="0"/>
      <w:tabs>
        <w:tab w:val="center" w:pos="4153"/>
        <w:tab w:val="right" w:pos="8306"/>
      </w:tabs>
      <w:snapToGrid w:val="0"/>
      <w:spacing w:before="0" w:beforeAutospacing="0" w:after="0" w:afterAutospacing="0" w:line="324" w:lineRule="auto"/>
      <w:ind w:left="0" w:right="0"/>
      <w:jc w:val="left"/>
    </w:pPr>
    <w:rPr>
      <w:rFonts w:hint="default" w:ascii="Times New Roman" w:hAnsi="Times New Roman" w:eastAsia="宋体" w:cs="Times New Roman"/>
      <w:kern w:val="2"/>
      <w:sz w:val="18"/>
      <w:szCs w:val="18"/>
      <w:lang w:val="en-US" w:eastAsia="zh-CN" w:bidi="ar"/>
    </w:rPr>
  </w:style>
  <w:style w:type="character" w:customStyle="1" w:styleId="12">
    <w:name w:val="标题 4 Char"/>
    <w:link w:val="5"/>
    <w:qFormat/>
    <w:uiPriority w:val="0"/>
    <w:rPr>
      <w:rFonts w:ascii="仿宋" w:hAnsi="仿宋" w:eastAsia="仿宋" w:cs="仿宋"/>
      <w:b/>
      <w:sz w:val="28"/>
      <w:szCs w:val="28"/>
      <w:lang w:eastAsia="zh-TW"/>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2026-07-16T10:22:00Z</dcterms:created>
  <dc:creator>小马驾驾</dc:creator>
  <cp:lastModifiedBy>小马驾驾</cp:lastModifiedBy>
  <dcterms:modified xsi:type="dcterms:W3CDTF">2026-07-16T10:23:14Z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2E216F3354CE4402A02A1F0CBFF87D4D_11</vt:lpwstr>
  </property>
  <property fmtid="{D5CDD505-2E9C-101B-9397-08002B2CF9AE}" pid="4" name="KSOTemplateDocerSaveRecord">
    <vt:lpwstr>eyJoZGlkIjoiNGIyZmI3M2JmNTQyMjU5ZGJkYWQ4YTFkMTA0MjM4M2EiLCJ1c2VySWQiOiI2NjY2Njg4MzQifQ==</vt:lpwstr>
  </property>
</Properties>
</file>