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W w:w="10798" w:type="dxa"/>
        <w:jc w:val="center"/>
        <w:tblLayout w:type="fixed"/>
        <w:tblCellMar>
          <w:top w:w="0" w:type="dxa"/>
          <w:left w:w="108" w:type="dxa"/>
          <w:bottom w:w="0" w:type="dxa"/>
          <w:right w:w="108" w:type="dxa"/>
        </w:tblCellMar>
      </w:tblPr>
      <w:tblGrid>
        <w:gridCol w:w="775"/>
        <w:gridCol w:w="1872"/>
        <w:gridCol w:w="6637"/>
        <w:gridCol w:w="808"/>
        <w:gridCol w:w="706"/>
      </w:tblGrid>
      <w:tr w14:paraId="351AF59C">
        <w:tblPrEx>
          <w:tblCellMar>
            <w:top w:w="0" w:type="dxa"/>
            <w:left w:w="108" w:type="dxa"/>
            <w:bottom w:w="0" w:type="dxa"/>
            <w:right w:w="108" w:type="dxa"/>
          </w:tblCellMar>
        </w:tblPrEx>
        <w:trPr>
          <w:trHeight w:val="188" w:hRule="atLeast"/>
          <w:jc w:val="center"/>
        </w:trPr>
        <w:tc>
          <w:tcPr>
            <w:tcW w:w="775" w:type="dxa"/>
            <w:tcBorders>
              <w:top w:val="single" w:color="000000" w:sz="4" w:space="0"/>
              <w:left w:val="single" w:color="000000" w:sz="4" w:space="0"/>
              <w:bottom w:val="single" w:color="000000" w:sz="4" w:space="0"/>
              <w:right w:val="single" w:color="000000" w:sz="4" w:space="0"/>
            </w:tcBorders>
            <w:noWrap/>
            <w:vAlign w:val="center"/>
          </w:tcPr>
          <w:p w14:paraId="0381C358">
            <w:pPr>
              <w:keepNext w:val="0"/>
              <w:keepLines w:val="0"/>
              <w:pageBreakBefore w:val="0"/>
              <w:kinsoku/>
              <w:wordWrap/>
              <w:overflowPunct w:val="0"/>
              <w:topLinePunct w:val="0"/>
              <w:autoSpaceDE/>
              <w:autoSpaceDN/>
              <w:bidi w:val="0"/>
              <w:adjustRightInd/>
              <w:snapToGrid w:val="0"/>
              <w:spacing w:line="240" w:lineRule="auto"/>
              <w:textAlignment w:val="center"/>
              <w:rPr>
                <w:rFonts w:hint="eastAsia" w:ascii="宋体" w:hAnsi="宋体" w:eastAsia="宋体" w:cs="宋体"/>
                <w:b/>
              </w:rPr>
            </w:pPr>
            <w:bookmarkStart w:id="0" w:name="_GoBack"/>
            <w:r>
              <w:rPr>
                <w:rFonts w:hint="eastAsia" w:ascii="宋体" w:hAnsi="宋体" w:eastAsia="宋体" w:cs="宋体"/>
                <w:b/>
                <w:lang w:bidi="ar"/>
              </w:rPr>
              <w:t>序号</w:t>
            </w:r>
          </w:p>
        </w:tc>
        <w:tc>
          <w:tcPr>
            <w:tcW w:w="1872" w:type="dxa"/>
            <w:tcBorders>
              <w:top w:val="single" w:color="000000" w:sz="4" w:space="0"/>
              <w:left w:val="single" w:color="000000" w:sz="4" w:space="0"/>
              <w:bottom w:val="single" w:color="000000" w:sz="4" w:space="0"/>
              <w:right w:val="single" w:color="000000" w:sz="4" w:space="0"/>
            </w:tcBorders>
            <w:noWrap/>
            <w:vAlign w:val="center"/>
          </w:tcPr>
          <w:p w14:paraId="242FCB3B">
            <w:pPr>
              <w:keepNext w:val="0"/>
              <w:keepLines w:val="0"/>
              <w:pageBreakBefore w:val="0"/>
              <w:kinsoku/>
              <w:wordWrap/>
              <w:overflowPunct w:val="0"/>
              <w:topLinePunct w:val="0"/>
              <w:autoSpaceDE/>
              <w:autoSpaceDN/>
              <w:bidi w:val="0"/>
              <w:adjustRightInd/>
              <w:snapToGrid w:val="0"/>
              <w:spacing w:line="240" w:lineRule="auto"/>
              <w:ind w:firstLine="482"/>
              <w:jc w:val="center"/>
              <w:textAlignment w:val="center"/>
              <w:rPr>
                <w:rFonts w:hint="eastAsia" w:ascii="宋体" w:hAnsi="宋体" w:eastAsia="宋体" w:cs="宋体"/>
                <w:b/>
                <w:lang w:bidi="ar"/>
              </w:rPr>
            </w:pPr>
            <w:r>
              <w:rPr>
                <w:rFonts w:hint="eastAsia" w:ascii="宋体" w:hAnsi="宋体" w:eastAsia="宋体" w:cs="宋体"/>
                <w:b/>
                <w:lang w:bidi="ar"/>
              </w:rPr>
              <w:t>建设内容</w:t>
            </w:r>
          </w:p>
        </w:tc>
        <w:tc>
          <w:tcPr>
            <w:tcW w:w="6637" w:type="dxa"/>
            <w:tcBorders>
              <w:top w:val="single" w:color="000000" w:sz="4" w:space="0"/>
              <w:left w:val="single" w:color="000000" w:sz="4" w:space="0"/>
              <w:bottom w:val="single" w:color="000000" w:sz="4" w:space="0"/>
              <w:right w:val="single" w:color="000000" w:sz="4" w:space="0"/>
            </w:tcBorders>
            <w:noWrap/>
            <w:vAlign w:val="center"/>
          </w:tcPr>
          <w:p w14:paraId="40A19D36">
            <w:pPr>
              <w:keepNext w:val="0"/>
              <w:keepLines w:val="0"/>
              <w:pageBreakBefore w:val="0"/>
              <w:kinsoku/>
              <w:wordWrap/>
              <w:overflowPunct w:val="0"/>
              <w:topLinePunct w:val="0"/>
              <w:autoSpaceDE/>
              <w:autoSpaceDN/>
              <w:bidi w:val="0"/>
              <w:adjustRightInd/>
              <w:snapToGrid w:val="0"/>
              <w:spacing w:line="240" w:lineRule="auto"/>
              <w:ind w:firstLine="482"/>
              <w:jc w:val="both"/>
              <w:textAlignment w:val="center"/>
              <w:rPr>
                <w:rFonts w:hint="eastAsia" w:ascii="宋体" w:hAnsi="宋体" w:eastAsia="宋体" w:cs="宋体"/>
                <w:b/>
                <w:lang w:bidi="ar"/>
              </w:rPr>
            </w:pPr>
            <w:r>
              <w:rPr>
                <w:rFonts w:hint="eastAsia" w:ascii="宋体" w:hAnsi="宋体" w:eastAsia="宋体" w:cs="宋体"/>
                <w:b/>
                <w:lang w:bidi="ar"/>
              </w:rPr>
              <w:t>技术参数与性能指标</w:t>
            </w:r>
          </w:p>
        </w:tc>
        <w:tc>
          <w:tcPr>
            <w:tcW w:w="808" w:type="dxa"/>
            <w:tcBorders>
              <w:top w:val="single" w:color="000000" w:sz="4" w:space="0"/>
              <w:left w:val="single" w:color="000000" w:sz="4" w:space="0"/>
              <w:bottom w:val="single" w:color="000000" w:sz="4" w:space="0"/>
              <w:right w:val="single" w:color="000000" w:sz="4" w:space="0"/>
            </w:tcBorders>
            <w:noWrap/>
            <w:vAlign w:val="center"/>
          </w:tcPr>
          <w:p w14:paraId="58945C1E">
            <w:pPr>
              <w:keepNext w:val="0"/>
              <w:keepLines w:val="0"/>
              <w:pageBreakBefore w:val="0"/>
              <w:kinsoku/>
              <w:wordWrap/>
              <w:overflowPunct w:val="0"/>
              <w:topLinePunct w:val="0"/>
              <w:autoSpaceDE/>
              <w:autoSpaceDN/>
              <w:bidi w:val="0"/>
              <w:adjustRightInd/>
              <w:snapToGrid w:val="0"/>
              <w:spacing w:line="240" w:lineRule="auto"/>
              <w:jc w:val="both"/>
              <w:textAlignment w:val="center"/>
              <w:rPr>
                <w:rFonts w:hint="eastAsia" w:ascii="宋体" w:hAnsi="宋体" w:eastAsia="宋体" w:cs="宋体"/>
                <w:b/>
                <w:lang w:bidi="ar"/>
              </w:rPr>
            </w:pPr>
            <w:r>
              <w:rPr>
                <w:rFonts w:hint="eastAsia" w:ascii="宋体" w:hAnsi="宋体" w:eastAsia="宋体" w:cs="宋体"/>
                <w:b/>
                <w:lang w:bidi="ar"/>
              </w:rPr>
              <w:t>单位</w:t>
            </w:r>
          </w:p>
        </w:tc>
        <w:tc>
          <w:tcPr>
            <w:tcW w:w="706" w:type="dxa"/>
            <w:tcBorders>
              <w:top w:val="single" w:color="000000" w:sz="4" w:space="0"/>
              <w:left w:val="single" w:color="000000" w:sz="4" w:space="0"/>
              <w:bottom w:val="single" w:color="000000" w:sz="4" w:space="0"/>
              <w:right w:val="single" w:color="000000" w:sz="4" w:space="0"/>
            </w:tcBorders>
            <w:noWrap/>
            <w:vAlign w:val="center"/>
          </w:tcPr>
          <w:p w14:paraId="4E9EC1E4">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b/>
              </w:rPr>
            </w:pPr>
            <w:r>
              <w:rPr>
                <w:rFonts w:hint="eastAsia" w:ascii="宋体" w:hAnsi="宋体" w:eastAsia="宋体" w:cs="宋体"/>
                <w:b/>
                <w:lang w:bidi="ar"/>
              </w:rPr>
              <w:t>数量</w:t>
            </w:r>
          </w:p>
        </w:tc>
      </w:tr>
      <w:tr w14:paraId="00E4BB11">
        <w:tblPrEx>
          <w:tblCellMar>
            <w:top w:w="0" w:type="dxa"/>
            <w:left w:w="108" w:type="dxa"/>
            <w:bottom w:w="0" w:type="dxa"/>
            <w:right w:w="108" w:type="dxa"/>
          </w:tblCellMar>
        </w:tblPrEx>
        <w:trPr>
          <w:trHeight w:val="188" w:hRule="atLeast"/>
          <w:jc w:val="center"/>
        </w:trPr>
        <w:tc>
          <w:tcPr>
            <w:tcW w:w="775" w:type="dxa"/>
            <w:tcBorders>
              <w:top w:val="single" w:color="000000" w:sz="4" w:space="0"/>
              <w:left w:val="single" w:color="000000" w:sz="4" w:space="0"/>
              <w:bottom w:val="single" w:color="000000" w:sz="4" w:space="0"/>
              <w:right w:val="single" w:color="000000" w:sz="4" w:space="0"/>
            </w:tcBorders>
            <w:vAlign w:val="center"/>
          </w:tcPr>
          <w:p w14:paraId="0A935ABE">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rPr>
            </w:pPr>
            <w:r>
              <w:rPr>
                <w:rFonts w:hint="eastAsia" w:ascii="宋体" w:hAnsi="宋体" w:eastAsia="宋体" w:cs="宋体"/>
                <w:b/>
                <w:bCs/>
                <w:color w:val="000000"/>
              </w:rPr>
              <w:t>1</w:t>
            </w:r>
          </w:p>
        </w:tc>
        <w:tc>
          <w:tcPr>
            <w:tcW w:w="8509" w:type="dxa"/>
            <w:gridSpan w:val="2"/>
            <w:tcBorders>
              <w:top w:val="single" w:color="000000" w:sz="4" w:space="0"/>
              <w:left w:val="single" w:color="000000" w:sz="4" w:space="0"/>
              <w:bottom w:val="single" w:color="000000" w:sz="4" w:space="0"/>
              <w:right w:val="single" w:color="000000" w:sz="4" w:space="0"/>
            </w:tcBorders>
            <w:vAlign w:val="center"/>
          </w:tcPr>
          <w:p w14:paraId="3B26ED8B">
            <w:pPr>
              <w:keepNext w:val="0"/>
              <w:keepLines w:val="0"/>
              <w:pageBreakBefore w:val="0"/>
              <w:kinsoku/>
              <w:wordWrap/>
              <w:overflowPunct w:val="0"/>
              <w:topLinePunct w:val="0"/>
              <w:autoSpaceDE/>
              <w:autoSpaceDN/>
              <w:bidi w:val="0"/>
              <w:adjustRightInd/>
              <w:snapToGrid w:val="0"/>
              <w:spacing w:line="240" w:lineRule="auto"/>
              <w:textAlignment w:val="center"/>
              <w:rPr>
                <w:rFonts w:hint="eastAsia" w:ascii="宋体" w:hAnsi="宋体" w:eastAsia="宋体" w:cs="宋体"/>
                <w:b/>
                <w:bCs/>
                <w:color w:val="000000"/>
              </w:rPr>
            </w:pPr>
            <w:r>
              <w:rPr>
                <w:rFonts w:hint="eastAsia" w:ascii="宋体" w:hAnsi="宋体" w:eastAsia="宋体" w:cs="宋体"/>
                <w:b/>
                <w:bCs/>
                <w:color w:val="000000"/>
              </w:rPr>
              <w:t>野生动物疫源疫病监测与防控</w:t>
            </w:r>
          </w:p>
        </w:tc>
        <w:tc>
          <w:tcPr>
            <w:tcW w:w="808" w:type="dxa"/>
            <w:tcBorders>
              <w:top w:val="single" w:color="000000" w:sz="4" w:space="0"/>
              <w:left w:val="single" w:color="000000" w:sz="4" w:space="0"/>
              <w:bottom w:val="single" w:color="000000" w:sz="4" w:space="0"/>
              <w:right w:val="single" w:color="000000" w:sz="4" w:space="0"/>
            </w:tcBorders>
            <w:vAlign w:val="center"/>
          </w:tcPr>
          <w:p w14:paraId="090B344A">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rPr>
            </w:pPr>
          </w:p>
        </w:tc>
        <w:tc>
          <w:tcPr>
            <w:tcW w:w="706" w:type="dxa"/>
            <w:tcBorders>
              <w:top w:val="single" w:color="000000" w:sz="4" w:space="0"/>
              <w:left w:val="single" w:color="000000" w:sz="4" w:space="0"/>
              <w:bottom w:val="single" w:color="000000" w:sz="4" w:space="0"/>
              <w:right w:val="single" w:color="000000" w:sz="4" w:space="0"/>
            </w:tcBorders>
            <w:vAlign w:val="center"/>
          </w:tcPr>
          <w:p w14:paraId="41ADBE34">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rPr>
            </w:pPr>
          </w:p>
        </w:tc>
      </w:tr>
      <w:tr w14:paraId="208AE33D">
        <w:tblPrEx>
          <w:tblCellMar>
            <w:top w:w="0" w:type="dxa"/>
            <w:left w:w="108" w:type="dxa"/>
            <w:bottom w:w="0" w:type="dxa"/>
            <w:right w:w="108" w:type="dxa"/>
          </w:tblCellMar>
        </w:tblPrEx>
        <w:trPr>
          <w:trHeight w:val="188" w:hRule="atLeast"/>
          <w:jc w:val="center"/>
        </w:trPr>
        <w:tc>
          <w:tcPr>
            <w:tcW w:w="775" w:type="dxa"/>
            <w:tcBorders>
              <w:top w:val="single" w:color="000000" w:sz="4" w:space="0"/>
              <w:left w:val="single" w:color="000000" w:sz="4" w:space="0"/>
              <w:bottom w:val="single" w:color="000000" w:sz="4" w:space="0"/>
              <w:right w:val="single" w:color="000000" w:sz="4" w:space="0"/>
            </w:tcBorders>
            <w:vAlign w:val="center"/>
          </w:tcPr>
          <w:p w14:paraId="61E922F6">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rPr>
            </w:pPr>
            <w:r>
              <w:rPr>
                <w:rFonts w:hint="eastAsia" w:ascii="宋体" w:hAnsi="宋体" w:eastAsia="宋体" w:cs="宋体"/>
                <w:color w:val="000000"/>
              </w:rPr>
              <w:t>1.1</w:t>
            </w:r>
          </w:p>
        </w:tc>
        <w:tc>
          <w:tcPr>
            <w:tcW w:w="1872" w:type="dxa"/>
            <w:tcBorders>
              <w:top w:val="single" w:color="000000" w:sz="4" w:space="0"/>
              <w:left w:val="single" w:color="000000" w:sz="4" w:space="0"/>
              <w:bottom w:val="single" w:color="000000" w:sz="4" w:space="0"/>
              <w:right w:val="single" w:color="000000" w:sz="4" w:space="0"/>
            </w:tcBorders>
            <w:vAlign w:val="center"/>
          </w:tcPr>
          <w:p w14:paraId="47EF2284">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rPr>
            </w:pPr>
            <w:r>
              <w:rPr>
                <w:rFonts w:hint="eastAsia" w:ascii="宋体" w:hAnsi="宋体" w:eastAsia="宋体" w:cs="宋体"/>
                <w:color w:val="000000"/>
                <w:lang w:eastAsia="zh-CN"/>
              </w:rPr>
              <w:t>个人</w:t>
            </w:r>
            <w:r>
              <w:rPr>
                <w:rFonts w:hint="eastAsia" w:ascii="宋体" w:hAnsi="宋体" w:eastAsia="宋体" w:cs="宋体"/>
                <w:color w:val="000000"/>
              </w:rPr>
              <w:t>防护装备</w:t>
            </w:r>
          </w:p>
        </w:tc>
        <w:tc>
          <w:tcPr>
            <w:tcW w:w="6637" w:type="dxa"/>
            <w:tcBorders>
              <w:top w:val="single" w:color="000000" w:sz="4" w:space="0"/>
              <w:left w:val="single" w:color="000000" w:sz="4" w:space="0"/>
              <w:bottom w:val="single" w:color="000000" w:sz="4" w:space="0"/>
              <w:right w:val="single" w:color="000000" w:sz="4" w:space="0"/>
            </w:tcBorders>
            <w:vAlign w:val="center"/>
          </w:tcPr>
          <w:p w14:paraId="5DFF5A8E">
            <w:pPr>
              <w:keepNext w:val="0"/>
              <w:keepLines w:val="0"/>
              <w:pageBreakBefore w:val="0"/>
              <w:kinsoku/>
              <w:wordWrap/>
              <w:overflowPunct w:val="0"/>
              <w:topLinePunct w:val="0"/>
              <w:autoSpaceDE/>
              <w:autoSpaceDN/>
              <w:bidi w:val="0"/>
              <w:adjustRightInd/>
              <w:snapToGrid w:val="0"/>
              <w:spacing w:line="240" w:lineRule="auto"/>
              <w:textAlignment w:val="center"/>
              <w:rPr>
                <w:rFonts w:hint="eastAsia" w:ascii="宋体" w:hAnsi="宋体" w:eastAsia="宋体" w:cs="宋体"/>
                <w:color w:val="000000"/>
                <w:lang w:eastAsia="zh-CN"/>
              </w:rPr>
            </w:pPr>
          </w:p>
        </w:tc>
        <w:tc>
          <w:tcPr>
            <w:tcW w:w="808" w:type="dxa"/>
            <w:tcBorders>
              <w:top w:val="single" w:color="000000" w:sz="4" w:space="0"/>
              <w:left w:val="single" w:color="000000" w:sz="4" w:space="0"/>
              <w:bottom w:val="single" w:color="000000" w:sz="4" w:space="0"/>
              <w:right w:val="single" w:color="000000" w:sz="4" w:space="0"/>
            </w:tcBorders>
            <w:vAlign w:val="center"/>
          </w:tcPr>
          <w:p w14:paraId="5AD5959E">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rPr>
            </w:pPr>
          </w:p>
        </w:tc>
        <w:tc>
          <w:tcPr>
            <w:tcW w:w="706" w:type="dxa"/>
            <w:tcBorders>
              <w:top w:val="single" w:color="000000" w:sz="4" w:space="0"/>
              <w:left w:val="single" w:color="000000" w:sz="4" w:space="0"/>
              <w:bottom w:val="single" w:color="000000" w:sz="4" w:space="0"/>
              <w:right w:val="single" w:color="000000" w:sz="4" w:space="0"/>
            </w:tcBorders>
            <w:vAlign w:val="center"/>
          </w:tcPr>
          <w:p w14:paraId="33098972">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rPr>
            </w:pPr>
          </w:p>
        </w:tc>
      </w:tr>
      <w:tr w14:paraId="000921D9">
        <w:tblPrEx>
          <w:tblCellMar>
            <w:top w:w="0" w:type="dxa"/>
            <w:left w:w="108" w:type="dxa"/>
            <w:bottom w:w="0" w:type="dxa"/>
            <w:right w:w="108" w:type="dxa"/>
          </w:tblCellMar>
        </w:tblPrEx>
        <w:trPr>
          <w:trHeight w:val="1098" w:hRule="atLeast"/>
          <w:jc w:val="center"/>
        </w:trPr>
        <w:tc>
          <w:tcPr>
            <w:tcW w:w="775" w:type="dxa"/>
            <w:tcBorders>
              <w:top w:val="single" w:color="000000" w:sz="4" w:space="0"/>
              <w:left w:val="single" w:color="000000" w:sz="4" w:space="0"/>
              <w:bottom w:val="single" w:color="000000" w:sz="4" w:space="0"/>
              <w:right w:val="single" w:color="000000" w:sz="4" w:space="0"/>
            </w:tcBorders>
            <w:vAlign w:val="center"/>
          </w:tcPr>
          <w:p w14:paraId="65172F8C">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rPr>
            </w:pPr>
          </w:p>
        </w:tc>
        <w:tc>
          <w:tcPr>
            <w:tcW w:w="1872" w:type="dxa"/>
            <w:tcBorders>
              <w:top w:val="single" w:color="000000" w:sz="4" w:space="0"/>
              <w:left w:val="single" w:color="000000" w:sz="4" w:space="0"/>
              <w:bottom w:val="single" w:color="000000" w:sz="4" w:space="0"/>
              <w:right w:val="single" w:color="000000" w:sz="4" w:space="0"/>
            </w:tcBorders>
            <w:vAlign w:val="center"/>
          </w:tcPr>
          <w:p w14:paraId="63E35B74">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防护服</w:t>
            </w:r>
          </w:p>
        </w:tc>
        <w:tc>
          <w:tcPr>
            <w:tcW w:w="6637" w:type="dxa"/>
            <w:tcBorders>
              <w:top w:val="single" w:color="000000" w:sz="4" w:space="0"/>
              <w:left w:val="single" w:color="000000" w:sz="4" w:space="0"/>
              <w:bottom w:val="single" w:color="000000" w:sz="4" w:space="0"/>
              <w:right w:val="single" w:color="000000" w:sz="4" w:space="0"/>
            </w:tcBorders>
            <w:vAlign w:val="center"/>
          </w:tcPr>
          <w:p w14:paraId="229F673A">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类型：一次性医用防护服</w:t>
            </w:r>
          </w:p>
          <w:p w14:paraId="719D7727">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材质：聚丙烯无纺布</w:t>
            </w:r>
          </w:p>
          <w:p w14:paraId="4992F8A0">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特点：具有良好的阻隔性、透气性和舒适性，能有效防止病毒、细菌等有害物质的侵入。</w:t>
            </w:r>
          </w:p>
          <w:p w14:paraId="6A7B2996">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尺码：根据工作人员的身高和体重进行选择，确保穿着舒适和安全。</w:t>
            </w:r>
          </w:p>
        </w:tc>
        <w:tc>
          <w:tcPr>
            <w:tcW w:w="808" w:type="dxa"/>
            <w:tcBorders>
              <w:top w:val="single" w:color="000000" w:sz="4" w:space="0"/>
              <w:left w:val="single" w:color="000000" w:sz="4" w:space="0"/>
              <w:bottom w:val="single" w:color="000000" w:sz="4" w:space="0"/>
              <w:right w:val="single" w:color="000000" w:sz="4" w:space="0"/>
            </w:tcBorders>
            <w:vAlign w:val="center"/>
          </w:tcPr>
          <w:p w14:paraId="3A52974A">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套</w:t>
            </w:r>
          </w:p>
        </w:tc>
        <w:tc>
          <w:tcPr>
            <w:tcW w:w="706" w:type="dxa"/>
            <w:tcBorders>
              <w:top w:val="single" w:color="000000" w:sz="4" w:space="0"/>
              <w:left w:val="single" w:color="000000" w:sz="4" w:space="0"/>
              <w:bottom w:val="single" w:color="000000" w:sz="4" w:space="0"/>
              <w:right w:val="single" w:color="000000" w:sz="4" w:space="0"/>
            </w:tcBorders>
            <w:noWrap/>
            <w:vAlign w:val="center"/>
          </w:tcPr>
          <w:p w14:paraId="55A7E629">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val="en-US" w:eastAsia="zh-CN"/>
              </w:rPr>
            </w:pPr>
            <w:r>
              <w:rPr>
                <w:rFonts w:hint="eastAsia" w:ascii="宋体" w:hAnsi="宋体" w:eastAsia="宋体" w:cs="宋体"/>
                <w:color w:val="000000"/>
                <w:lang w:val="en-US" w:eastAsia="zh-CN"/>
              </w:rPr>
              <w:t>50</w:t>
            </w:r>
          </w:p>
        </w:tc>
      </w:tr>
      <w:tr w14:paraId="232E6AF4">
        <w:tblPrEx>
          <w:tblCellMar>
            <w:top w:w="0" w:type="dxa"/>
            <w:left w:w="108" w:type="dxa"/>
            <w:bottom w:w="0" w:type="dxa"/>
            <w:right w:w="108" w:type="dxa"/>
          </w:tblCellMar>
        </w:tblPrEx>
        <w:trPr>
          <w:trHeight w:val="1098" w:hRule="atLeast"/>
          <w:jc w:val="center"/>
        </w:trPr>
        <w:tc>
          <w:tcPr>
            <w:tcW w:w="775" w:type="dxa"/>
            <w:tcBorders>
              <w:top w:val="single" w:color="000000" w:sz="4" w:space="0"/>
              <w:left w:val="single" w:color="000000" w:sz="4" w:space="0"/>
              <w:bottom w:val="single" w:color="000000" w:sz="4" w:space="0"/>
              <w:right w:val="single" w:color="000000" w:sz="4" w:space="0"/>
            </w:tcBorders>
            <w:vAlign w:val="center"/>
          </w:tcPr>
          <w:p w14:paraId="3D059FF3">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rPr>
            </w:pPr>
          </w:p>
        </w:tc>
        <w:tc>
          <w:tcPr>
            <w:tcW w:w="1872" w:type="dxa"/>
            <w:tcBorders>
              <w:top w:val="single" w:color="000000" w:sz="4" w:space="0"/>
              <w:left w:val="single" w:color="000000" w:sz="4" w:space="0"/>
              <w:bottom w:val="single" w:color="000000" w:sz="4" w:space="0"/>
              <w:right w:val="single" w:color="000000" w:sz="4" w:space="0"/>
            </w:tcBorders>
            <w:vAlign w:val="center"/>
          </w:tcPr>
          <w:p w14:paraId="247F2974">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口罩</w:t>
            </w:r>
          </w:p>
        </w:tc>
        <w:tc>
          <w:tcPr>
            <w:tcW w:w="6637" w:type="dxa"/>
            <w:tcBorders>
              <w:top w:val="single" w:color="000000" w:sz="4" w:space="0"/>
              <w:left w:val="single" w:color="000000" w:sz="4" w:space="0"/>
              <w:bottom w:val="single" w:color="000000" w:sz="4" w:space="0"/>
              <w:right w:val="single" w:color="000000" w:sz="4" w:space="0"/>
            </w:tcBorders>
            <w:vAlign w:val="center"/>
          </w:tcPr>
          <w:p w14:paraId="7CF30C58">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类型：N95口罩</w:t>
            </w:r>
          </w:p>
          <w:p w14:paraId="1AECB987">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标准：符合GB 19083-2010标准</w:t>
            </w:r>
          </w:p>
          <w:p w14:paraId="19684A41">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过滤效率：对非油性颗粒物的过滤效率≥95%</w:t>
            </w:r>
          </w:p>
          <w:p w14:paraId="53700E44">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用途：用于过滤空气中的有害颗粒物，防止工作人员吸入病毒、细菌等有害物质。</w:t>
            </w:r>
          </w:p>
        </w:tc>
        <w:tc>
          <w:tcPr>
            <w:tcW w:w="808" w:type="dxa"/>
            <w:tcBorders>
              <w:top w:val="single" w:color="000000" w:sz="4" w:space="0"/>
              <w:left w:val="single" w:color="000000" w:sz="4" w:space="0"/>
              <w:bottom w:val="single" w:color="000000" w:sz="4" w:space="0"/>
              <w:right w:val="single" w:color="000000" w:sz="4" w:space="0"/>
            </w:tcBorders>
            <w:vAlign w:val="center"/>
          </w:tcPr>
          <w:p w14:paraId="2973AB1A">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个</w:t>
            </w:r>
          </w:p>
        </w:tc>
        <w:tc>
          <w:tcPr>
            <w:tcW w:w="706" w:type="dxa"/>
            <w:tcBorders>
              <w:top w:val="single" w:color="000000" w:sz="4" w:space="0"/>
              <w:left w:val="single" w:color="000000" w:sz="4" w:space="0"/>
              <w:bottom w:val="single" w:color="000000" w:sz="4" w:space="0"/>
              <w:right w:val="single" w:color="000000" w:sz="4" w:space="0"/>
            </w:tcBorders>
            <w:noWrap/>
            <w:vAlign w:val="center"/>
          </w:tcPr>
          <w:p w14:paraId="5C45DB8B">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val="en-US" w:eastAsia="zh-CN"/>
              </w:rPr>
            </w:pPr>
            <w:r>
              <w:rPr>
                <w:rFonts w:hint="eastAsia" w:ascii="宋体" w:hAnsi="宋体" w:eastAsia="宋体" w:cs="宋体"/>
                <w:color w:val="000000"/>
                <w:lang w:val="en-US" w:eastAsia="zh-CN"/>
              </w:rPr>
              <w:t>50</w:t>
            </w:r>
          </w:p>
        </w:tc>
      </w:tr>
      <w:tr w14:paraId="0AA403F5">
        <w:tblPrEx>
          <w:tblCellMar>
            <w:top w:w="0" w:type="dxa"/>
            <w:left w:w="108" w:type="dxa"/>
            <w:bottom w:w="0" w:type="dxa"/>
            <w:right w:w="108" w:type="dxa"/>
          </w:tblCellMar>
        </w:tblPrEx>
        <w:trPr>
          <w:trHeight w:val="1098" w:hRule="atLeast"/>
          <w:jc w:val="center"/>
        </w:trPr>
        <w:tc>
          <w:tcPr>
            <w:tcW w:w="775" w:type="dxa"/>
            <w:tcBorders>
              <w:top w:val="single" w:color="000000" w:sz="4" w:space="0"/>
              <w:left w:val="single" w:color="000000" w:sz="4" w:space="0"/>
              <w:bottom w:val="single" w:color="000000" w:sz="4" w:space="0"/>
              <w:right w:val="single" w:color="000000" w:sz="4" w:space="0"/>
            </w:tcBorders>
            <w:vAlign w:val="center"/>
          </w:tcPr>
          <w:p w14:paraId="4E62609F">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rPr>
            </w:pPr>
          </w:p>
        </w:tc>
        <w:tc>
          <w:tcPr>
            <w:tcW w:w="1872" w:type="dxa"/>
            <w:tcBorders>
              <w:top w:val="single" w:color="000000" w:sz="4" w:space="0"/>
              <w:left w:val="single" w:color="000000" w:sz="4" w:space="0"/>
              <w:bottom w:val="single" w:color="000000" w:sz="4" w:space="0"/>
              <w:right w:val="single" w:color="000000" w:sz="4" w:space="0"/>
            </w:tcBorders>
            <w:vAlign w:val="center"/>
          </w:tcPr>
          <w:p w14:paraId="145FF3B7">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手套</w:t>
            </w:r>
          </w:p>
        </w:tc>
        <w:tc>
          <w:tcPr>
            <w:tcW w:w="6637" w:type="dxa"/>
            <w:tcBorders>
              <w:top w:val="single" w:color="000000" w:sz="4" w:space="0"/>
              <w:left w:val="single" w:color="000000" w:sz="4" w:space="0"/>
              <w:bottom w:val="single" w:color="000000" w:sz="4" w:space="0"/>
              <w:right w:val="single" w:color="000000" w:sz="4" w:space="0"/>
            </w:tcBorders>
            <w:vAlign w:val="center"/>
          </w:tcPr>
          <w:p w14:paraId="0A24326E">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类型：一次性医用丁腈手套</w:t>
            </w:r>
          </w:p>
          <w:p w14:paraId="082E520B">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材质：丁腈橡胶</w:t>
            </w:r>
          </w:p>
          <w:p w14:paraId="213F118E">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特点：具有良好的耐磨性、耐腐蚀性和抗渗透性，能有效防止病毒、细菌等有害物质的侵入。</w:t>
            </w:r>
          </w:p>
          <w:p w14:paraId="4616ABB4">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尺码：根据工作人员的手型进行选择，确保佩戴舒适和操作灵活。</w:t>
            </w:r>
          </w:p>
        </w:tc>
        <w:tc>
          <w:tcPr>
            <w:tcW w:w="808" w:type="dxa"/>
            <w:tcBorders>
              <w:top w:val="single" w:color="000000" w:sz="4" w:space="0"/>
              <w:left w:val="single" w:color="000000" w:sz="4" w:space="0"/>
              <w:bottom w:val="single" w:color="000000" w:sz="4" w:space="0"/>
              <w:right w:val="single" w:color="000000" w:sz="4" w:space="0"/>
            </w:tcBorders>
            <w:vAlign w:val="center"/>
          </w:tcPr>
          <w:p w14:paraId="2E486F6A">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双</w:t>
            </w:r>
          </w:p>
        </w:tc>
        <w:tc>
          <w:tcPr>
            <w:tcW w:w="706" w:type="dxa"/>
            <w:tcBorders>
              <w:top w:val="single" w:color="000000" w:sz="4" w:space="0"/>
              <w:left w:val="single" w:color="000000" w:sz="4" w:space="0"/>
              <w:bottom w:val="single" w:color="000000" w:sz="4" w:space="0"/>
              <w:right w:val="single" w:color="000000" w:sz="4" w:space="0"/>
            </w:tcBorders>
            <w:noWrap/>
            <w:vAlign w:val="center"/>
          </w:tcPr>
          <w:p w14:paraId="42BE5576">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val="en-US" w:eastAsia="zh-CN"/>
              </w:rPr>
            </w:pPr>
            <w:r>
              <w:rPr>
                <w:rFonts w:hint="eastAsia" w:ascii="宋体" w:hAnsi="宋体" w:eastAsia="宋体" w:cs="宋体"/>
                <w:color w:val="000000"/>
                <w:lang w:val="en-US" w:eastAsia="zh-CN"/>
              </w:rPr>
              <w:t>50</w:t>
            </w:r>
          </w:p>
        </w:tc>
      </w:tr>
      <w:tr w14:paraId="21C70237">
        <w:tblPrEx>
          <w:tblCellMar>
            <w:top w:w="0" w:type="dxa"/>
            <w:left w:w="108" w:type="dxa"/>
            <w:bottom w:w="0" w:type="dxa"/>
            <w:right w:w="108" w:type="dxa"/>
          </w:tblCellMar>
        </w:tblPrEx>
        <w:trPr>
          <w:trHeight w:val="188" w:hRule="atLeast"/>
          <w:jc w:val="center"/>
        </w:trPr>
        <w:tc>
          <w:tcPr>
            <w:tcW w:w="775" w:type="dxa"/>
            <w:tcBorders>
              <w:top w:val="single" w:color="000000" w:sz="4" w:space="0"/>
              <w:left w:val="single" w:color="000000" w:sz="4" w:space="0"/>
              <w:bottom w:val="single" w:color="000000" w:sz="4" w:space="0"/>
              <w:right w:val="single" w:color="000000" w:sz="4" w:space="0"/>
            </w:tcBorders>
            <w:vAlign w:val="center"/>
          </w:tcPr>
          <w:p w14:paraId="0B3C5635">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rPr>
            </w:pPr>
            <w:r>
              <w:rPr>
                <w:rFonts w:hint="eastAsia" w:ascii="宋体" w:hAnsi="宋体" w:eastAsia="宋体" w:cs="宋体"/>
                <w:color w:val="000000"/>
              </w:rPr>
              <w:t>1.2</w:t>
            </w:r>
          </w:p>
        </w:tc>
        <w:tc>
          <w:tcPr>
            <w:tcW w:w="1872" w:type="dxa"/>
            <w:tcBorders>
              <w:top w:val="single" w:color="000000" w:sz="4" w:space="0"/>
              <w:left w:val="single" w:color="000000" w:sz="4" w:space="0"/>
              <w:bottom w:val="single" w:color="000000" w:sz="4" w:space="0"/>
              <w:right w:val="single" w:color="000000" w:sz="4" w:space="0"/>
            </w:tcBorders>
            <w:vAlign w:val="center"/>
          </w:tcPr>
          <w:p w14:paraId="24C3E7D4">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rPr>
            </w:pPr>
            <w:r>
              <w:rPr>
                <w:rFonts w:hint="eastAsia" w:ascii="宋体" w:hAnsi="宋体" w:eastAsia="宋体" w:cs="宋体"/>
                <w:color w:val="000000"/>
              </w:rPr>
              <w:t>采</w:t>
            </w:r>
            <w:r>
              <w:rPr>
                <w:rFonts w:hint="eastAsia" w:ascii="宋体" w:hAnsi="宋体" w:eastAsia="宋体" w:cs="宋体"/>
                <w:color w:val="000000"/>
                <w:lang w:eastAsia="zh-CN"/>
              </w:rPr>
              <w:t>样设备</w:t>
            </w:r>
          </w:p>
        </w:tc>
        <w:tc>
          <w:tcPr>
            <w:tcW w:w="6637" w:type="dxa"/>
            <w:tcBorders>
              <w:top w:val="single" w:color="000000" w:sz="4" w:space="0"/>
              <w:left w:val="single" w:color="000000" w:sz="4" w:space="0"/>
              <w:bottom w:val="single" w:color="000000" w:sz="4" w:space="0"/>
              <w:right w:val="single" w:color="000000" w:sz="4" w:space="0"/>
            </w:tcBorders>
            <w:vAlign w:val="center"/>
          </w:tcPr>
          <w:p w14:paraId="43933AD6">
            <w:pPr>
              <w:keepNext w:val="0"/>
              <w:keepLines w:val="0"/>
              <w:pageBreakBefore w:val="0"/>
              <w:kinsoku/>
              <w:wordWrap/>
              <w:overflowPunct w:val="0"/>
              <w:topLinePunct w:val="0"/>
              <w:autoSpaceDE/>
              <w:autoSpaceDN/>
              <w:bidi w:val="0"/>
              <w:adjustRightInd/>
              <w:snapToGrid w:val="0"/>
              <w:spacing w:line="240" w:lineRule="auto"/>
              <w:textAlignment w:val="center"/>
              <w:rPr>
                <w:rFonts w:hint="eastAsia" w:ascii="宋体" w:hAnsi="宋体" w:eastAsia="宋体" w:cs="宋体"/>
                <w:color w:val="000000"/>
              </w:rPr>
            </w:pPr>
          </w:p>
        </w:tc>
        <w:tc>
          <w:tcPr>
            <w:tcW w:w="808" w:type="dxa"/>
            <w:tcBorders>
              <w:top w:val="single" w:color="000000" w:sz="4" w:space="0"/>
              <w:left w:val="single" w:color="000000" w:sz="4" w:space="0"/>
              <w:bottom w:val="single" w:color="000000" w:sz="4" w:space="0"/>
              <w:right w:val="single" w:color="000000" w:sz="4" w:space="0"/>
            </w:tcBorders>
            <w:vAlign w:val="center"/>
          </w:tcPr>
          <w:p w14:paraId="36D3758A">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rPr>
            </w:pPr>
          </w:p>
        </w:tc>
        <w:tc>
          <w:tcPr>
            <w:tcW w:w="706" w:type="dxa"/>
            <w:tcBorders>
              <w:top w:val="single" w:color="000000" w:sz="4" w:space="0"/>
              <w:left w:val="single" w:color="000000" w:sz="4" w:space="0"/>
              <w:bottom w:val="single" w:color="000000" w:sz="4" w:space="0"/>
              <w:right w:val="single" w:color="000000" w:sz="4" w:space="0"/>
            </w:tcBorders>
            <w:noWrap/>
            <w:vAlign w:val="center"/>
          </w:tcPr>
          <w:p w14:paraId="6D3EC143">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lang w:val="en-US" w:eastAsia="zh-CN"/>
              </w:rPr>
            </w:pPr>
          </w:p>
        </w:tc>
      </w:tr>
      <w:tr w14:paraId="663FB682">
        <w:tblPrEx>
          <w:tblCellMar>
            <w:top w:w="0" w:type="dxa"/>
            <w:left w:w="108" w:type="dxa"/>
            <w:bottom w:w="0" w:type="dxa"/>
            <w:right w:w="108" w:type="dxa"/>
          </w:tblCellMar>
        </w:tblPrEx>
        <w:trPr>
          <w:trHeight w:val="735" w:hRule="atLeast"/>
          <w:jc w:val="center"/>
        </w:trPr>
        <w:tc>
          <w:tcPr>
            <w:tcW w:w="775" w:type="dxa"/>
            <w:tcBorders>
              <w:top w:val="single" w:color="000000" w:sz="4" w:space="0"/>
              <w:left w:val="single" w:color="000000" w:sz="4" w:space="0"/>
              <w:bottom w:val="single" w:color="000000" w:sz="4" w:space="0"/>
              <w:right w:val="single" w:color="000000" w:sz="4" w:space="0"/>
            </w:tcBorders>
            <w:vAlign w:val="center"/>
          </w:tcPr>
          <w:p w14:paraId="7959D6EE">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rPr>
            </w:pPr>
          </w:p>
        </w:tc>
        <w:tc>
          <w:tcPr>
            <w:tcW w:w="1872" w:type="dxa"/>
            <w:tcBorders>
              <w:top w:val="single" w:color="000000" w:sz="4" w:space="0"/>
              <w:left w:val="single" w:color="000000" w:sz="4" w:space="0"/>
              <w:bottom w:val="single" w:color="000000" w:sz="4" w:space="0"/>
              <w:right w:val="single" w:color="000000" w:sz="4" w:space="0"/>
            </w:tcBorders>
            <w:vAlign w:val="center"/>
          </w:tcPr>
          <w:p w14:paraId="48A16D1D">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rPr>
            </w:pPr>
            <w:r>
              <w:rPr>
                <w:rFonts w:hint="eastAsia" w:ascii="宋体" w:hAnsi="宋体" w:eastAsia="宋体" w:cs="宋体"/>
                <w:color w:val="000000"/>
              </w:rPr>
              <w:t>剪刀</w:t>
            </w:r>
          </w:p>
        </w:tc>
        <w:tc>
          <w:tcPr>
            <w:tcW w:w="6637" w:type="dxa"/>
            <w:tcBorders>
              <w:top w:val="single" w:color="000000" w:sz="4" w:space="0"/>
              <w:left w:val="single" w:color="000000" w:sz="4" w:space="0"/>
              <w:bottom w:val="single" w:color="000000" w:sz="4" w:space="0"/>
              <w:right w:val="single" w:color="000000" w:sz="4" w:space="0"/>
            </w:tcBorders>
            <w:vAlign w:val="center"/>
          </w:tcPr>
          <w:p w14:paraId="27AF4C8B">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类型：医用手术剪/解剖剪，不锈钢材质，耐腐蚀。</w:t>
            </w:r>
          </w:p>
          <w:p w14:paraId="15EE7737">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规格：直头/弯头，长度12.5cm - 18cm，根据采样对象大小选择。</w:t>
            </w:r>
          </w:p>
          <w:p w14:paraId="483BB1AF">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特点：锋利，易消毒，用于剪取小型组织样本或羽毛等。</w:t>
            </w:r>
          </w:p>
        </w:tc>
        <w:tc>
          <w:tcPr>
            <w:tcW w:w="808" w:type="dxa"/>
            <w:tcBorders>
              <w:top w:val="single" w:color="000000" w:sz="4" w:space="0"/>
              <w:left w:val="single" w:color="000000" w:sz="4" w:space="0"/>
              <w:bottom w:val="single" w:color="000000" w:sz="4" w:space="0"/>
              <w:right w:val="single" w:color="000000" w:sz="4" w:space="0"/>
            </w:tcBorders>
            <w:vAlign w:val="center"/>
          </w:tcPr>
          <w:p w14:paraId="3C267DD8">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把</w:t>
            </w:r>
          </w:p>
        </w:tc>
        <w:tc>
          <w:tcPr>
            <w:tcW w:w="706" w:type="dxa"/>
            <w:tcBorders>
              <w:top w:val="single" w:color="000000" w:sz="4" w:space="0"/>
              <w:left w:val="single" w:color="000000" w:sz="4" w:space="0"/>
              <w:bottom w:val="single" w:color="000000" w:sz="4" w:space="0"/>
              <w:right w:val="single" w:color="000000" w:sz="4" w:space="0"/>
            </w:tcBorders>
            <w:noWrap/>
            <w:vAlign w:val="center"/>
          </w:tcPr>
          <w:p w14:paraId="353DF747">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lang w:val="en-US" w:eastAsia="zh-CN"/>
              </w:rPr>
            </w:pPr>
            <w:r>
              <w:rPr>
                <w:rFonts w:hint="eastAsia" w:ascii="宋体" w:hAnsi="宋体" w:eastAsia="宋体" w:cs="宋体"/>
                <w:lang w:val="en-US" w:eastAsia="zh-CN"/>
              </w:rPr>
              <w:t>20</w:t>
            </w:r>
          </w:p>
        </w:tc>
      </w:tr>
      <w:tr w14:paraId="4421D3F1">
        <w:tblPrEx>
          <w:tblCellMar>
            <w:top w:w="0" w:type="dxa"/>
            <w:left w:w="108" w:type="dxa"/>
            <w:bottom w:w="0" w:type="dxa"/>
            <w:right w:w="108" w:type="dxa"/>
          </w:tblCellMar>
        </w:tblPrEx>
        <w:trPr>
          <w:trHeight w:val="735" w:hRule="atLeast"/>
          <w:jc w:val="center"/>
        </w:trPr>
        <w:tc>
          <w:tcPr>
            <w:tcW w:w="775" w:type="dxa"/>
            <w:tcBorders>
              <w:top w:val="single" w:color="000000" w:sz="4" w:space="0"/>
              <w:left w:val="single" w:color="000000" w:sz="4" w:space="0"/>
              <w:bottom w:val="single" w:color="000000" w:sz="4" w:space="0"/>
              <w:right w:val="single" w:color="000000" w:sz="4" w:space="0"/>
            </w:tcBorders>
            <w:vAlign w:val="center"/>
          </w:tcPr>
          <w:p w14:paraId="7A1554D0">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rPr>
            </w:pPr>
          </w:p>
        </w:tc>
        <w:tc>
          <w:tcPr>
            <w:tcW w:w="1872" w:type="dxa"/>
            <w:tcBorders>
              <w:top w:val="single" w:color="000000" w:sz="4" w:space="0"/>
              <w:left w:val="single" w:color="000000" w:sz="4" w:space="0"/>
              <w:bottom w:val="single" w:color="000000" w:sz="4" w:space="0"/>
              <w:right w:val="single" w:color="000000" w:sz="4" w:space="0"/>
            </w:tcBorders>
            <w:vAlign w:val="center"/>
          </w:tcPr>
          <w:p w14:paraId="17E991EB">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rPr>
            </w:pPr>
            <w:r>
              <w:rPr>
                <w:rFonts w:hint="eastAsia" w:ascii="宋体" w:hAnsi="宋体" w:eastAsia="宋体" w:cs="宋体"/>
                <w:color w:val="000000"/>
              </w:rPr>
              <w:t>镊子</w:t>
            </w:r>
          </w:p>
        </w:tc>
        <w:tc>
          <w:tcPr>
            <w:tcW w:w="6637" w:type="dxa"/>
            <w:tcBorders>
              <w:top w:val="single" w:color="000000" w:sz="4" w:space="0"/>
              <w:left w:val="single" w:color="000000" w:sz="4" w:space="0"/>
              <w:bottom w:val="single" w:color="000000" w:sz="4" w:space="0"/>
              <w:right w:val="single" w:color="000000" w:sz="4" w:space="0"/>
            </w:tcBorders>
            <w:vAlign w:val="center"/>
          </w:tcPr>
          <w:p w14:paraId="45CB99FF">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类型：医用镊子/解剖镊子，不锈钢材质，耐腐蚀。</w:t>
            </w:r>
          </w:p>
          <w:p w14:paraId="610E5AC3">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规格：尖头/圆头，长度10cm - 20cm，根据采样需求选择。</w:t>
            </w:r>
          </w:p>
          <w:p w14:paraId="7C7A9243">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特点：尖头镊子适用于夹取细小样本，圆头镊子更安全，防止损伤组织。</w:t>
            </w:r>
          </w:p>
        </w:tc>
        <w:tc>
          <w:tcPr>
            <w:tcW w:w="808" w:type="dxa"/>
            <w:tcBorders>
              <w:top w:val="single" w:color="000000" w:sz="4" w:space="0"/>
              <w:left w:val="single" w:color="000000" w:sz="4" w:space="0"/>
              <w:bottom w:val="single" w:color="000000" w:sz="4" w:space="0"/>
              <w:right w:val="single" w:color="000000" w:sz="4" w:space="0"/>
            </w:tcBorders>
            <w:vAlign w:val="center"/>
          </w:tcPr>
          <w:p w14:paraId="5EE820E3">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把</w:t>
            </w:r>
          </w:p>
        </w:tc>
        <w:tc>
          <w:tcPr>
            <w:tcW w:w="706" w:type="dxa"/>
            <w:tcBorders>
              <w:top w:val="single" w:color="000000" w:sz="4" w:space="0"/>
              <w:left w:val="single" w:color="000000" w:sz="4" w:space="0"/>
              <w:bottom w:val="single" w:color="000000" w:sz="4" w:space="0"/>
              <w:right w:val="single" w:color="000000" w:sz="4" w:space="0"/>
            </w:tcBorders>
            <w:noWrap/>
            <w:vAlign w:val="center"/>
          </w:tcPr>
          <w:p w14:paraId="525C74B4">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lang w:val="en-US" w:eastAsia="zh-CN"/>
              </w:rPr>
            </w:pPr>
            <w:r>
              <w:rPr>
                <w:rFonts w:hint="eastAsia" w:ascii="宋体" w:hAnsi="宋体" w:eastAsia="宋体" w:cs="宋体"/>
                <w:lang w:val="en-US" w:eastAsia="zh-CN"/>
              </w:rPr>
              <w:t>20</w:t>
            </w:r>
          </w:p>
        </w:tc>
      </w:tr>
      <w:tr w14:paraId="46CDA98D">
        <w:tblPrEx>
          <w:tblCellMar>
            <w:top w:w="0" w:type="dxa"/>
            <w:left w:w="108" w:type="dxa"/>
            <w:bottom w:w="0" w:type="dxa"/>
            <w:right w:w="108" w:type="dxa"/>
          </w:tblCellMar>
        </w:tblPrEx>
        <w:trPr>
          <w:trHeight w:val="735" w:hRule="atLeast"/>
          <w:jc w:val="center"/>
        </w:trPr>
        <w:tc>
          <w:tcPr>
            <w:tcW w:w="775" w:type="dxa"/>
            <w:tcBorders>
              <w:top w:val="single" w:color="000000" w:sz="4" w:space="0"/>
              <w:left w:val="single" w:color="000000" w:sz="4" w:space="0"/>
              <w:bottom w:val="single" w:color="000000" w:sz="4" w:space="0"/>
              <w:right w:val="single" w:color="000000" w:sz="4" w:space="0"/>
            </w:tcBorders>
            <w:vAlign w:val="center"/>
          </w:tcPr>
          <w:p w14:paraId="4EBEEC19">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rPr>
            </w:pPr>
          </w:p>
        </w:tc>
        <w:tc>
          <w:tcPr>
            <w:tcW w:w="1872" w:type="dxa"/>
            <w:tcBorders>
              <w:top w:val="single" w:color="000000" w:sz="4" w:space="0"/>
              <w:left w:val="single" w:color="000000" w:sz="4" w:space="0"/>
              <w:bottom w:val="single" w:color="000000" w:sz="4" w:space="0"/>
              <w:right w:val="single" w:color="000000" w:sz="4" w:space="0"/>
            </w:tcBorders>
            <w:vAlign w:val="center"/>
          </w:tcPr>
          <w:p w14:paraId="567AF255">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rPr>
            </w:pPr>
            <w:r>
              <w:rPr>
                <w:rFonts w:hint="eastAsia" w:ascii="宋体" w:hAnsi="宋体" w:eastAsia="宋体" w:cs="宋体"/>
                <w:color w:val="000000"/>
              </w:rPr>
              <w:t>注射器</w:t>
            </w:r>
          </w:p>
        </w:tc>
        <w:tc>
          <w:tcPr>
            <w:tcW w:w="6637" w:type="dxa"/>
            <w:tcBorders>
              <w:top w:val="single" w:color="000000" w:sz="4" w:space="0"/>
              <w:left w:val="single" w:color="000000" w:sz="4" w:space="0"/>
              <w:bottom w:val="single" w:color="000000" w:sz="4" w:space="0"/>
              <w:right w:val="single" w:color="000000" w:sz="4" w:space="0"/>
            </w:tcBorders>
            <w:vAlign w:val="center"/>
          </w:tcPr>
          <w:p w14:paraId="0C08A26D">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类型：一次性注射器，带针头。</w:t>
            </w:r>
          </w:p>
          <w:p w14:paraId="3612636C">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规格：1ml、5ml、10ml等，根据采样量选择。</w:t>
            </w:r>
          </w:p>
          <w:p w14:paraId="3F930A46">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针头：21G、23G等，根据采样对象大小和血管粗细选择。</w:t>
            </w:r>
          </w:p>
          <w:p w14:paraId="3AFA39DE">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特点：无菌，安全，用于抽取血液、体液等样本。</w:t>
            </w:r>
          </w:p>
        </w:tc>
        <w:tc>
          <w:tcPr>
            <w:tcW w:w="808" w:type="dxa"/>
            <w:tcBorders>
              <w:top w:val="single" w:color="000000" w:sz="4" w:space="0"/>
              <w:left w:val="single" w:color="000000" w:sz="4" w:space="0"/>
              <w:bottom w:val="single" w:color="000000" w:sz="4" w:space="0"/>
              <w:right w:val="single" w:color="000000" w:sz="4" w:space="0"/>
            </w:tcBorders>
            <w:vAlign w:val="center"/>
          </w:tcPr>
          <w:p w14:paraId="07A3B8CA">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个</w:t>
            </w:r>
          </w:p>
        </w:tc>
        <w:tc>
          <w:tcPr>
            <w:tcW w:w="706" w:type="dxa"/>
            <w:tcBorders>
              <w:top w:val="single" w:color="000000" w:sz="4" w:space="0"/>
              <w:left w:val="single" w:color="000000" w:sz="4" w:space="0"/>
              <w:bottom w:val="single" w:color="000000" w:sz="4" w:space="0"/>
              <w:right w:val="single" w:color="000000" w:sz="4" w:space="0"/>
            </w:tcBorders>
            <w:noWrap/>
            <w:vAlign w:val="center"/>
          </w:tcPr>
          <w:p w14:paraId="52E3C778">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lang w:val="en-US" w:eastAsia="zh-CN"/>
              </w:rPr>
            </w:pPr>
            <w:r>
              <w:rPr>
                <w:rFonts w:hint="eastAsia" w:ascii="宋体" w:hAnsi="宋体" w:eastAsia="宋体" w:cs="宋体"/>
                <w:lang w:val="en-US" w:eastAsia="zh-CN"/>
              </w:rPr>
              <w:t>50</w:t>
            </w:r>
          </w:p>
        </w:tc>
      </w:tr>
      <w:tr w14:paraId="7D59BF30">
        <w:tblPrEx>
          <w:tblCellMar>
            <w:top w:w="0" w:type="dxa"/>
            <w:left w:w="108" w:type="dxa"/>
            <w:bottom w:w="0" w:type="dxa"/>
            <w:right w:w="108" w:type="dxa"/>
          </w:tblCellMar>
        </w:tblPrEx>
        <w:trPr>
          <w:trHeight w:val="552" w:hRule="atLeast"/>
          <w:jc w:val="center"/>
        </w:trPr>
        <w:tc>
          <w:tcPr>
            <w:tcW w:w="775" w:type="dxa"/>
            <w:tcBorders>
              <w:top w:val="single" w:color="000000" w:sz="4" w:space="0"/>
              <w:left w:val="single" w:color="000000" w:sz="4" w:space="0"/>
              <w:bottom w:val="single" w:color="000000" w:sz="4" w:space="0"/>
              <w:right w:val="single" w:color="000000" w:sz="4" w:space="0"/>
            </w:tcBorders>
            <w:vAlign w:val="center"/>
          </w:tcPr>
          <w:p w14:paraId="5DBB4746">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rPr>
            </w:pPr>
          </w:p>
        </w:tc>
        <w:tc>
          <w:tcPr>
            <w:tcW w:w="1872" w:type="dxa"/>
            <w:tcBorders>
              <w:top w:val="single" w:color="000000" w:sz="4" w:space="0"/>
              <w:left w:val="single" w:color="000000" w:sz="4" w:space="0"/>
              <w:bottom w:val="single" w:color="000000" w:sz="4" w:space="0"/>
              <w:right w:val="single" w:color="000000" w:sz="4" w:space="0"/>
            </w:tcBorders>
            <w:vAlign w:val="center"/>
          </w:tcPr>
          <w:p w14:paraId="39A8C19D">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rPr>
            </w:pPr>
            <w:r>
              <w:rPr>
                <w:rFonts w:hint="eastAsia" w:ascii="宋体" w:hAnsi="宋体" w:eastAsia="宋体" w:cs="宋体"/>
                <w:color w:val="000000"/>
              </w:rPr>
              <w:t>冻存管</w:t>
            </w:r>
          </w:p>
        </w:tc>
        <w:tc>
          <w:tcPr>
            <w:tcW w:w="6637" w:type="dxa"/>
            <w:tcBorders>
              <w:top w:val="single" w:color="000000" w:sz="4" w:space="0"/>
              <w:left w:val="single" w:color="000000" w:sz="4" w:space="0"/>
              <w:bottom w:val="single" w:color="000000" w:sz="4" w:space="0"/>
              <w:right w:val="single" w:color="000000" w:sz="4" w:space="0"/>
            </w:tcBorders>
            <w:vAlign w:val="center"/>
          </w:tcPr>
          <w:p w14:paraId="28AB3F3F">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类型：带螺旋盖冻存管，PP材质，耐低温。</w:t>
            </w:r>
          </w:p>
          <w:p w14:paraId="324E399B">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规格：0.5ml、1.5ml、2ml等，根据样本量选择。</w:t>
            </w:r>
          </w:p>
          <w:p w14:paraId="7489D73A">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特点：耐受-80℃甚至液氮低温，用于长期保存样本。</w:t>
            </w:r>
          </w:p>
        </w:tc>
        <w:tc>
          <w:tcPr>
            <w:tcW w:w="808" w:type="dxa"/>
            <w:tcBorders>
              <w:top w:val="single" w:color="000000" w:sz="4" w:space="0"/>
              <w:left w:val="single" w:color="000000" w:sz="4" w:space="0"/>
              <w:bottom w:val="single" w:color="000000" w:sz="4" w:space="0"/>
              <w:right w:val="single" w:color="000000" w:sz="4" w:space="0"/>
            </w:tcBorders>
            <w:vAlign w:val="center"/>
          </w:tcPr>
          <w:p w14:paraId="72F87437">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个</w:t>
            </w:r>
          </w:p>
        </w:tc>
        <w:tc>
          <w:tcPr>
            <w:tcW w:w="706" w:type="dxa"/>
            <w:tcBorders>
              <w:top w:val="single" w:color="000000" w:sz="4" w:space="0"/>
              <w:left w:val="single" w:color="000000" w:sz="4" w:space="0"/>
              <w:bottom w:val="single" w:color="000000" w:sz="4" w:space="0"/>
              <w:right w:val="single" w:color="000000" w:sz="4" w:space="0"/>
            </w:tcBorders>
            <w:noWrap/>
            <w:vAlign w:val="center"/>
          </w:tcPr>
          <w:p w14:paraId="2EA7A47F">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lang w:val="en-US" w:eastAsia="zh-CN"/>
              </w:rPr>
            </w:pPr>
            <w:r>
              <w:rPr>
                <w:rFonts w:hint="eastAsia" w:ascii="宋体" w:hAnsi="宋体" w:eastAsia="宋体" w:cs="宋体"/>
                <w:lang w:val="en-US" w:eastAsia="zh-CN"/>
              </w:rPr>
              <w:t>100</w:t>
            </w:r>
          </w:p>
        </w:tc>
      </w:tr>
      <w:tr w14:paraId="54BD60FA">
        <w:tblPrEx>
          <w:tblCellMar>
            <w:top w:w="0" w:type="dxa"/>
            <w:left w:w="108" w:type="dxa"/>
            <w:bottom w:w="0" w:type="dxa"/>
            <w:right w:w="108" w:type="dxa"/>
          </w:tblCellMar>
        </w:tblPrEx>
        <w:trPr>
          <w:trHeight w:val="735" w:hRule="atLeast"/>
          <w:jc w:val="center"/>
        </w:trPr>
        <w:tc>
          <w:tcPr>
            <w:tcW w:w="775" w:type="dxa"/>
            <w:tcBorders>
              <w:top w:val="single" w:color="000000" w:sz="4" w:space="0"/>
              <w:left w:val="single" w:color="000000" w:sz="4" w:space="0"/>
              <w:bottom w:val="single" w:color="000000" w:sz="4" w:space="0"/>
              <w:right w:val="single" w:color="000000" w:sz="4" w:space="0"/>
            </w:tcBorders>
            <w:vAlign w:val="center"/>
          </w:tcPr>
          <w:p w14:paraId="4613CAA1">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rPr>
            </w:pPr>
          </w:p>
        </w:tc>
        <w:tc>
          <w:tcPr>
            <w:tcW w:w="1872" w:type="dxa"/>
            <w:tcBorders>
              <w:top w:val="single" w:color="000000" w:sz="4" w:space="0"/>
              <w:left w:val="single" w:color="000000" w:sz="4" w:space="0"/>
              <w:bottom w:val="single" w:color="000000" w:sz="4" w:space="0"/>
              <w:right w:val="single" w:color="000000" w:sz="4" w:space="0"/>
            </w:tcBorders>
            <w:vAlign w:val="center"/>
          </w:tcPr>
          <w:p w14:paraId="66DC8E8D">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rPr>
            </w:pPr>
            <w:r>
              <w:rPr>
                <w:rFonts w:hint="eastAsia" w:ascii="宋体" w:hAnsi="宋体" w:eastAsia="宋体" w:cs="宋体"/>
                <w:color w:val="000000"/>
              </w:rPr>
              <w:t>样品收集瓶</w:t>
            </w:r>
          </w:p>
        </w:tc>
        <w:tc>
          <w:tcPr>
            <w:tcW w:w="6637" w:type="dxa"/>
            <w:tcBorders>
              <w:top w:val="single" w:color="000000" w:sz="4" w:space="0"/>
              <w:left w:val="single" w:color="000000" w:sz="4" w:space="0"/>
              <w:bottom w:val="single" w:color="000000" w:sz="4" w:space="0"/>
              <w:right w:val="single" w:color="000000" w:sz="4" w:space="0"/>
            </w:tcBorders>
            <w:vAlign w:val="center"/>
          </w:tcPr>
          <w:p w14:paraId="2CE0B1E2">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类型：广口瓶/窄口瓶，玻璃或PP材质，带密封盖。</w:t>
            </w:r>
          </w:p>
          <w:p w14:paraId="750DD942">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规格：5ml、10ml、50ml、100ml等，根据样本类型和体积选择。</w:t>
            </w:r>
          </w:p>
          <w:p w14:paraId="18227F09">
            <w:pPr>
              <w:keepNext w:val="0"/>
              <w:keepLines w:val="0"/>
              <w:pageBreakBefore w:val="0"/>
              <w:kinsoku/>
              <w:wordWrap/>
              <w:overflowPunct w:val="0"/>
              <w:topLinePunct w:val="0"/>
              <w:autoSpaceDE/>
              <w:autoSpaceDN/>
              <w:bidi w:val="0"/>
              <w:adjustRightInd/>
              <w:snapToGrid w:val="0"/>
              <w:spacing w:line="240" w:lineRule="auto"/>
              <w:jc w:val="both"/>
              <w:textAlignment w:val="center"/>
              <w:rPr>
                <w:rFonts w:hint="eastAsia" w:ascii="宋体" w:hAnsi="宋体" w:eastAsia="宋体" w:cs="宋体"/>
                <w:color w:val="000000"/>
              </w:rPr>
            </w:pPr>
            <w:r>
              <w:rPr>
                <w:rFonts w:hint="eastAsia" w:ascii="宋体" w:hAnsi="宋体" w:eastAsia="宋体" w:cs="宋体"/>
                <w:color w:val="000000"/>
                <w:lang w:eastAsia="zh-CN"/>
              </w:rPr>
              <w:t>特点：密封性好，防止样本泄漏和污染。</w:t>
            </w:r>
          </w:p>
        </w:tc>
        <w:tc>
          <w:tcPr>
            <w:tcW w:w="808" w:type="dxa"/>
            <w:tcBorders>
              <w:top w:val="single" w:color="000000" w:sz="4" w:space="0"/>
              <w:left w:val="single" w:color="000000" w:sz="4" w:space="0"/>
              <w:bottom w:val="single" w:color="000000" w:sz="4" w:space="0"/>
              <w:right w:val="single" w:color="000000" w:sz="4" w:space="0"/>
            </w:tcBorders>
            <w:vAlign w:val="center"/>
          </w:tcPr>
          <w:p w14:paraId="0EF22533">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个</w:t>
            </w:r>
          </w:p>
        </w:tc>
        <w:tc>
          <w:tcPr>
            <w:tcW w:w="706" w:type="dxa"/>
            <w:tcBorders>
              <w:top w:val="single" w:color="000000" w:sz="4" w:space="0"/>
              <w:left w:val="single" w:color="000000" w:sz="4" w:space="0"/>
              <w:bottom w:val="single" w:color="000000" w:sz="4" w:space="0"/>
              <w:right w:val="single" w:color="000000" w:sz="4" w:space="0"/>
            </w:tcBorders>
            <w:noWrap/>
            <w:vAlign w:val="center"/>
          </w:tcPr>
          <w:p w14:paraId="0312A4E4">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lang w:val="en-US" w:eastAsia="zh-CN"/>
              </w:rPr>
            </w:pPr>
            <w:r>
              <w:rPr>
                <w:rFonts w:hint="eastAsia" w:ascii="宋体" w:hAnsi="宋体" w:eastAsia="宋体" w:cs="宋体"/>
                <w:lang w:val="en-US" w:eastAsia="zh-CN"/>
              </w:rPr>
              <w:t>100</w:t>
            </w:r>
          </w:p>
        </w:tc>
      </w:tr>
      <w:tr w14:paraId="0B7DBC77">
        <w:tblPrEx>
          <w:tblCellMar>
            <w:top w:w="0" w:type="dxa"/>
            <w:left w:w="108" w:type="dxa"/>
            <w:bottom w:w="0" w:type="dxa"/>
            <w:right w:w="108" w:type="dxa"/>
          </w:tblCellMar>
        </w:tblPrEx>
        <w:trPr>
          <w:trHeight w:val="552" w:hRule="atLeast"/>
          <w:jc w:val="center"/>
        </w:trPr>
        <w:tc>
          <w:tcPr>
            <w:tcW w:w="775" w:type="dxa"/>
            <w:tcBorders>
              <w:top w:val="single" w:color="000000" w:sz="4" w:space="0"/>
              <w:left w:val="single" w:color="000000" w:sz="4" w:space="0"/>
              <w:bottom w:val="single" w:color="000000" w:sz="4" w:space="0"/>
              <w:right w:val="single" w:color="000000" w:sz="4" w:space="0"/>
            </w:tcBorders>
            <w:vAlign w:val="center"/>
          </w:tcPr>
          <w:p w14:paraId="51E55AFE">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rPr>
            </w:pPr>
          </w:p>
        </w:tc>
        <w:tc>
          <w:tcPr>
            <w:tcW w:w="1872" w:type="dxa"/>
            <w:tcBorders>
              <w:top w:val="single" w:color="000000" w:sz="4" w:space="0"/>
              <w:left w:val="single" w:color="000000" w:sz="4" w:space="0"/>
              <w:bottom w:val="single" w:color="000000" w:sz="4" w:space="0"/>
              <w:right w:val="single" w:color="000000" w:sz="4" w:space="0"/>
            </w:tcBorders>
            <w:vAlign w:val="center"/>
          </w:tcPr>
          <w:p w14:paraId="114230FB">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试管</w:t>
            </w:r>
          </w:p>
        </w:tc>
        <w:tc>
          <w:tcPr>
            <w:tcW w:w="6637" w:type="dxa"/>
            <w:tcBorders>
              <w:top w:val="single" w:color="000000" w:sz="4" w:space="0"/>
              <w:left w:val="single" w:color="000000" w:sz="4" w:space="0"/>
              <w:bottom w:val="single" w:color="000000" w:sz="4" w:space="0"/>
              <w:right w:val="single" w:color="000000" w:sz="4" w:space="0"/>
            </w:tcBorders>
            <w:vAlign w:val="center"/>
          </w:tcPr>
          <w:p w14:paraId="5BE0DF27">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类型：玻璃或PP材质，带或不带刻度。</w:t>
            </w:r>
          </w:p>
          <w:p w14:paraId="51281F0B">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规格：5ml、10ml、15ml等，根据实验需求选择。</w:t>
            </w:r>
          </w:p>
          <w:p w14:paraId="0AF74A70">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特点：用于样本的临时存放和处理</w:t>
            </w:r>
          </w:p>
        </w:tc>
        <w:tc>
          <w:tcPr>
            <w:tcW w:w="808" w:type="dxa"/>
            <w:tcBorders>
              <w:top w:val="single" w:color="000000" w:sz="4" w:space="0"/>
              <w:left w:val="single" w:color="000000" w:sz="4" w:space="0"/>
              <w:bottom w:val="single" w:color="000000" w:sz="4" w:space="0"/>
              <w:right w:val="single" w:color="000000" w:sz="4" w:space="0"/>
            </w:tcBorders>
            <w:vAlign w:val="center"/>
          </w:tcPr>
          <w:p w14:paraId="2305D4F2">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个</w:t>
            </w:r>
          </w:p>
        </w:tc>
        <w:tc>
          <w:tcPr>
            <w:tcW w:w="706" w:type="dxa"/>
            <w:tcBorders>
              <w:top w:val="single" w:color="000000" w:sz="4" w:space="0"/>
              <w:left w:val="single" w:color="000000" w:sz="4" w:space="0"/>
              <w:bottom w:val="single" w:color="000000" w:sz="4" w:space="0"/>
              <w:right w:val="single" w:color="000000" w:sz="4" w:space="0"/>
            </w:tcBorders>
            <w:noWrap/>
            <w:vAlign w:val="center"/>
          </w:tcPr>
          <w:p w14:paraId="5732BB19">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lang w:val="en-US" w:eastAsia="zh-CN"/>
              </w:rPr>
            </w:pPr>
            <w:r>
              <w:rPr>
                <w:rFonts w:hint="eastAsia" w:ascii="宋体" w:hAnsi="宋体" w:eastAsia="宋体" w:cs="宋体"/>
                <w:lang w:val="en-US" w:eastAsia="zh-CN"/>
              </w:rPr>
              <w:t>100</w:t>
            </w:r>
          </w:p>
        </w:tc>
      </w:tr>
      <w:tr w14:paraId="61F70AB5">
        <w:tblPrEx>
          <w:tblCellMar>
            <w:top w:w="0" w:type="dxa"/>
            <w:left w:w="108" w:type="dxa"/>
            <w:bottom w:w="0" w:type="dxa"/>
            <w:right w:w="108" w:type="dxa"/>
          </w:tblCellMar>
        </w:tblPrEx>
        <w:trPr>
          <w:trHeight w:val="375" w:hRule="atLeast"/>
          <w:jc w:val="center"/>
        </w:trPr>
        <w:tc>
          <w:tcPr>
            <w:tcW w:w="775" w:type="dxa"/>
            <w:tcBorders>
              <w:top w:val="single" w:color="000000" w:sz="4" w:space="0"/>
              <w:left w:val="single" w:color="000000" w:sz="4" w:space="0"/>
              <w:bottom w:val="single" w:color="000000" w:sz="4" w:space="0"/>
              <w:right w:val="single" w:color="000000" w:sz="4" w:space="0"/>
            </w:tcBorders>
            <w:vAlign w:val="center"/>
          </w:tcPr>
          <w:p w14:paraId="41A5098C">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rPr>
            </w:pPr>
          </w:p>
        </w:tc>
        <w:tc>
          <w:tcPr>
            <w:tcW w:w="1872" w:type="dxa"/>
            <w:tcBorders>
              <w:top w:val="single" w:color="000000" w:sz="4" w:space="0"/>
              <w:left w:val="single" w:color="000000" w:sz="4" w:space="0"/>
              <w:bottom w:val="single" w:color="000000" w:sz="4" w:space="0"/>
              <w:right w:val="single" w:color="000000" w:sz="4" w:space="0"/>
            </w:tcBorders>
            <w:vAlign w:val="center"/>
          </w:tcPr>
          <w:p w14:paraId="74F8903F">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rPr>
            </w:pPr>
            <w:r>
              <w:rPr>
                <w:rFonts w:hint="eastAsia" w:ascii="宋体" w:hAnsi="宋体" w:eastAsia="宋体" w:cs="宋体"/>
                <w:color w:val="000000"/>
              </w:rPr>
              <w:t>酒精</w:t>
            </w:r>
          </w:p>
        </w:tc>
        <w:tc>
          <w:tcPr>
            <w:tcW w:w="6637" w:type="dxa"/>
            <w:tcBorders>
              <w:top w:val="single" w:color="000000" w:sz="4" w:space="0"/>
              <w:left w:val="single" w:color="000000" w:sz="4" w:space="0"/>
              <w:bottom w:val="single" w:color="000000" w:sz="4" w:space="0"/>
              <w:right w:val="single" w:color="000000" w:sz="4" w:space="0"/>
            </w:tcBorders>
            <w:vAlign w:val="center"/>
          </w:tcPr>
          <w:p w14:paraId="008CAB70">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浓度：75%乙醇。</w:t>
            </w:r>
          </w:p>
          <w:p w14:paraId="634B4067">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规格：500ml/瓶，1L/瓶。</w:t>
            </w:r>
          </w:p>
          <w:p w14:paraId="1A673301">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特点：用于皮肤和器械的消毒。</w:t>
            </w:r>
          </w:p>
        </w:tc>
        <w:tc>
          <w:tcPr>
            <w:tcW w:w="808" w:type="dxa"/>
            <w:tcBorders>
              <w:top w:val="single" w:color="000000" w:sz="4" w:space="0"/>
              <w:left w:val="single" w:color="000000" w:sz="4" w:space="0"/>
              <w:bottom w:val="single" w:color="000000" w:sz="4" w:space="0"/>
              <w:right w:val="single" w:color="000000" w:sz="4" w:space="0"/>
            </w:tcBorders>
            <w:vAlign w:val="center"/>
          </w:tcPr>
          <w:p w14:paraId="2A5DD9A3">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瓶</w:t>
            </w:r>
          </w:p>
        </w:tc>
        <w:tc>
          <w:tcPr>
            <w:tcW w:w="706" w:type="dxa"/>
            <w:tcBorders>
              <w:top w:val="single" w:color="000000" w:sz="4" w:space="0"/>
              <w:left w:val="single" w:color="000000" w:sz="4" w:space="0"/>
              <w:bottom w:val="single" w:color="000000" w:sz="4" w:space="0"/>
              <w:right w:val="single" w:color="000000" w:sz="4" w:space="0"/>
            </w:tcBorders>
            <w:noWrap/>
            <w:vAlign w:val="center"/>
          </w:tcPr>
          <w:p w14:paraId="008DF007">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lang w:val="en-US" w:eastAsia="zh-CN"/>
              </w:rPr>
            </w:pPr>
            <w:r>
              <w:rPr>
                <w:rFonts w:hint="eastAsia" w:ascii="宋体" w:hAnsi="宋体" w:eastAsia="宋体" w:cs="宋体"/>
                <w:lang w:val="en-US" w:eastAsia="zh-CN"/>
              </w:rPr>
              <w:t>10</w:t>
            </w:r>
          </w:p>
        </w:tc>
      </w:tr>
      <w:tr w14:paraId="59387E79">
        <w:tblPrEx>
          <w:tblCellMar>
            <w:top w:w="0" w:type="dxa"/>
            <w:left w:w="108" w:type="dxa"/>
            <w:bottom w:w="0" w:type="dxa"/>
            <w:right w:w="108" w:type="dxa"/>
          </w:tblCellMar>
        </w:tblPrEx>
        <w:trPr>
          <w:trHeight w:val="552" w:hRule="atLeast"/>
          <w:jc w:val="center"/>
        </w:trPr>
        <w:tc>
          <w:tcPr>
            <w:tcW w:w="775" w:type="dxa"/>
            <w:tcBorders>
              <w:top w:val="single" w:color="000000" w:sz="4" w:space="0"/>
              <w:left w:val="single" w:color="000000" w:sz="4" w:space="0"/>
              <w:bottom w:val="single" w:color="000000" w:sz="4" w:space="0"/>
              <w:right w:val="single" w:color="000000" w:sz="4" w:space="0"/>
            </w:tcBorders>
            <w:vAlign w:val="center"/>
          </w:tcPr>
          <w:p w14:paraId="0501A369">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rPr>
            </w:pPr>
          </w:p>
        </w:tc>
        <w:tc>
          <w:tcPr>
            <w:tcW w:w="1872" w:type="dxa"/>
            <w:tcBorders>
              <w:top w:val="single" w:color="000000" w:sz="4" w:space="0"/>
              <w:left w:val="single" w:color="000000" w:sz="4" w:space="0"/>
              <w:bottom w:val="single" w:color="000000" w:sz="4" w:space="0"/>
              <w:right w:val="single" w:color="000000" w:sz="4" w:space="0"/>
            </w:tcBorders>
            <w:vAlign w:val="center"/>
          </w:tcPr>
          <w:p w14:paraId="209B59D2">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游标卡尺</w:t>
            </w:r>
          </w:p>
        </w:tc>
        <w:tc>
          <w:tcPr>
            <w:tcW w:w="6637" w:type="dxa"/>
            <w:tcBorders>
              <w:top w:val="single" w:color="000000" w:sz="4" w:space="0"/>
              <w:left w:val="single" w:color="000000" w:sz="4" w:space="0"/>
              <w:bottom w:val="single" w:color="000000" w:sz="4" w:space="0"/>
              <w:right w:val="single" w:color="000000" w:sz="4" w:space="0"/>
            </w:tcBorders>
            <w:vAlign w:val="center"/>
          </w:tcPr>
          <w:p w14:paraId="336DDB80">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类型：数显游标卡尺，不锈钢材质。</w:t>
            </w:r>
          </w:p>
          <w:p w14:paraId="0AD22FB6">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量程：0-150mm，精度0.01mm。</w:t>
            </w:r>
          </w:p>
          <w:p w14:paraId="71B1688F">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特点：用于测量动物体长、喙长等形态学指标</w:t>
            </w:r>
          </w:p>
        </w:tc>
        <w:tc>
          <w:tcPr>
            <w:tcW w:w="808" w:type="dxa"/>
            <w:tcBorders>
              <w:top w:val="single" w:color="000000" w:sz="4" w:space="0"/>
              <w:left w:val="single" w:color="000000" w:sz="4" w:space="0"/>
              <w:bottom w:val="single" w:color="000000" w:sz="4" w:space="0"/>
              <w:right w:val="single" w:color="000000" w:sz="4" w:space="0"/>
            </w:tcBorders>
            <w:vAlign w:val="center"/>
          </w:tcPr>
          <w:p w14:paraId="336201ED">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个</w:t>
            </w:r>
          </w:p>
        </w:tc>
        <w:tc>
          <w:tcPr>
            <w:tcW w:w="706" w:type="dxa"/>
            <w:tcBorders>
              <w:top w:val="single" w:color="000000" w:sz="4" w:space="0"/>
              <w:left w:val="single" w:color="000000" w:sz="4" w:space="0"/>
              <w:bottom w:val="single" w:color="000000" w:sz="4" w:space="0"/>
              <w:right w:val="single" w:color="000000" w:sz="4" w:space="0"/>
            </w:tcBorders>
            <w:noWrap/>
            <w:vAlign w:val="center"/>
          </w:tcPr>
          <w:p w14:paraId="1EF8EE4B">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lang w:val="en-US" w:eastAsia="zh-CN"/>
              </w:rPr>
            </w:pPr>
            <w:r>
              <w:rPr>
                <w:rFonts w:hint="eastAsia" w:ascii="宋体" w:hAnsi="宋体" w:eastAsia="宋体" w:cs="宋体"/>
                <w:lang w:val="en-US" w:eastAsia="zh-CN"/>
              </w:rPr>
              <w:t>2</w:t>
            </w:r>
          </w:p>
        </w:tc>
      </w:tr>
      <w:tr w14:paraId="6CF0AF20">
        <w:tblPrEx>
          <w:tblCellMar>
            <w:top w:w="0" w:type="dxa"/>
            <w:left w:w="108" w:type="dxa"/>
            <w:bottom w:w="0" w:type="dxa"/>
            <w:right w:w="108" w:type="dxa"/>
          </w:tblCellMar>
        </w:tblPrEx>
        <w:trPr>
          <w:trHeight w:val="735" w:hRule="atLeast"/>
          <w:jc w:val="center"/>
        </w:trPr>
        <w:tc>
          <w:tcPr>
            <w:tcW w:w="775" w:type="dxa"/>
            <w:tcBorders>
              <w:top w:val="single" w:color="000000" w:sz="4" w:space="0"/>
              <w:left w:val="single" w:color="000000" w:sz="4" w:space="0"/>
              <w:bottom w:val="single" w:color="000000" w:sz="4" w:space="0"/>
              <w:right w:val="single" w:color="000000" w:sz="4" w:space="0"/>
            </w:tcBorders>
            <w:vAlign w:val="center"/>
          </w:tcPr>
          <w:p w14:paraId="37C4D66F">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rPr>
            </w:pPr>
          </w:p>
        </w:tc>
        <w:tc>
          <w:tcPr>
            <w:tcW w:w="1872" w:type="dxa"/>
            <w:tcBorders>
              <w:top w:val="single" w:color="000000" w:sz="4" w:space="0"/>
              <w:left w:val="single" w:color="000000" w:sz="4" w:space="0"/>
              <w:bottom w:val="single" w:color="000000" w:sz="4" w:space="0"/>
              <w:right w:val="single" w:color="000000" w:sz="4" w:space="0"/>
            </w:tcBorders>
            <w:vAlign w:val="center"/>
          </w:tcPr>
          <w:p w14:paraId="4F27E9AF">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解剖刀</w:t>
            </w:r>
          </w:p>
        </w:tc>
        <w:tc>
          <w:tcPr>
            <w:tcW w:w="6637" w:type="dxa"/>
            <w:tcBorders>
              <w:top w:val="single" w:color="000000" w:sz="4" w:space="0"/>
              <w:left w:val="single" w:color="000000" w:sz="4" w:space="0"/>
              <w:bottom w:val="single" w:color="000000" w:sz="4" w:space="0"/>
              <w:right w:val="single" w:color="000000" w:sz="4" w:space="0"/>
            </w:tcBorders>
            <w:vAlign w:val="center"/>
          </w:tcPr>
          <w:p w14:paraId="6713EC81">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类型：野外疫源动物应急解剖刀，不锈钢材质，耐腐蚀。</w:t>
            </w:r>
          </w:p>
          <w:p w14:paraId="58429BE7">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规格：刀柄长度公差±0.2cm，刀片刀刃平整度≤0.05mm，确保操作精度。</w:t>
            </w:r>
          </w:p>
          <w:p w14:paraId="09C8C1CF">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特点： IPX7防水，耐低温（-20℃），可快速拆卸消毒</w:t>
            </w:r>
          </w:p>
        </w:tc>
        <w:tc>
          <w:tcPr>
            <w:tcW w:w="808" w:type="dxa"/>
            <w:tcBorders>
              <w:top w:val="single" w:color="000000" w:sz="4" w:space="0"/>
              <w:left w:val="single" w:color="000000" w:sz="4" w:space="0"/>
              <w:bottom w:val="single" w:color="000000" w:sz="4" w:space="0"/>
              <w:right w:val="single" w:color="000000" w:sz="4" w:space="0"/>
            </w:tcBorders>
            <w:vAlign w:val="center"/>
          </w:tcPr>
          <w:p w14:paraId="2EC99A62">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把</w:t>
            </w:r>
          </w:p>
        </w:tc>
        <w:tc>
          <w:tcPr>
            <w:tcW w:w="706" w:type="dxa"/>
            <w:tcBorders>
              <w:top w:val="single" w:color="000000" w:sz="4" w:space="0"/>
              <w:left w:val="single" w:color="000000" w:sz="4" w:space="0"/>
              <w:bottom w:val="single" w:color="000000" w:sz="4" w:space="0"/>
              <w:right w:val="single" w:color="000000" w:sz="4" w:space="0"/>
            </w:tcBorders>
            <w:noWrap/>
            <w:vAlign w:val="center"/>
          </w:tcPr>
          <w:p w14:paraId="1EC1CB77">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lang w:val="en-US" w:eastAsia="zh-CN"/>
              </w:rPr>
            </w:pPr>
            <w:r>
              <w:rPr>
                <w:rFonts w:hint="eastAsia" w:ascii="宋体" w:hAnsi="宋体" w:eastAsia="宋体" w:cs="宋体"/>
                <w:lang w:val="en-US" w:eastAsia="zh-CN"/>
              </w:rPr>
              <w:t>20</w:t>
            </w:r>
          </w:p>
        </w:tc>
      </w:tr>
      <w:tr w14:paraId="1E2FD53C">
        <w:tblPrEx>
          <w:tblCellMar>
            <w:top w:w="0" w:type="dxa"/>
            <w:left w:w="108" w:type="dxa"/>
            <w:bottom w:w="0" w:type="dxa"/>
            <w:right w:w="108" w:type="dxa"/>
          </w:tblCellMar>
        </w:tblPrEx>
        <w:trPr>
          <w:trHeight w:val="735" w:hRule="atLeast"/>
          <w:jc w:val="center"/>
        </w:trPr>
        <w:tc>
          <w:tcPr>
            <w:tcW w:w="775" w:type="dxa"/>
            <w:tcBorders>
              <w:top w:val="single" w:color="000000" w:sz="4" w:space="0"/>
              <w:left w:val="single" w:color="000000" w:sz="4" w:space="0"/>
              <w:bottom w:val="single" w:color="000000" w:sz="4" w:space="0"/>
              <w:right w:val="single" w:color="000000" w:sz="4" w:space="0"/>
            </w:tcBorders>
            <w:vAlign w:val="center"/>
          </w:tcPr>
          <w:p w14:paraId="509BBC56">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rPr>
            </w:pPr>
          </w:p>
        </w:tc>
        <w:tc>
          <w:tcPr>
            <w:tcW w:w="1872" w:type="dxa"/>
            <w:tcBorders>
              <w:top w:val="single" w:color="000000" w:sz="4" w:space="0"/>
              <w:left w:val="single" w:color="000000" w:sz="4" w:space="0"/>
              <w:bottom w:val="single" w:color="000000" w:sz="4" w:space="0"/>
              <w:right w:val="single" w:color="000000" w:sz="4" w:space="0"/>
            </w:tcBorders>
            <w:vAlign w:val="center"/>
          </w:tcPr>
          <w:p w14:paraId="10AA6610">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照相机</w:t>
            </w:r>
          </w:p>
        </w:tc>
        <w:tc>
          <w:tcPr>
            <w:tcW w:w="6637" w:type="dxa"/>
            <w:tcBorders>
              <w:top w:val="single" w:color="000000" w:sz="4" w:space="0"/>
              <w:left w:val="single" w:color="000000" w:sz="4" w:space="0"/>
              <w:bottom w:val="single" w:color="000000" w:sz="4" w:space="0"/>
              <w:right w:val="single" w:color="000000" w:sz="4" w:space="0"/>
            </w:tcBorders>
            <w:vAlign w:val="center"/>
          </w:tcPr>
          <w:p w14:paraId="49D5921F">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类型：数码相机/单反相机。</w:t>
            </w:r>
          </w:p>
          <w:p w14:paraId="6F5AB024">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像素：2000万像素以上。</w:t>
            </w:r>
          </w:p>
          <w:p w14:paraId="7BC4E1FF">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功能：具备微距拍摄功能，可拍摄清晰的样本照片，适合野生动物近距离拍摄。</w:t>
            </w:r>
          </w:p>
        </w:tc>
        <w:tc>
          <w:tcPr>
            <w:tcW w:w="808" w:type="dxa"/>
            <w:tcBorders>
              <w:top w:val="single" w:color="000000" w:sz="4" w:space="0"/>
              <w:left w:val="single" w:color="000000" w:sz="4" w:space="0"/>
              <w:bottom w:val="single" w:color="000000" w:sz="4" w:space="0"/>
              <w:right w:val="single" w:color="000000" w:sz="4" w:space="0"/>
            </w:tcBorders>
            <w:vAlign w:val="center"/>
          </w:tcPr>
          <w:p w14:paraId="755C4857">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台</w:t>
            </w:r>
          </w:p>
        </w:tc>
        <w:tc>
          <w:tcPr>
            <w:tcW w:w="706" w:type="dxa"/>
            <w:tcBorders>
              <w:top w:val="single" w:color="000000" w:sz="4" w:space="0"/>
              <w:left w:val="single" w:color="000000" w:sz="4" w:space="0"/>
              <w:bottom w:val="single" w:color="000000" w:sz="4" w:space="0"/>
              <w:right w:val="single" w:color="000000" w:sz="4" w:space="0"/>
            </w:tcBorders>
            <w:noWrap/>
            <w:vAlign w:val="center"/>
          </w:tcPr>
          <w:p w14:paraId="7F64FF08">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lang w:val="en-US" w:eastAsia="zh-CN"/>
              </w:rPr>
            </w:pPr>
            <w:r>
              <w:rPr>
                <w:rFonts w:hint="eastAsia" w:ascii="宋体" w:hAnsi="宋体" w:eastAsia="宋体" w:cs="宋体"/>
                <w:lang w:val="en-US" w:eastAsia="zh-CN"/>
              </w:rPr>
              <w:t>1</w:t>
            </w:r>
          </w:p>
        </w:tc>
      </w:tr>
      <w:tr w14:paraId="35B45E4D">
        <w:tblPrEx>
          <w:tblCellMar>
            <w:top w:w="0" w:type="dxa"/>
            <w:left w:w="108" w:type="dxa"/>
            <w:bottom w:w="0" w:type="dxa"/>
            <w:right w:w="108" w:type="dxa"/>
          </w:tblCellMar>
        </w:tblPrEx>
        <w:trPr>
          <w:trHeight w:val="188" w:hRule="atLeast"/>
          <w:jc w:val="center"/>
        </w:trPr>
        <w:tc>
          <w:tcPr>
            <w:tcW w:w="775" w:type="dxa"/>
            <w:tcBorders>
              <w:top w:val="single" w:color="000000" w:sz="4" w:space="0"/>
              <w:left w:val="single" w:color="000000" w:sz="4" w:space="0"/>
              <w:bottom w:val="single" w:color="000000" w:sz="4" w:space="0"/>
              <w:right w:val="single" w:color="000000" w:sz="4" w:space="0"/>
            </w:tcBorders>
            <w:vAlign w:val="center"/>
          </w:tcPr>
          <w:p w14:paraId="6AACC275">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rPr>
            </w:pPr>
            <w:r>
              <w:rPr>
                <w:rFonts w:hint="eastAsia" w:ascii="宋体" w:hAnsi="宋体" w:eastAsia="宋体" w:cs="宋体"/>
                <w:color w:val="000000"/>
              </w:rPr>
              <w:t>1.3</w:t>
            </w:r>
          </w:p>
        </w:tc>
        <w:tc>
          <w:tcPr>
            <w:tcW w:w="1872" w:type="dxa"/>
            <w:tcBorders>
              <w:top w:val="single" w:color="000000" w:sz="4" w:space="0"/>
              <w:left w:val="single" w:color="000000" w:sz="4" w:space="0"/>
              <w:bottom w:val="single" w:color="000000" w:sz="4" w:space="0"/>
              <w:right w:val="single" w:color="000000" w:sz="4" w:space="0"/>
            </w:tcBorders>
            <w:vAlign w:val="center"/>
          </w:tcPr>
          <w:p w14:paraId="00ACF17A">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rPr>
            </w:pPr>
            <w:r>
              <w:rPr>
                <w:rFonts w:hint="eastAsia" w:ascii="宋体" w:hAnsi="宋体" w:eastAsia="宋体" w:cs="宋体"/>
                <w:color w:val="000000"/>
                <w:lang w:eastAsia="zh-CN"/>
              </w:rPr>
              <w:t>保存</w:t>
            </w:r>
            <w:r>
              <w:rPr>
                <w:rFonts w:hint="eastAsia" w:ascii="宋体" w:hAnsi="宋体" w:eastAsia="宋体" w:cs="宋体"/>
                <w:color w:val="000000"/>
              </w:rPr>
              <w:t>设备</w:t>
            </w:r>
          </w:p>
        </w:tc>
        <w:tc>
          <w:tcPr>
            <w:tcW w:w="6637" w:type="dxa"/>
            <w:tcBorders>
              <w:top w:val="single" w:color="000000" w:sz="4" w:space="0"/>
              <w:left w:val="single" w:color="000000" w:sz="4" w:space="0"/>
              <w:bottom w:val="single" w:color="000000" w:sz="4" w:space="0"/>
              <w:right w:val="single" w:color="000000" w:sz="4" w:space="0"/>
            </w:tcBorders>
            <w:vAlign w:val="center"/>
          </w:tcPr>
          <w:p w14:paraId="6CCF0655">
            <w:pPr>
              <w:keepNext w:val="0"/>
              <w:keepLines w:val="0"/>
              <w:pageBreakBefore w:val="0"/>
              <w:kinsoku/>
              <w:wordWrap/>
              <w:overflowPunct w:val="0"/>
              <w:topLinePunct w:val="0"/>
              <w:autoSpaceDE/>
              <w:autoSpaceDN/>
              <w:bidi w:val="0"/>
              <w:adjustRightInd/>
              <w:snapToGrid w:val="0"/>
              <w:spacing w:line="240" w:lineRule="auto"/>
              <w:textAlignment w:val="center"/>
              <w:rPr>
                <w:rFonts w:hint="eastAsia" w:ascii="宋体" w:hAnsi="宋体" w:eastAsia="宋体" w:cs="宋体"/>
                <w:color w:val="000000"/>
                <w:lang w:eastAsia="zh-CN"/>
              </w:rPr>
            </w:pPr>
          </w:p>
        </w:tc>
        <w:tc>
          <w:tcPr>
            <w:tcW w:w="808" w:type="dxa"/>
            <w:tcBorders>
              <w:top w:val="single" w:color="000000" w:sz="4" w:space="0"/>
              <w:left w:val="single" w:color="000000" w:sz="4" w:space="0"/>
              <w:bottom w:val="single" w:color="000000" w:sz="4" w:space="0"/>
              <w:right w:val="single" w:color="000000" w:sz="4" w:space="0"/>
            </w:tcBorders>
            <w:vAlign w:val="center"/>
          </w:tcPr>
          <w:p w14:paraId="0B6C068F">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rPr>
            </w:pPr>
          </w:p>
        </w:tc>
        <w:tc>
          <w:tcPr>
            <w:tcW w:w="706" w:type="dxa"/>
            <w:tcBorders>
              <w:top w:val="single" w:color="000000" w:sz="4" w:space="0"/>
              <w:left w:val="single" w:color="000000" w:sz="4" w:space="0"/>
              <w:bottom w:val="single" w:color="000000" w:sz="4" w:space="0"/>
              <w:right w:val="single" w:color="000000" w:sz="4" w:space="0"/>
            </w:tcBorders>
            <w:noWrap/>
            <w:vAlign w:val="center"/>
          </w:tcPr>
          <w:p w14:paraId="13732B24">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rPr>
            </w:pPr>
          </w:p>
        </w:tc>
      </w:tr>
      <w:tr w14:paraId="26FED1AF">
        <w:tblPrEx>
          <w:tblCellMar>
            <w:top w:w="0" w:type="dxa"/>
            <w:left w:w="108" w:type="dxa"/>
            <w:bottom w:w="0" w:type="dxa"/>
            <w:right w:w="108" w:type="dxa"/>
          </w:tblCellMar>
        </w:tblPrEx>
        <w:trPr>
          <w:trHeight w:val="917" w:hRule="atLeast"/>
          <w:jc w:val="center"/>
        </w:trPr>
        <w:tc>
          <w:tcPr>
            <w:tcW w:w="775" w:type="dxa"/>
            <w:tcBorders>
              <w:top w:val="single" w:color="000000" w:sz="4" w:space="0"/>
              <w:left w:val="single" w:color="000000" w:sz="4" w:space="0"/>
              <w:bottom w:val="single" w:color="000000" w:sz="4" w:space="0"/>
              <w:right w:val="single" w:color="000000" w:sz="4" w:space="0"/>
            </w:tcBorders>
            <w:vAlign w:val="center"/>
          </w:tcPr>
          <w:p w14:paraId="63927535">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rPr>
            </w:pPr>
          </w:p>
        </w:tc>
        <w:tc>
          <w:tcPr>
            <w:tcW w:w="1872" w:type="dxa"/>
            <w:tcBorders>
              <w:top w:val="single" w:color="000000" w:sz="4" w:space="0"/>
              <w:left w:val="single" w:color="000000" w:sz="4" w:space="0"/>
              <w:bottom w:val="single" w:color="000000" w:sz="4" w:space="0"/>
              <w:right w:val="single" w:color="000000" w:sz="4" w:space="0"/>
            </w:tcBorders>
            <w:vAlign w:val="center"/>
          </w:tcPr>
          <w:p w14:paraId="04A75430">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rPr>
            </w:pPr>
            <w:r>
              <w:rPr>
                <w:rFonts w:hint="eastAsia" w:ascii="宋体" w:hAnsi="宋体" w:eastAsia="宋体" w:cs="宋体"/>
                <w:color w:val="000000"/>
              </w:rPr>
              <w:t>生物安全运输箱</w:t>
            </w:r>
          </w:p>
        </w:tc>
        <w:tc>
          <w:tcPr>
            <w:tcW w:w="6637" w:type="dxa"/>
            <w:tcBorders>
              <w:top w:val="single" w:color="000000" w:sz="4" w:space="0"/>
              <w:left w:val="single" w:color="000000" w:sz="4" w:space="0"/>
              <w:bottom w:val="single" w:color="000000" w:sz="4" w:space="0"/>
              <w:right w:val="single" w:color="000000" w:sz="4" w:space="0"/>
            </w:tcBorders>
            <w:vAlign w:val="center"/>
          </w:tcPr>
          <w:p w14:paraId="6D7FC09E">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材质：高密度聚乙烯（HDPE）</w:t>
            </w:r>
          </w:p>
          <w:p w14:paraId="53BC2749">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特点：具有良好的密封性、耐压性和耐腐蚀性，符合</w:t>
            </w:r>
            <w:r>
              <w:rPr>
                <w:rFonts w:hint="eastAsia" w:ascii="宋体" w:hAnsi="宋体" w:eastAsia="宋体" w:cs="宋体"/>
                <w:color w:val="000000"/>
                <w:lang w:eastAsia="zh-CN"/>
              </w:rPr>
              <w:t>UN3373标准，可用于安全运输感染性物质。</w:t>
            </w:r>
          </w:p>
          <w:p w14:paraId="350CFE5B">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用途：用于安全运输野生动物尸体或样品，防止疫病传播。</w:t>
            </w:r>
          </w:p>
          <w:p w14:paraId="0FFE249E">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容量：40</w:t>
            </w:r>
            <w:r>
              <w:rPr>
                <w:rFonts w:hint="eastAsia" w:ascii="宋体" w:hAnsi="宋体" w:eastAsia="宋体" w:cs="宋体"/>
                <w:color w:val="000000"/>
                <w:lang w:val="en-US" w:eastAsia="zh-CN"/>
              </w:rPr>
              <w:t>-80</w:t>
            </w:r>
            <w:r>
              <w:rPr>
                <w:rFonts w:hint="eastAsia" w:ascii="宋体" w:hAnsi="宋体" w:eastAsia="宋体" w:cs="宋体"/>
                <w:color w:val="000000"/>
                <w:lang w:eastAsia="zh-CN"/>
              </w:rPr>
              <w:t>升</w:t>
            </w:r>
          </w:p>
        </w:tc>
        <w:tc>
          <w:tcPr>
            <w:tcW w:w="808" w:type="dxa"/>
            <w:tcBorders>
              <w:top w:val="single" w:color="000000" w:sz="4" w:space="0"/>
              <w:left w:val="single" w:color="000000" w:sz="4" w:space="0"/>
              <w:bottom w:val="single" w:color="000000" w:sz="4" w:space="0"/>
              <w:right w:val="single" w:color="000000" w:sz="4" w:space="0"/>
            </w:tcBorders>
            <w:vAlign w:val="center"/>
          </w:tcPr>
          <w:p w14:paraId="2255786D">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rPr>
            </w:pPr>
            <w:r>
              <w:rPr>
                <w:rFonts w:hint="eastAsia" w:ascii="宋体" w:hAnsi="宋体" w:eastAsia="宋体" w:cs="宋体"/>
                <w:color w:val="000000"/>
              </w:rPr>
              <w:t>个</w:t>
            </w:r>
          </w:p>
        </w:tc>
        <w:tc>
          <w:tcPr>
            <w:tcW w:w="706" w:type="dxa"/>
            <w:tcBorders>
              <w:top w:val="single" w:color="000000" w:sz="4" w:space="0"/>
              <w:left w:val="single" w:color="000000" w:sz="4" w:space="0"/>
              <w:bottom w:val="single" w:color="000000" w:sz="4" w:space="0"/>
              <w:right w:val="single" w:color="000000" w:sz="4" w:space="0"/>
            </w:tcBorders>
            <w:noWrap/>
            <w:vAlign w:val="center"/>
          </w:tcPr>
          <w:p w14:paraId="43F9AFE9">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lang w:val="en-US" w:eastAsia="zh-CN"/>
              </w:rPr>
            </w:pPr>
            <w:r>
              <w:rPr>
                <w:rFonts w:hint="eastAsia" w:ascii="宋体" w:hAnsi="宋体" w:eastAsia="宋体" w:cs="宋体"/>
                <w:color w:val="000000"/>
                <w:lang w:val="en-US" w:eastAsia="zh-CN"/>
              </w:rPr>
              <w:t>2</w:t>
            </w:r>
          </w:p>
        </w:tc>
      </w:tr>
      <w:tr w14:paraId="22B9A718">
        <w:tblPrEx>
          <w:tblCellMar>
            <w:top w:w="0" w:type="dxa"/>
            <w:left w:w="108" w:type="dxa"/>
            <w:bottom w:w="0" w:type="dxa"/>
            <w:right w:w="108" w:type="dxa"/>
          </w:tblCellMar>
        </w:tblPrEx>
        <w:trPr>
          <w:trHeight w:val="917" w:hRule="atLeast"/>
          <w:jc w:val="center"/>
        </w:trPr>
        <w:tc>
          <w:tcPr>
            <w:tcW w:w="775" w:type="dxa"/>
            <w:tcBorders>
              <w:top w:val="single" w:color="000000" w:sz="4" w:space="0"/>
              <w:left w:val="single" w:color="000000" w:sz="4" w:space="0"/>
              <w:bottom w:val="single" w:color="000000" w:sz="4" w:space="0"/>
              <w:right w:val="single" w:color="000000" w:sz="4" w:space="0"/>
            </w:tcBorders>
            <w:vAlign w:val="center"/>
          </w:tcPr>
          <w:p w14:paraId="4D205FCA">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rPr>
            </w:pPr>
          </w:p>
        </w:tc>
        <w:tc>
          <w:tcPr>
            <w:tcW w:w="1872" w:type="dxa"/>
            <w:tcBorders>
              <w:top w:val="single" w:color="000000" w:sz="4" w:space="0"/>
              <w:left w:val="single" w:color="000000" w:sz="4" w:space="0"/>
              <w:bottom w:val="single" w:color="000000" w:sz="4" w:space="0"/>
              <w:right w:val="single" w:color="000000" w:sz="4" w:space="0"/>
            </w:tcBorders>
            <w:vAlign w:val="center"/>
          </w:tcPr>
          <w:p w14:paraId="6E07B04E">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rPr>
            </w:pPr>
            <w:r>
              <w:rPr>
                <w:rFonts w:hint="eastAsia" w:ascii="宋体" w:hAnsi="宋体" w:eastAsia="宋体" w:cs="宋体"/>
                <w:color w:val="000000"/>
              </w:rPr>
              <w:t>冰柜</w:t>
            </w:r>
          </w:p>
        </w:tc>
        <w:tc>
          <w:tcPr>
            <w:tcW w:w="6637" w:type="dxa"/>
            <w:tcBorders>
              <w:top w:val="single" w:color="000000" w:sz="4" w:space="0"/>
              <w:left w:val="single" w:color="000000" w:sz="4" w:space="0"/>
              <w:bottom w:val="single" w:color="000000" w:sz="4" w:space="0"/>
              <w:right w:val="single" w:color="000000" w:sz="4" w:space="0"/>
            </w:tcBorders>
            <w:vAlign w:val="center"/>
          </w:tcPr>
          <w:p w14:paraId="057C4EF1">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类型：超低温冰柜。</w:t>
            </w:r>
          </w:p>
          <w:p w14:paraId="77B0E58E">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温度范围：-40°C 至 -86°C可调。</w:t>
            </w:r>
          </w:p>
          <w:p w14:paraId="17F1BD1D">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容量：根据需要选择，小型实验室可能选择100-300升，大型实验室则需要更大容量。</w:t>
            </w:r>
          </w:p>
          <w:p w14:paraId="23285817">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特点：稳定可靠的低温环境，用于长期保存样本。</w:t>
            </w:r>
          </w:p>
        </w:tc>
        <w:tc>
          <w:tcPr>
            <w:tcW w:w="808" w:type="dxa"/>
            <w:tcBorders>
              <w:top w:val="single" w:color="000000" w:sz="4" w:space="0"/>
              <w:left w:val="single" w:color="000000" w:sz="4" w:space="0"/>
              <w:bottom w:val="single" w:color="000000" w:sz="4" w:space="0"/>
              <w:right w:val="single" w:color="000000" w:sz="4" w:space="0"/>
            </w:tcBorders>
            <w:vAlign w:val="center"/>
          </w:tcPr>
          <w:p w14:paraId="38039E11">
            <w:pPr>
              <w:keepNext w:val="0"/>
              <w:keepLines w:val="0"/>
              <w:pageBreakBefore w:val="0"/>
              <w:kinsoku/>
              <w:wordWrap/>
              <w:overflowPunct w:val="0"/>
              <w:topLinePunct w:val="0"/>
              <w:autoSpaceDE/>
              <w:autoSpaceDN/>
              <w:bidi w:val="0"/>
              <w:adjustRightInd/>
              <w:snapToGrid w:val="0"/>
              <w:spacing w:line="240" w:lineRule="auto"/>
              <w:jc w:val="center"/>
              <w:rPr>
                <w:rFonts w:hint="eastAsia" w:ascii="宋体" w:hAnsi="宋体" w:eastAsia="宋体" w:cs="宋体"/>
                <w:color w:val="000000"/>
              </w:rPr>
            </w:pPr>
            <w:r>
              <w:rPr>
                <w:rFonts w:hint="eastAsia" w:ascii="宋体" w:hAnsi="宋体" w:eastAsia="宋体" w:cs="宋体"/>
                <w:color w:val="000000"/>
              </w:rPr>
              <w:t>个</w:t>
            </w:r>
          </w:p>
        </w:tc>
        <w:tc>
          <w:tcPr>
            <w:tcW w:w="706" w:type="dxa"/>
            <w:tcBorders>
              <w:top w:val="single" w:color="000000" w:sz="4" w:space="0"/>
              <w:left w:val="single" w:color="000000" w:sz="4" w:space="0"/>
              <w:bottom w:val="single" w:color="000000" w:sz="4" w:space="0"/>
              <w:right w:val="single" w:color="000000" w:sz="4" w:space="0"/>
            </w:tcBorders>
            <w:noWrap/>
            <w:vAlign w:val="center"/>
          </w:tcPr>
          <w:p w14:paraId="7DD3C438">
            <w:pPr>
              <w:keepNext w:val="0"/>
              <w:keepLines w:val="0"/>
              <w:pageBreakBefore w:val="0"/>
              <w:kinsoku/>
              <w:wordWrap/>
              <w:overflowPunct w:val="0"/>
              <w:topLinePunct w:val="0"/>
              <w:autoSpaceDE/>
              <w:autoSpaceDN/>
              <w:bidi w:val="0"/>
              <w:adjustRightInd/>
              <w:snapToGrid w:val="0"/>
              <w:spacing w:line="240" w:lineRule="auto"/>
              <w:jc w:val="center"/>
              <w:rPr>
                <w:rFonts w:hint="eastAsia" w:ascii="宋体" w:hAnsi="宋体" w:eastAsia="宋体" w:cs="宋体"/>
                <w:color w:val="000000"/>
                <w:lang w:val="en-US" w:eastAsia="zh-CN"/>
              </w:rPr>
            </w:pPr>
            <w:r>
              <w:rPr>
                <w:rFonts w:hint="eastAsia" w:ascii="宋体" w:hAnsi="宋体" w:eastAsia="宋体" w:cs="宋体"/>
                <w:color w:val="000000"/>
                <w:lang w:val="en-US" w:eastAsia="zh-CN"/>
              </w:rPr>
              <w:t>2</w:t>
            </w:r>
          </w:p>
        </w:tc>
      </w:tr>
      <w:tr w14:paraId="4C9FFAB7">
        <w:tblPrEx>
          <w:tblCellMar>
            <w:top w:w="0" w:type="dxa"/>
            <w:left w:w="108" w:type="dxa"/>
            <w:bottom w:w="0" w:type="dxa"/>
            <w:right w:w="108" w:type="dxa"/>
          </w:tblCellMar>
        </w:tblPrEx>
        <w:trPr>
          <w:trHeight w:val="188" w:hRule="atLeast"/>
          <w:jc w:val="center"/>
        </w:trPr>
        <w:tc>
          <w:tcPr>
            <w:tcW w:w="775" w:type="dxa"/>
            <w:tcBorders>
              <w:top w:val="single" w:color="000000" w:sz="4" w:space="0"/>
              <w:left w:val="single" w:color="000000" w:sz="4" w:space="0"/>
              <w:bottom w:val="single" w:color="000000" w:sz="4" w:space="0"/>
              <w:right w:val="single" w:color="000000" w:sz="4" w:space="0"/>
            </w:tcBorders>
            <w:vAlign w:val="center"/>
          </w:tcPr>
          <w:p w14:paraId="0616676A">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lang w:val="en-US" w:eastAsia="zh-CN"/>
              </w:rPr>
            </w:pPr>
            <w:r>
              <w:rPr>
                <w:rFonts w:hint="eastAsia" w:ascii="宋体" w:hAnsi="宋体" w:eastAsia="宋体" w:cs="宋体"/>
                <w:color w:val="000000"/>
                <w:lang w:val="en-US" w:eastAsia="zh-CN"/>
              </w:rPr>
              <w:t>1.4</w:t>
            </w:r>
          </w:p>
        </w:tc>
        <w:tc>
          <w:tcPr>
            <w:tcW w:w="1872" w:type="dxa"/>
            <w:tcBorders>
              <w:top w:val="single" w:color="000000" w:sz="4" w:space="0"/>
              <w:left w:val="single" w:color="000000" w:sz="4" w:space="0"/>
              <w:bottom w:val="single" w:color="000000" w:sz="4" w:space="0"/>
              <w:right w:val="single" w:color="000000" w:sz="4" w:space="0"/>
            </w:tcBorders>
            <w:vAlign w:val="center"/>
          </w:tcPr>
          <w:p w14:paraId="4977A3C4">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检测设备</w:t>
            </w:r>
          </w:p>
        </w:tc>
        <w:tc>
          <w:tcPr>
            <w:tcW w:w="6637" w:type="dxa"/>
            <w:tcBorders>
              <w:top w:val="single" w:color="000000" w:sz="4" w:space="0"/>
              <w:left w:val="single" w:color="000000" w:sz="4" w:space="0"/>
              <w:bottom w:val="single" w:color="000000" w:sz="4" w:space="0"/>
              <w:right w:val="single" w:color="000000" w:sz="4" w:space="0"/>
            </w:tcBorders>
            <w:vAlign w:val="center"/>
          </w:tcPr>
          <w:p w14:paraId="45746FB3">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p>
        </w:tc>
        <w:tc>
          <w:tcPr>
            <w:tcW w:w="808" w:type="dxa"/>
            <w:tcBorders>
              <w:top w:val="single" w:color="000000" w:sz="4" w:space="0"/>
              <w:left w:val="single" w:color="000000" w:sz="4" w:space="0"/>
              <w:bottom w:val="single" w:color="000000" w:sz="4" w:space="0"/>
              <w:right w:val="single" w:color="000000" w:sz="4" w:space="0"/>
            </w:tcBorders>
            <w:vAlign w:val="center"/>
          </w:tcPr>
          <w:p w14:paraId="0651D995">
            <w:pPr>
              <w:keepNext w:val="0"/>
              <w:keepLines w:val="0"/>
              <w:pageBreakBefore w:val="0"/>
              <w:kinsoku/>
              <w:wordWrap/>
              <w:overflowPunct w:val="0"/>
              <w:topLinePunct w:val="0"/>
              <w:autoSpaceDE/>
              <w:autoSpaceDN/>
              <w:bidi w:val="0"/>
              <w:adjustRightInd/>
              <w:snapToGrid w:val="0"/>
              <w:spacing w:line="240" w:lineRule="auto"/>
              <w:jc w:val="center"/>
              <w:rPr>
                <w:rFonts w:hint="eastAsia" w:ascii="宋体" w:hAnsi="宋体" w:eastAsia="宋体" w:cs="宋体"/>
                <w:color w:val="000000"/>
              </w:rPr>
            </w:pPr>
          </w:p>
        </w:tc>
        <w:tc>
          <w:tcPr>
            <w:tcW w:w="706" w:type="dxa"/>
            <w:tcBorders>
              <w:top w:val="single" w:color="000000" w:sz="4" w:space="0"/>
              <w:left w:val="single" w:color="000000" w:sz="4" w:space="0"/>
              <w:bottom w:val="single" w:color="000000" w:sz="4" w:space="0"/>
              <w:right w:val="single" w:color="000000" w:sz="4" w:space="0"/>
            </w:tcBorders>
            <w:noWrap/>
            <w:vAlign w:val="center"/>
          </w:tcPr>
          <w:p w14:paraId="1A208EE5">
            <w:pPr>
              <w:keepNext w:val="0"/>
              <w:keepLines w:val="0"/>
              <w:pageBreakBefore w:val="0"/>
              <w:kinsoku/>
              <w:wordWrap/>
              <w:overflowPunct w:val="0"/>
              <w:topLinePunct w:val="0"/>
              <w:autoSpaceDE/>
              <w:autoSpaceDN/>
              <w:bidi w:val="0"/>
              <w:adjustRightInd/>
              <w:snapToGrid w:val="0"/>
              <w:spacing w:line="240" w:lineRule="auto"/>
              <w:jc w:val="center"/>
              <w:rPr>
                <w:rFonts w:hint="eastAsia" w:ascii="宋体" w:hAnsi="宋体" w:eastAsia="宋体" w:cs="宋体"/>
                <w:color w:val="000000"/>
                <w:lang w:val="en-US" w:eastAsia="zh-CN"/>
              </w:rPr>
            </w:pPr>
          </w:p>
        </w:tc>
      </w:tr>
      <w:tr w14:paraId="7CFFA7CD">
        <w:tblPrEx>
          <w:tblCellMar>
            <w:top w:w="0" w:type="dxa"/>
            <w:left w:w="108" w:type="dxa"/>
            <w:bottom w:w="0" w:type="dxa"/>
            <w:right w:w="108" w:type="dxa"/>
          </w:tblCellMar>
        </w:tblPrEx>
        <w:trPr>
          <w:trHeight w:val="917" w:hRule="atLeast"/>
          <w:jc w:val="center"/>
        </w:trPr>
        <w:tc>
          <w:tcPr>
            <w:tcW w:w="775" w:type="dxa"/>
            <w:tcBorders>
              <w:top w:val="single" w:color="000000" w:sz="4" w:space="0"/>
              <w:left w:val="single" w:color="000000" w:sz="4" w:space="0"/>
              <w:bottom w:val="single" w:color="000000" w:sz="4" w:space="0"/>
              <w:right w:val="single" w:color="000000" w:sz="4" w:space="0"/>
            </w:tcBorders>
            <w:vAlign w:val="center"/>
          </w:tcPr>
          <w:p w14:paraId="40105946">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rPr>
            </w:pPr>
          </w:p>
        </w:tc>
        <w:tc>
          <w:tcPr>
            <w:tcW w:w="1872" w:type="dxa"/>
            <w:tcBorders>
              <w:top w:val="single" w:color="000000" w:sz="4" w:space="0"/>
              <w:left w:val="single" w:color="000000" w:sz="4" w:space="0"/>
              <w:bottom w:val="single" w:color="000000" w:sz="4" w:space="0"/>
              <w:right w:val="single" w:color="000000" w:sz="4" w:space="0"/>
            </w:tcBorders>
            <w:vAlign w:val="center"/>
          </w:tcPr>
          <w:p w14:paraId="6892FDAE">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rPr>
            </w:pPr>
            <w:r>
              <w:rPr>
                <w:rFonts w:hint="eastAsia" w:ascii="宋体" w:hAnsi="宋体" w:eastAsia="宋体" w:cs="宋体"/>
                <w:color w:val="000000"/>
              </w:rPr>
              <w:t>专业检测试剂盒</w:t>
            </w:r>
          </w:p>
        </w:tc>
        <w:tc>
          <w:tcPr>
            <w:tcW w:w="6637" w:type="dxa"/>
            <w:tcBorders>
              <w:top w:val="single" w:color="000000" w:sz="4" w:space="0"/>
              <w:left w:val="single" w:color="000000" w:sz="4" w:space="0"/>
              <w:bottom w:val="single" w:color="000000" w:sz="4" w:space="0"/>
              <w:right w:val="single" w:color="000000" w:sz="4" w:space="0"/>
            </w:tcBorders>
            <w:vAlign w:val="center"/>
          </w:tcPr>
          <w:p w14:paraId="2B840DBF">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类型：Real-time PCR 试剂盒</w:t>
            </w:r>
          </w:p>
          <w:p w14:paraId="5F9C0CE8">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目标：禽流感病毒（如H5N8）核酸</w:t>
            </w:r>
          </w:p>
          <w:p w14:paraId="1964C084">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特点：高灵敏度、高特异性，操作简便，结果快速。</w:t>
            </w:r>
          </w:p>
          <w:p w14:paraId="6485DE9A">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检测通量：96孔板</w:t>
            </w:r>
          </w:p>
          <w:p w14:paraId="7C2A2C4F">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eastAsia="zh-CN"/>
              </w:rPr>
            </w:pPr>
            <w:r>
              <w:rPr>
                <w:rFonts w:hint="eastAsia" w:ascii="宋体" w:hAnsi="宋体" w:eastAsia="宋体" w:cs="宋体"/>
                <w:color w:val="000000"/>
                <w:lang w:eastAsia="zh-CN"/>
              </w:rPr>
              <w:t>储存条件：-20℃保存</w:t>
            </w:r>
          </w:p>
        </w:tc>
        <w:tc>
          <w:tcPr>
            <w:tcW w:w="808" w:type="dxa"/>
            <w:tcBorders>
              <w:top w:val="single" w:color="000000" w:sz="4" w:space="0"/>
              <w:left w:val="single" w:color="000000" w:sz="4" w:space="0"/>
              <w:bottom w:val="single" w:color="000000" w:sz="4" w:space="0"/>
              <w:right w:val="single" w:color="000000" w:sz="4" w:space="0"/>
            </w:tcBorders>
            <w:vAlign w:val="center"/>
          </w:tcPr>
          <w:p w14:paraId="090950D2">
            <w:pPr>
              <w:keepNext w:val="0"/>
              <w:keepLines w:val="0"/>
              <w:pageBreakBefore w:val="0"/>
              <w:kinsoku/>
              <w:wordWrap/>
              <w:overflowPunct w:val="0"/>
              <w:topLinePunct w:val="0"/>
              <w:autoSpaceDE/>
              <w:autoSpaceDN/>
              <w:bidi w:val="0"/>
              <w:adjustRightInd/>
              <w:snapToGrid w:val="0"/>
              <w:spacing w:line="240" w:lineRule="auto"/>
              <w:jc w:val="center"/>
              <w:rPr>
                <w:rFonts w:hint="eastAsia" w:ascii="宋体" w:hAnsi="宋体" w:eastAsia="宋体" w:cs="宋体"/>
                <w:color w:val="000000"/>
                <w:lang w:eastAsia="zh-CN"/>
              </w:rPr>
            </w:pPr>
            <w:r>
              <w:rPr>
                <w:rFonts w:hint="eastAsia" w:ascii="宋体" w:hAnsi="宋体" w:eastAsia="宋体" w:cs="宋体"/>
                <w:color w:val="000000"/>
                <w:lang w:eastAsia="zh-CN"/>
              </w:rPr>
              <w:t>盒</w:t>
            </w:r>
          </w:p>
        </w:tc>
        <w:tc>
          <w:tcPr>
            <w:tcW w:w="706" w:type="dxa"/>
            <w:tcBorders>
              <w:top w:val="single" w:color="000000" w:sz="4" w:space="0"/>
              <w:left w:val="single" w:color="000000" w:sz="4" w:space="0"/>
              <w:bottom w:val="single" w:color="000000" w:sz="4" w:space="0"/>
              <w:right w:val="single" w:color="000000" w:sz="4" w:space="0"/>
            </w:tcBorders>
            <w:noWrap/>
            <w:vAlign w:val="center"/>
          </w:tcPr>
          <w:p w14:paraId="104D2B1C">
            <w:pPr>
              <w:keepNext w:val="0"/>
              <w:keepLines w:val="0"/>
              <w:pageBreakBefore w:val="0"/>
              <w:kinsoku/>
              <w:wordWrap/>
              <w:overflowPunct w:val="0"/>
              <w:topLinePunct w:val="0"/>
              <w:autoSpaceDE/>
              <w:autoSpaceDN/>
              <w:bidi w:val="0"/>
              <w:adjustRightInd/>
              <w:snapToGrid w:val="0"/>
              <w:spacing w:line="240" w:lineRule="auto"/>
              <w:jc w:val="center"/>
              <w:rPr>
                <w:rFonts w:hint="eastAsia" w:ascii="宋体" w:hAnsi="宋体" w:eastAsia="宋体" w:cs="宋体"/>
                <w:color w:val="000000"/>
                <w:lang w:val="en-US" w:eastAsia="zh-CN"/>
              </w:rPr>
            </w:pPr>
            <w:r>
              <w:rPr>
                <w:rFonts w:hint="eastAsia" w:ascii="宋体" w:hAnsi="宋体" w:eastAsia="宋体" w:cs="宋体"/>
                <w:color w:val="000000"/>
                <w:lang w:val="en-US" w:eastAsia="zh-CN"/>
              </w:rPr>
              <w:t>2</w:t>
            </w:r>
          </w:p>
        </w:tc>
      </w:tr>
      <w:tr w14:paraId="30F53F16">
        <w:tblPrEx>
          <w:tblCellMar>
            <w:top w:w="0" w:type="dxa"/>
            <w:left w:w="108" w:type="dxa"/>
            <w:bottom w:w="0" w:type="dxa"/>
            <w:right w:w="108" w:type="dxa"/>
          </w:tblCellMar>
        </w:tblPrEx>
        <w:trPr>
          <w:trHeight w:val="917" w:hRule="atLeast"/>
          <w:jc w:val="center"/>
        </w:trPr>
        <w:tc>
          <w:tcPr>
            <w:tcW w:w="775" w:type="dxa"/>
            <w:tcBorders>
              <w:top w:val="single" w:color="000000" w:sz="4" w:space="0"/>
              <w:left w:val="single" w:color="000000" w:sz="4" w:space="0"/>
              <w:bottom w:val="single" w:color="000000" w:sz="4" w:space="0"/>
              <w:right w:val="single" w:color="000000" w:sz="4" w:space="0"/>
            </w:tcBorders>
            <w:vAlign w:val="center"/>
          </w:tcPr>
          <w:p w14:paraId="1A9AB93D">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rPr>
            </w:pPr>
          </w:p>
        </w:tc>
        <w:tc>
          <w:tcPr>
            <w:tcW w:w="1872" w:type="dxa"/>
            <w:tcBorders>
              <w:top w:val="single" w:color="000000" w:sz="4" w:space="0"/>
              <w:left w:val="single" w:color="000000" w:sz="4" w:space="0"/>
              <w:bottom w:val="single" w:color="000000" w:sz="4" w:space="0"/>
              <w:right w:val="single" w:color="000000" w:sz="4" w:space="0"/>
            </w:tcBorders>
            <w:vAlign w:val="center"/>
          </w:tcPr>
          <w:p w14:paraId="4F86FC0A">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rPr>
            </w:pPr>
            <w:r>
              <w:rPr>
                <w:rFonts w:hint="eastAsia" w:ascii="宋体" w:hAnsi="宋体" w:eastAsia="宋体" w:cs="宋体"/>
                <w:color w:val="000000"/>
                <w:lang w:eastAsia="zh-CN"/>
              </w:rPr>
              <w:t>普通</w:t>
            </w:r>
            <w:r>
              <w:rPr>
                <w:rFonts w:hint="eastAsia" w:ascii="宋体" w:hAnsi="宋体" w:eastAsia="宋体" w:cs="宋体"/>
                <w:color w:val="000000"/>
              </w:rPr>
              <w:t>检测试剂盒</w:t>
            </w:r>
          </w:p>
        </w:tc>
        <w:tc>
          <w:tcPr>
            <w:tcW w:w="6637" w:type="dxa"/>
            <w:tcBorders>
              <w:top w:val="single" w:color="000000" w:sz="4" w:space="0"/>
              <w:left w:val="single" w:color="000000" w:sz="4" w:space="0"/>
              <w:bottom w:val="single" w:color="000000" w:sz="4" w:space="0"/>
              <w:right w:val="single" w:color="000000" w:sz="4" w:space="0"/>
            </w:tcBorders>
            <w:vAlign w:val="center"/>
          </w:tcPr>
          <w:p w14:paraId="31CC26C7">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val="en-US" w:eastAsia="zh-CN"/>
              </w:rPr>
            </w:pPr>
            <w:r>
              <w:rPr>
                <w:rFonts w:hint="eastAsia" w:ascii="宋体" w:hAnsi="宋体" w:eastAsia="宋体" w:cs="宋体"/>
                <w:color w:val="000000"/>
                <w:lang w:val="en-US" w:eastAsia="zh-CN"/>
              </w:rPr>
              <w:t>类型：ELISA试剂盒</w:t>
            </w:r>
          </w:p>
          <w:p w14:paraId="1A19F9F4">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val="en-US" w:eastAsia="zh-CN"/>
              </w:rPr>
            </w:pPr>
            <w:r>
              <w:rPr>
                <w:rFonts w:hint="eastAsia" w:ascii="宋体" w:hAnsi="宋体" w:eastAsia="宋体" w:cs="宋体"/>
                <w:color w:val="000000"/>
                <w:lang w:val="en-US" w:eastAsia="zh-CN"/>
              </w:rPr>
              <w:t>目标：检测特定病毒或细菌的抗体/抗原</w:t>
            </w:r>
          </w:p>
          <w:p w14:paraId="1C4C6C9D">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val="en-US" w:eastAsia="zh-CN"/>
              </w:rPr>
            </w:pPr>
            <w:r>
              <w:rPr>
                <w:rFonts w:hint="eastAsia" w:ascii="宋体" w:hAnsi="宋体" w:eastAsia="宋体" w:cs="宋体"/>
                <w:color w:val="000000"/>
                <w:lang w:val="en-US" w:eastAsia="zh-CN"/>
              </w:rPr>
              <w:t>特点：适用于大规模样本筛查，操作相对简单。</w:t>
            </w:r>
          </w:p>
          <w:p w14:paraId="6E2D23BD">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val="en-US" w:eastAsia="zh-CN"/>
              </w:rPr>
            </w:pPr>
            <w:r>
              <w:rPr>
                <w:rFonts w:hint="eastAsia" w:ascii="宋体" w:hAnsi="宋体" w:eastAsia="宋体" w:cs="宋体"/>
                <w:color w:val="000000"/>
                <w:lang w:val="en-US" w:eastAsia="zh-CN"/>
              </w:rPr>
              <w:t>检测通量：96孔板</w:t>
            </w:r>
          </w:p>
          <w:p w14:paraId="67EFA220">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lang w:val="en-US" w:eastAsia="zh-CN"/>
              </w:rPr>
            </w:pPr>
            <w:r>
              <w:rPr>
                <w:rFonts w:hint="eastAsia" w:ascii="宋体" w:hAnsi="宋体" w:eastAsia="宋体" w:cs="宋体"/>
                <w:color w:val="000000"/>
                <w:lang w:val="en-US" w:eastAsia="zh-CN"/>
              </w:rPr>
              <w:t>储存条件：2-8℃保存</w:t>
            </w:r>
          </w:p>
        </w:tc>
        <w:tc>
          <w:tcPr>
            <w:tcW w:w="808" w:type="dxa"/>
            <w:tcBorders>
              <w:top w:val="single" w:color="000000" w:sz="4" w:space="0"/>
              <w:left w:val="single" w:color="000000" w:sz="4" w:space="0"/>
              <w:bottom w:val="single" w:color="000000" w:sz="4" w:space="0"/>
              <w:right w:val="single" w:color="000000" w:sz="4" w:space="0"/>
            </w:tcBorders>
            <w:vAlign w:val="center"/>
          </w:tcPr>
          <w:p w14:paraId="24E841CB">
            <w:pPr>
              <w:keepNext w:val="0"/>
              <w:keepLines w:val="0"/>
              <w:pageBreakBefore w:val="0"/>
              <w:kinsoku/>
              <w:wordWrap/>
              <w:overflowPunct w:val="0"/>
              <w:topLinePunct w:val="0"/>
              <w:autoSpaceDE/>
              <w:autoSpaceDN/>
              <w:bidi w:val="0"/>
              <w:adjustRightInd/>
              <w:snapToGrid w:val="0"/>
              <w:spacing w:line="240" w:lineRule="auto"/>
              <w:jc w:val="center"/>
              <w:rPr>
                <w:rFonts w:hint="eastAsia" w:ascii="宋体" w:hAnsi="宋体" w:eastAsia="宋体" w:cs="宋体"/>
                <w:color w:val="000000"/>
                <w:lang w:eastAsia="zh-CN"/>
              </w:rPr>
            </w:pPr>
            <w:r>
              <w:rPr>
                <w:rFonts w:hint="eastAsia" w:ascii="宋体" w:hAnsi="宋体" w:eastAsia="宋体" w:cs="宋体"/>
                <w:color w:val="000000"/>
                <w:lang w:eastAsia="zh-CN"/>
              </w:rPr>
              <w:t>盒</w:t>
            </w:r>
          </w:p>
        </w:tc>
        <w:tc>
          <w:tcPr>
            <w:tcW w:w="706" w:type="dxa"/>
            <w:tcBorders>
              <w:top w:val="single" w:color="000000" w:sz="4" w:space="0"/>
              <w:left w:val="single" w:color="000000" w:sz="4" w:space="0"/>
              <w:bottom w:val="single" w:color="000000" w:sz="4" w:space="0"/>
              <w:right w:val="single" w:color="000000" w:sz="4" w:space="0"/>
            </w:tcBorders>
            <w:noWrap/>
            <w:vAlign w:val="center"/>
          </w:tcPr>
          <w:p w14:paraId="4446BB87">
            <w:pPr>
              <w:keepNext w:val="0"/>
              <w:keepLines w:val="0"/>
              <w:pageBreakBefore w:val="0"/>
              <w:kinsoku/>
              <w:wordWrap/>
              <w:overflowPunct w:val="0"/>
              <w:topLinePunct w:val="0"/>
              <w:autoSpaceDE/>
              <w:autoSpaceDN/>
              <w:bidi w:val="0"/>
              <w:adjustRightInd/>
              <w:snapToGrid w:val="0"/>
              <w:spacing w:line="240" w:lineRule="auto"/>
              <w:jc w:val="center"/>
              <w:rPr>
                <w:rFonts w:hint="eastAsia" w:ascii="宋体" w:hAnsi="宋体" w:eastAsia="宋体" w:cs="宋体"/>
                <w:color w:val="000000"/>
                <w:lang w:val="en-US" w:eastAsia="zh-CN"/>
              </w:rPr>
            </w:pPr>
            <w:r>
              <w:rPr>
                <w:rFonts w:hint="eastAsia" w:ascii="宋体" w:hAnsi="宋体" w:eastAsia="宋体" w:cs="宋体"/>
                <w:color w:val="000000"/>
                <w:lang w:val="en-US" w:eastAsia="zh-CN"/>
              </w:rPr>
              <w:t>20</w:t>
            </w:r>
          </w:p>
        </w:tc>
      </w:tr>
      <w:tr w14:paraId="0C75F7C8">
        <w:tblPrEx>
          <w:tblCellMar>
            <w:top w:w="0" w:type="dxa"/>
            <w:left w:w="108" w:type="dxa"/>
            <w:bottom w:w="0" w:type="dxa"/>
            <w:right w:w="108" w:type="dxa"/>
          </w:tblCellMar>
        </w:tblPrEx>
        <w:trPr>
          <w:trHeight w:val="222" w:hRule="atLeast"/>
          <w:jc w:val="center"/>
        </w:trPr>
        <w:tc>
          <w:tcPr>
            <w:tcW w:w="775" w:type="dxa"/>
            <w:tcBorders>
              <w:top w:val="single" w:color="000000" w:sz="4" w:space="0"/>
              <w:left w:val="single" w:color="000000" w:sz="4" w:space="0"/>
              <w:bottom w:val="single" w:color="000000" w:sz="4" w:space="0"/>
              <w:right w:val="single" w:color="000000" w:sz="4" w:space="0"/>
            </w:tcBorders>
            <w:vAlign w:val="center"/>
          </w:tcPr>
          <w:p w14:paraId="474C0BF3">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lang w:val="en-US" w:eastAsia="zh-CN"/>
              </w:rPr>
            </w:pPr>
            <w:r>
              <w:rPr>
                <w:rFonts w:hint="eastAsia" w:ascii="宋体" w:hAnsi="宋体" w:eastAsia="宋体" w:cs="宋体"/>
                <w:color w:val="000000"/>
              </w:rPr>
              <w:t>1.</w:t>
            </w:r>
            <w:r>
              <w:rPr>
                <w:rFonts w:hint="eastAsia" w:ascii="宋体" w:hAnsi="宋体" w:eastAsia="宋体" w:cs="宋体"/>
                <w:color w:val="000000"/>
                <w:lang w:val="en-US" w:eastAsia="zh-CN"/>
              </w:rPr>
              <w:t>5</w:t>
            </w:r>
          </w:p>
        </w:tc>
        <w:tc>
          <w:tcPr>
            <w:tcW w:w="1872" w:type="dxa"/>
            <w:tcBorders>
              <w:top w:val="single" w:color="000000" w:sz="4" w:space="0"/>
              <w:left w:val="single" w:color="000000" w:sz="4" w:space="0"/>
              <w:bottom w:val="single" w:color="000000" w:sz="4" w:space="0"/>
              <w:right w:val="single" w:color="000000" w:sz="4" w:space="0"/>
            </w:tcBorders>
            <w:vAlign w:val="center"/>
          </w:tcPr>
          <w:p w14:paraId="4B734703">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rPr>
            </w:pPr>
            <w:r>
              <w:rPr>
                <w:rFonts w:ascii="微软雅黑" w:hAnsi="微软雅黑" w:eastAsia="微软雅黑" w:cs="微软雅黑"/>
                <w:i w:val="0"/>
                <w:iCs w:val="0"/>
                <w:caps w:val="0"/>
                <w:color w:val="000000"/>
                <w:spacing w:val="0"/>
                <w:sz w:val="19"/>
                <w:szCs w:val="19"/>
                <w:shd w:val="clear" w:fill="FFF5EC"/>
              </w:rPr>
              <w:t>★</w:t>
            </w:r>
            <w:r>
              <w:rPr>
                <w:rFonts w:hint="eastAsia" w:ascii="宋体" w:hAnsi="宋体" w:eastAsia="宋体" w:cs="宋体"/>
                <w:color w:val="000000"/>
              </w:rPr>
              <w:t>野生动物疫源疫病外业监测（</w:t>
            </w:r>
            <w:r>
              <w:rPr>
                <w:rFonts w:hint="eastAsia" w:ascii="宋体" w:hAnsi="宋体" w:eastAsia="宋体" w:cs="宋体"/>
                <w:color w:val="000000"/>
                <w:lang w:eastAsia="zh-CN"/>
              </w:rPr>
              <w:t>共</w:t>
            </w:r>
            <w:r>
              <w:rPr>
                <w:rFonts w:hint="eastAsia" w:ascii="宋体" w:hAnsi="宋体" w:eastAsia="宋体" w:cs="宋体"/>
                <w:color w:val="000000"/>
              </w:rPr>
              <w:t>监测4次，20条监测样线，每条2km）</w:t>
            </w:r>
          </w:p>
        </w:tc>
        <w:tc>
          <w:tcPr>
            <w:tcW w:w="6637" w:type="dxa"/>
            <w:tcBorders>
              <w:top w:val="single" w:color="000000" w:sz="4" w:space="0"/>
              <w:left w:val="single" w:color="000000" w:sz="4" w:space="0"/>
              <w:bottom w:val="single" w:color="000000" w:sz="4" w:space="0"/>
              <w:right w:val="single" w:color="000000" w:sz="4" w:space="0"/>
            </w:tcBorders>
            <w:vAlign w:val="center"/>
          </w:tcPr>
          <w:p w14:paraId="1239E47C">
            <w:pPr>
              <w:pStyle w:val="4"/>
              <w:keepNext w:val="0"/>
              <w:keepLines w:val="0"/>
              <w:pageBreakBefore w:val="0"/>
              <w:kinsoku/>
              <w:wordWrap/>
              <w:overflowPunct w:val="0"/>
              <w:topLinePunct w:val="0"/>
              <w:autoSpaceDE/>
              <w:autoSpaceDN/>
              <w:bidi w:val="0"/>
              <w:adjustRightInd/>
              <w:snapToGrid w:val="0"/>
              <w:spacing w:after="0" w:line="240" w:lineRule="auto"/>
              <w:ind w:left="0" w:leftChars="0" w:right="0" w:rightChars="0" w:firstLine="0" w:firstLineChars="0"/>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野生动</w:t>
            </w:r>
            <w:r>
              <w:rPr>
                <w:rFonts w:hint="eastAsia" w:ascii="宋体" w:hAnsi="宋体" w:eastAsia="宋体" w:cs="宋体"/>
                <w:color w:val="000000"/>
                <w:kern w:val="0"/>
                <w:sz w:val="24"/>
                <w:szCs w:val="24"/>
                <w:lang w:val="en-US" w:eastAsia="zh-CN" w:bidi="ar-SA"/>
              </w:rPr>
              <w:t>物疫源疫病监测样线严格按照设定的20条样线进行监测，每条样线长度为2公里，样线总长度40 km，春夏秋冬各季节监测1次，共4次，对保护区辖区内存在的死亡或有行为异常的野生动物开展巡护监测。</w:t>
            </w:r>
            <w:r>
              <w:rPr>
                <w:rFonts w:hint="eastAsia" w:ascii="宋体" w:hAnsi="宋体" w:eastAsia="宋体" w:cs="宋体"/>
                <w:color w:val="000000"/>
                <w:kern w:val="0"/>
                <w:sz w:val="24"/>
                <w:szCs w:val="24"/>
                <w:lang w:val="en-US" w:eastAsia="zh-CN" w:bidi="ar-SA"/>
              </w:rPr>
              <w:t>监测人员按照规范的巡护路线和监测规程进行数据采集和记录。</w:t>
            </w:r>
          </w:p>
          <w:p w14:paraId="646E78AB">
            <w:pPr>
              <w:pStyle w:val="4"/>
              <w:keepNext w:val="0"/>
              <w:keepLines w:val="0"/>
              <w:pageBreakBefore w:val="0"/>
              <w:kinsoku/>
              <w:wordWrap/>
              <w:overflowPunct w:val="0"/>
              <w:topLinePunct w:val="0"/>
              <w:autoSpaceDE/>
              <w:autoSpaceDN/>
              <w:bidi w:val="0"/>
              <w:adjustRightInd/>
              <w:snapToGrid w:val="0"/>
              <w:spacing w:after="0" w:line="240" w:lineRule="auto"/>
              <w:ind w:left="0" w:leftChars="0" w:right="0" w:rightChars="0" w:firstLine="0" w:firstLineChars="0"/>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主要监测对象为陆生脊椎动物，其中陆生脊椎动物主要为褐马鸡及其伴生物种，</w:t>
            </w:r>
            <w:r>
              <w:rPr>
                <w:rFonts w:hint="eastAsia" w:ascii="宋体" w:hAnsi="宋体" w:eastAsia="宋体" w:cs="宋体"/>
                <w:color w:val="000000"/>
                <w:kern w:val="0"/>
                <w:sz w:val="24"/>
                <w:szCs w:val="24"/>
                <w:lang w:val="en-US" w:eastAsia="zh-CN" w:bidi="ar-SA"/>
              </w:rPr>
              <w:t>包括两栖类、爬行类、鸟类、哺乳动物；重点监测对象主要为国家一、二级重点保护动物、陕西省重点保护动物。</w:t>
            </w:r>
          </w:p>
          <w:p w14:paraId="6504CB68">
            <w:pPr>
              <w:pStyle w:val="4"/>
              <w:keepNext w:val="0"/>
              <w:keepLines w:val="0"/>
              <w:pageBreakBefore w:val="0"/>
              <w:kinsoku/>
              <w:wordWrap/>
              <w:overflowPunct w:val="0"/>
              <w:topLinePunct w:val="0"/>
              <w:autoSpaceDE/>
              <w:autoSpaceDN/>
              <w:bidi w:val="0"/>
              <w:adjustRightInd/>
              <w:snapToGrid w:val="0"/>
              <w:spacing w:after="0" w:line="240" w:lineRule="auto"/>
              <w:ind w:left="0" w:leftChars="0" w:right="0" w:rightChars="0" w:firstLine="0" w:firstLineChars="0"/>
              <w:rPr>
                <w:rFonts w:hint="eastAsia"/>
                <w:lang w:val="en-US" w:eastAsia="zh-CN"/>
              </w:rPr>
            </w:pPr>
            <w:r>
              <w:rPr>
                <w:rFonts w:hint="eastAsia" w:ascii="宋体" w:hAnsi="宋体" w:eastAsia="宋体" w:cs="宋体"/>
                <w:color w:val="000000"/>
                <w:kern w:val="0"/>
                <w:sz w:val="24"/>
                <w:szCs w:val="24"/>
                <w:lang w:val="en-US" w:eastAsia="zh-CN" w:bidi="ar-SA"/>
              </w:rPr>
              <w:t>监测内容：主要包括野生动物死亡、行为异常、受威胁因素及栖息地状况。</w:t>
            </w:r>
          </w:p>
        </w:tc>
        <w:tc>
          <w:tcPr>
            <w:tcW w:w="808" w:type="dxa"/>
            <w:tcBorders>
              <w:top w:val="single" w:color="000000" w:sz="4" w:space="0"/>
              <w:left w:val="single" w:color="000000" w:sz="4" w:space="0"/>
              <w:bottom w:val="single" w:color="000000" w:sz="4" w:space="0"/>
              <w:right w:val="single" w:color="000000" w:sz="4" w:space="0"/>
            </w:tcBorders>
            <w:vAlign w:val="center"/>
          </w:tcPr>
          <w:p w14:paraId="207820D9">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rPr>
            </w:pPr>
            <w:r>
              <w:rPr>
                <w:rFonts w:hint="eastAsia" w:ascii="宋体" w:hAnsi="宋体" w:eastAsia="宋体" w:cs="宋体"/>
                <w:color w:val="000000"/>
              </w:rPr>
              <w:t>km</w:t>
            </w:r>
          </w:p>
        </w:tc>
        <w:tc>
          <w:tcPr>
            <w:tcW w:w="706" w:type="dxa"/>
            <w:tcBorders>
              <w:top w:val="single" w:color="000000" w:sz="4" w:space="0"/>
              <w:left w:val="single" w:color="000000" w:sz="4" w:space="0"/>
              <w:bottom w:val="single" w:color="000000" w:sz="4" w:space="0"/>
              <w:right w:val="single" w:color="000000" w:sz="4" w:space="0"/>
            </w:tcBorders>
            <w:noWrap/>
            <w:vAlign w:val="center"/>
          </w:tcPr>
          <w:p w14:paraId="3B90E7BE">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rPr>
            </w:pPr>
            <w:r>
              <w:rPr>
                <w:rFonts w:hint="eastAsia" w:ascii="宋体" w:hAnsi="宋体" w:eastAsia="宋体" w:cs="宋体"/>
                <w:color w:val="000000"/>
              </w:rPr>
              <w:t>40×4</w:t>
            </w:r>
          </w:p>
        </w:tc>
      </w:tr>
      <w:tr w14:paraId="55B5A1C6">
        <w:tblPrEx>
          <w:tblCellMar>
            <w:top w:w="0" w:type="dxa"/>
            <w:left w:w="108" w:type="dxa"/>
            <w:bottom w:w="0" w:type="dxa"/>
            <w:right w:w="108" w:type="dxa"/>
          </w:tblCellMar>
        </w:tblPrEx>
        <w:trPr>
          <w:trHeight w:val="552" w:hRule="atLeast"/>
          <w:jc w:val="center"/>
        </w:trPr>
        <w:tc>
          <w:tcPr>
            <w:tcW w:w="775" w:type="dxa"/>
            <w:tcBorders>
              <w:top w:val="single" w:color="000000" w:sz="4" w:space="0"/>
              <w:left w:val="single" w:color="000000" w:sz="4" w:space="0"/>
              <w:bottom w:val="single" w:color="000000" w:sz="4" w:space="0"/>
              <w:right w:val="single" w:color="000000" w:sz="4" w:space="0"/>
            </w:tcBorders>
            <w:vAlign w:val="center"/>
          </w:tcPr>
          <w:p w14:paraId="09463877">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lang w:val="en-US" w:eastAsia="zh-CN"/>
              </w:rPr>
            </w:pPr>
            <w:r>
              <w:rPr>
                <w:rFonts w:hint="eastAsia" w:ascii="宋体" w:hAnsi="宋体" w:eastAsia="宋体" w:cs="宋体"/>
                <w:color w:val="000000"/>
              </w:rPr>
              <w:t>1.</w:t>
            </w:r>
            <w:r>
              <w:rPr>
                <w:rFonts w:hint="eastAsia" w:ascii="宋体" w:hAnsi="宋体" w:eastAsia="宋体" w:cs="宋体"/>
                <w:color w:val="000000"/>
                <w:lang w:val="en-US" w:eastAsia="zh-CN"/>
              </w:rPr>
              <w:t>6</w:t>
            </w:r>
          </w:p>
        </w:tc>
        <w:tc>
          <w:tcPr>
            <w:tcW w:w="1872" w:type="dxa"/>
            <w:tcBorders>
              <w:top w:val="single" w:color="000000" w:sz="4" w:space="0"/>
              <w:left w:val="single" w:color="000000" w:sz="4" w:space="0"/>
              <w:bottom w:val="single" w:color="000000" w:sz="4" w:space="0"/>
              <w:right w:val="single" w:color="000000" w:sz="4" w:space="0"/>
            </w:tcBorders>
            <w:vAlign w:val="center"/>
          </w:tcPr>
          <w:p w14:paraId="65F0EF3E">
            <w:pPr>
              <w:keepNext w:val="0"/>
              <w:keepLines w:val="0"/>
              <w:pageBreakBefore w:val="0"/>
              <w:kinsoku/>
              <w:wordWrap/>
              <w:overflowPunct w:val="0"/>
              <w:topLinePunct w:val="0"/>
              <w:autoSpaceDE/>
              <w:autoSpaceDN/>
              <w:bidi w:val="0"/>
              <w:adjustRightInd/>
              <w:snapToGrid w:val="0"/>
              <w:spacing w:line="240" w:lineRule="auto"/>
              <w:jc w:val="both"/>
              <w:textAlignment w:val="center"/>
              <w:rPr>
                <w:rFonts w:hint="eastAsia" w:ascii="宋体" w:hAnsi="宋体" w:eastAsia="宋体" w:cs="宋体"/>
                <w:color w:val="000000"/>
              </w:rPr>
            </w:pPr>
            <w:r>
              <w:rPr>
                <w:rFonts w:hint="eastAsia" w:ascii="宋体" w:hAnsi="宋体" w:eastAsia="宋体" w:cs="宋体"/>
                <w:color w:val="000000"/>
              </w:rPr>
              <w:t>内业资料整理、数据上传、分析及报告</w:t>
            </w:r>
          </w:p>
        </w:tc>
        <w:tc>
          <w:tcPr>
            <w:tcW w:w="6637" w:type="dxa"/>
            <w:tcBorders>
              <w:top w:val="single" w:color="000000" w:sz="4" w:space="0"/>
              <w:left w:val="single" w:color="000000" w:sz="4" w:space="0"/>
              <w:bottom w:val="single" w:color="000000" w:sz="4" w:space="0"/>
              <w:right w:val="single" w:color="000000" w:sz="4" w:space="0"/>
            </w:tcBorders>
            <w:vAlign w:val="center"/>
          </w:tcPr>
          <w:p w14:paraId="26BDCD72">
            <w:pPr>
              <w:keepNext w:val="0"/>
              <w:keepLines w:val="0"/>
              <w:pageBreakBefore w:val="0"/>
              <w:kinsoku/>
              <w:wordWrap/>
              <w:overflowPunct w:val="0"/>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24"/>
                <w:szCs w:val="24"/>
                <w:lang w:val="en-US" w:eastAsia="zh-CN" w:bidi="ar-SA"/>
              </w:rPr>
            </w:pPr>
          </w:p>
        </w:tc>
        <w:tc>
          <w:tcPr>
            <w:tcW w:w="808" w:type="dxa"/>
            <w:tcBorders>
              <w:top w:val="single" w:color="000000" w:sz="4" w:space="0"/>
              <w:left w:val="single" w:color="000000" w:sz="4" w:space="0"/>
              <w:bottom w:val="single" w:color="000000" w:sz="4" w:space="0"/>
              <w:right w:val="single" w:color="000000" w:sz="4" w:space="0"/>
            </w:tcBorders>
            <w:vAlign w:val="center"/>
          </w:tcPr>
          <w:p w14:paraId="78F7860A">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rPr>
            </w:pPr>
          </w:p>
        </w:tc>
        <w:tc>
          <w:tcPr>
            <w:tcW w:w="706" w:type="dxa"/>
            <w:tcBorders>
              <w:top w:val="single" w:color="000000" w:sz="4" w:space="0"/>
              <w:left w:val="single" w:color="000000" w:sz="4" w:space="0"/>
              <w:bottom w:val="single" w:color="000000" w:sz="4" w:space="0"/>
              <w:right w:val="single" w:color="000000" w:sz="4" w:space="0"/>
            </w:tcBorders>
            <w:noWrap/>
            <w:vAlign w:val="center"/>
          </w:tcPr>
          <w:p w14:paraId="7741DAC6">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rPr>
            </w:pPr>
          </w:p>
        </w:tc>
      </w:tr>
      <w:tr w14:paraId="0CFA600A">
        <w:tblPrEx>
          <w:tblCellMar>
            <w:top w:w="0" w:type="dxa"/>
            <w:left w:w="108" w:type="dxa"/>
            <w:bottom w:w="0" w:type="dxa"/>
            <w:right w:w="108" w:type="dxa"/>
          </w:tblCellMar>
        </w:tblPrEx>
        <w:trPr>
          <w:trHeight w:val="2191" w:hRule="atLeast"/>
          <w:jc w:val="center"/>
        </w:trPr>
        <w:tc>
          <w:tcPr>
            <w:tcW w:w="775" w:type="dxa"/>
            <w:tcBorders>
              <w:top w:val="single" w:color="000000" w:sz="4" w:space="0"/>
              <w:left w:val="single" w:color="000000" w:sz="4" w:space="0"/>
              <w:bottom w:val="single" w:color="000000" w:sz="4" w:space="0"/>
              <w:right w:val="single" w:color="000000" w:sz="4" w:space="0"/>
            </w:tcBorders>
            <w:vAlign w:val="center"/>
          </w:tcPr>
          <w:p w14:paraId="0BBB6E59">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rPr>
            </w:pPr>
            <w:r>
              <w:rPr>
                <w:rFonts w:hint="eastAsia" w:ascii="宋体" w:hAnsi="宋体" w:eastAsia="宋体" w:cs="宋体"/>
                <w:color w:val="000000"/>
              </w:rPr>
              <w:t>1.</w:t>
            </w:r>
            <w:r>
              <w:rPr>
                <w:rFonts w:hint="eastAsia" w:ascii="宋体" w:hAnsi="宋体" w:eastAsia="宋体" w:cs="宋体"/>
                <w:color w:val="000000"/>
                <w:lang w:val="en-US" w:eastAsia="zh-CN"/>
              </w:rPr>
              <w:t>6</w:t>
            </w:r>
            <w:r>
              <w:rPr>
                <w:rFonts w:hint="eastAsia" w:ascii="宋体" w:hAnsi="宋体" w:eastAsia="宋体" w:cs="宋体"/>
                <w:color w:val="000000"/>
              </w:rPr>
              <w:t>.1</w:t>
            </w:r>
          </w:p>
        </w:tc>
        <w:tc>
          <w:tcPr>
            <w:tcW w:w="1872" w:type="dxa"/>
            <w:tcBorders>
              <w:top w:val="single" w:color="000000" w:sz="4" w:space="0"/>
              <w:left w:val="single" w:color="000000" w:sz="4" w:space="0"/>
              <w:bottom w:val="single" w:color="000000" w:sz="4" w:space="0"/>
              <w:right w:val="single" w:color="000000" w:sz="4" w:space="0"/>
            </w:tcBorders>
            <w:vAlign w:val="center"/>
          </w:tcPr>
          <w:p w14:paraId="3084F17F">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rPr>
            </w:pPr>
            <w:r>
              <w:rPr>
                <w:rFonts w:ascii="微软雅黑" w:hAnsi="微软雅黑" w:eastAsia="微软雅黑" w:cs="微软雅黑"/>
                <w:i w:val="0"/>
                <w:iCs w:val="0"/>
                <w:caps w:val="0"/>
                <w:color w:val="000000"/>
                <w:spacing w:val="0"/>
                <w:sz w:val="19"/>
                <w:szCs w:val="19"/>
                <w:shd w:val="clear" w:fill="FFF5EC"/>
              </w:rPr>
              <w:t>★</w:t>
            </w:r>
            <w:r>
              <w:rPr>
                <w:rFonts w:hint="eastAsia" w:ascii="宋体" w:hAnsi="宋体" w:eastAsia="宋体" w:cs="宋体"/>
                <w:color w:val="000000"/>
              </w:rPr>
              <w:t>数据录入、上传、检查、整理</w:t>
            </w:r>
          </w:p>
        </w:tc>
        <w:tc>
          <w:tcPr>
            <w:tcW w:w="6637" w:type="dxa"/>
            <w:tcBorders>
              <w:top w:val="single" w:color="000000" w:sz="4" w:space="0"/>
              <w:left w:val="single" w:color="000000" w:sz="4" w:space="0"/>
              <w:bottom w:val="single" w:color="000000" w:sz="4" w:space="0"/>
              <w:right w:val="single" w:color="000000" w:sz="4" w:space="0"/>
            </w:tcBorders>
            <w:vAlign w:val="center"/>
          </w:tcPr>
          <w:p w14:paraId="1B87F62F">
            <w:pPr>
              <w:pStyle w:val="4"/>
              <w:keepNext w:val="0"/>
              <w:keepLines w:val="0"/>
              <w:pageBreakBefore w:val="0"/>
              <w:kinsoku/>
              <w:wordWrap/>
              <w:overflowPunct w:val="0"/>
              <w:topLinePunct w:val="0"/>
              <w:autoSpaceDE/>
              <w:autoSpaceDN/>
              <w:bidi w:val="0"/>
              <w:adjustRightInd/>
              <w:snapToGrid w:val="0"/>
              <w:spacing w:after="0" w:line="240" w:lineRule="auto"/>
              <w:ind w:left="0" w:leftChars="0" w:right="0" w:rightChars="0" w:firstLine="0" w:firstLineChars="0"/>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对每次监测的原始数据进行审核检查（包括表头及调查内容填写的完整性、字迹可读性、物种识别核查、栖息地植物及受威胁信息核查等）及调查表数量检查（目的是检查是否有丢失或遗漏的调查表）。将检查无误的原始记录表，按照野生动物（两栖动物、爬行动物、鸟类、哺乳动物）类群进行分类，并按照编号进行存档。</w:t>
            </w:r>
          </w:p>
          <w:p w14:paraId="49FC2877">
            <w:pPr>
              <w:pStyle w:val="4"/>
              <w:keepNext w:val="0"/>
              <w:keepLines w:val="0"/>
              <w:pageBreakBefore w:val="0"/>
              <w:kinsoku/>
              <w:wordWrap/>
              <w:overflowPunct w:val="0"/>
              <w:topLinePunct w:val="0"/>
              <w:autoSpaceDE/>
              <w:autoSpaceDN/>
              <w:bidi w:val="0"/>
              <w:adjustRightInd/>
              <w:snapToGrid w:val="0"/>
              <w:spacing w:after="0" w:line="240" w:lineRule="auto"/>
              <w:ind w:left="0" w:leftChars="0" w:right="0" w:rightChars="0" w:firstLine="0" w:firstLineChars="0"/>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将每次监测的所有原始记录输入电子表格，且电子表格内容与纸质原始记录内容保持一致，并将物种按照一定的顺序进行排列，同时将物种的目、科及种名的学名进行完善，表格按照监测时间、编号进行命名存档。</w:t>
            </w:r>
          </w:p>
          <w:p w14:paraId="779815F8">
            <w:pPr>
              <w:pStyle w:val="4"/>
              <w:keepNext w:val="0"/>
              <w:keepLines w:val="0"/>
              <w:pageBreakBefore w:val="0"/>
              <w:kinsoku/>
              <w:wordWrap/>
              <w:overflowPunct w:val="0"/>
              <w:topLinePunct w:val="0"/>
              <w:autoSpaceDE/>
              <w:autoSpaceDN/>
              <w:bidi w:val="0"/>
              <w:adjustRightInd/>
              <w:snapToGrid w:val="0"/>
              <w:spacing w:after="0" w:line="240" w:lineRule="auto"/>
              <w:ind w:left="0" w:leftChars="0" w:right="0" w:rightChars="0" w:firstLine="0" w:firstLineChars="0"/>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根据每次监测的数据进行整理分析，找出监测的不足之处并进行完善，同时制作出每次监测的物种名录表。</w:t>
            </w:r>
          </w:p>
        </w:tc>
        <w:tc>
          <w:tcPr>
            <w:tcW w:w="808" w:type="dxa"/>
            <w:tcBorders>
              <w:top w:val="single" w:color="000000" w:sz="4" w:space="0"/>
              <w:left w:val="single" w:color="000000" w:sz="4" w:space="0"/>
              <w:bottom w:val="single" w:color="000000" w:sz="4" w:space="0"/>
              <w:right w:val="single" w:color="000000" w:sz="4" w:space="0"/>
            </w:tcBorders>
            <w:vAlign w:val="center"/>
          </w:tcPr>
          <w:p w14:paraId="77317292">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rPr>
            </w:pPr>
            <w:r>
              <w:rPr>
                <w:rFonts w:hint="eastAsia" w:ascii="宋体" w:hAnsi="宋体" w:eastAsia="宋体" w:cs="宋体"/>
                <w:color w:val="000000"/>
              </w:rPr>
              <w:t>项</w:t>
            </w:r>
          </w:p>
        </w:tc>
        <w:tc>
          <w:tcPr>
            <w:tcW w:w="706" w:type="dxa"/>
            <w:tcBorders>
              <w:top w:val="single" w:color="000000" w:sz="4" w:space="0"/>
              <w:left w:val="single" w:color="000000" w:sz="4" w:space="0"/>
              <w:bottom w:val="single" w:color="000000" w:sz="4" w:space="0"/>
              <w:right w:val="single" w:color="000000" w:sz="4" w:space="0"/>
            </w:tcBorders>
            <w:noWrap/>
            <w:vAlign w:val="center"/>
          </w:tcPr>
          <w:p w14:paraId="3F053849">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rPr>
            </w:pPr>
            <w:r>
              <w:rPr>
                <w:rFonts w:hint="eastAsia" w:ascii="宋体" w:hAnsi="宋体" w:eastAsia="宋体" w:cs="宋体"/>
                <w:color w:val="000000"/>
              </w:rPr>
              <w:t>1</w:t>
            </w:r>
          </w:p>
        </w:tc>
      </w:tr>
      <w:tr w14:paraId="5151C81C">
        <w:tblPrEx>
          <w:tblCellMar>
            <w:top w:w="0" w:type="dxa"/>
            <w:left w:w="108" w:type="dxa"/>
            <w:bottom w:w="0" w:type="dxa"/>
            <w:right w:w="108" w:type="dxa"/>
          </w:tblCellMar>
        </w:tblPrEx>
        <w:trPr>
          <w:trHeight w:val="2379" w:hRule="atLeast"/>
          <w:jc w:val="center"/>
        </w:trPr>
        <w:tc>
          <w:tcPr>
            <w:tcW w:w="775" w:type="dxa"/>
            <w:tcBorders>
              <w:top w:val="single" w:color="000000" w:sz="4" w:space="0"/>
              <w:left w:val="single" w:color="000000" w:sz="4" w:space="0"/>
              <w:bottom w:val="single" w:color="000000" w:sz="4" w:space="0"/>
              <w:right w:val="single" w:color="000000" w:sz="4" w:space="0"/>
            </w:tcBorders>
            <w:vAlign w:val="center"/>
          </w:tcPr>
          <w:p w14:paraId="7C431667">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rPr>
            </w:pPr>
            <w:r>
              <w:rPr>
                <w:rFonts w:hint="eastAsia" w:ascii="宋体" w:hAnsi="宋体" w:eastAsia="宋体" w:cs="宋体"/>
                <w:color w:val="000000"/>
              </w:rPr>
              <w:t>1.</w:t>
            </w:r>
            <w:r>
              <w:rPr>
                <w:rFonts w:hint="eastAsia" w:ascii="宋体" w:hAnsi="宋体" w:eastAsia="宋体" w:cs="宋体"/>
                <w:color w:val="000000"/>
                <w:lang w:val="en-US" w:eastAsia="zh-CN"/>
              </w:rPr>
              <w:t>6</w:t>
            </w:r>
            <w:r>
              <w:rPr>
                <w:rFonts w:hint="eastAsia" w:ascii="宋体" w:hAnsi="宋体" w:eastAsia="宋体" w:cs="宋体"/>
                <w:color w:val="000000"/>
              </w:rPr>
              <w:t>.2</w:t>
            </w:r>
          </w:p>
        </w:tc>
        <w:tc>
          <w:tcPr>
            <w:tcW w:w="1872" w:type="dxa"/>
            <w:tcBorders>
              <w:top w:val="single" w:color="000000" w:sz="4" w:space="0"/>
              <w:left w:val="single" w:color="000000" w:sz="4" w:space="0"/>
              <w:bottom w:val="single" w:color="000000" w:sz="4" w:space="0"/>
              <w:right w:val="single" w:color="000000" w:sz="4" w:space="0"/>
            </w:tcBorders>
            <w:vAlign w:val="center"/>
          </w:tcPr>
          <w:p w14:paraId="34BF6528">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rPr>
            </w:pPr>
            <w:r>
              <w:rPr>
                <w:rFonts w:ascii="微软雅黑" w:hAnsi="微软雅黑" w:eastAsia="微软雅黑" w:cs="微软雅黑"/>
                <w:i w:val="0"/>
                <w:iCs w:val="0"/>
                <w:caps w:val="0"/>
                <w:color w:val="000000"/>
                <w:spacing w:val="0"/>
                <w:sz w:val="19"/>
                <w:szCs w:val="19"/>
                <w:shd w:val="clear" w:fill="FFF5EC"/>
              </w:rPr>
              <w:t>★</w:t>
            </w:r>
            <w:r>
              <w:rPr>
                <w:rFonts w:hint="eastAsia" w:ascii="宋体" w:hAnsi="宋体" w:eastAsia="宋体" w:cs="宋体"/>
                <w:color w:val="000000"/>
              </w:rPr>
              <w:t>数据分析及监测报告</w:t>
            </w:r>
          </w:p>
        </w:tc>
        <w:tc>
          <w:tcPr>
            <w:tcW w:w="6637" w:type="dxa"/>
            <w:tcBorders>
              <w:top w:val="single" w:color="000000" w:sz="4" w:space="0"/>
              <w:left w:val="single" w:color="000000" w:sz="4" w:space="0"/>
              <w:bottom w:val="single" w:color="000000" w:sz="4" w:space="0"/>
              <w:right w:val="single" w:color="000000" w:sz="4" w:space="0"/>
            </w:tcBorders>
            <w:vAlign w:val="center"/>
          </w:tcPr>
          <w:p w14:paraId="301CF5CC">
            <w:pPr>
              <w:pStyle w:val="4"/>
              <w:keepNext w:val="0"/>
              <w:keepLines w:val="0"/>
              <w:pageBreakBefore w:val="0"/>
              <w:kinsoku/>
              <w:wordWrap/>
              <w:overflowPunct w:val="0"/>
              <w:topLinePunct w:val="0"/>
              <w:autoSpaceDE/>
              <w:autoSpaceDN/>
              <w:bidi w:val="0"/>
              <w:adjustRightInd/>
              <w:snapToGrid w:val="0"/>
              <w:spacing w:after="0" w:line="240" w:lineRule="auto"/>
              <w:ind w:left="0" w:leftChars="0" w:right="0" w:rightChars="0" w:firstLine="0" w:firstLineChars="0"/>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数据分析：利用gis软件，提取监测数据中的野生动物实体、死亡、行为异常、生境类型、威胁因素等信息数据，在保护区位置区划图上制作野生动物疫源疫病分布点，确定和比较各监测样线野生动物疫源疫病时空分布状况，然后将这些区域连成片基本形成野生动物疫源疫病区域。采用实体死</w:t>
            </w:r>
            <w:r>
              <w:rPr>
                <w:rFonts w:hint="eastAsia" w:ascii="宋体" w:hAnsi="宋体" w:eastAsia="宋体" w:cs="宋体"/>
                <w:color w:val="000000"/>
                <w:kern w:val="0"/>
                <w:sz w:val="24"/>
                <w:szCs w:val="24"/>
                <w:lang w:val="en-US" w:eastAsia="zh-CN" w:bidi="ar-SA"/>
              </w:rPr>
              <w:t>亡遇见率、行为异常遇见率等指标，采用相关专业的统计公式，可定量分析野生动物疫源疫病发生情况。</w:t>
            </w:r>
          </w:p>
          <w:p w14:paraId="604788ED">
            <w:pPr>
              <w:pStyle w:val="4"/>
              <w:keepNext w:val="0"/>
              <w:keepLines w:val="0"/>
              <w:pageBreakBefore w:val="0"/>
              <w:kinsoku/>
              <w:wordWrap/>
              <w:overflowPunct w:val="0"/>
              <w:topLinePunct w:val="0"/>
              <w:autoSpaceDE/>
              <w:autoSpaceDN/>
              <w:bidi w:val="0"/>
              <w:adjustRightInd/>
              <w:snapToGrid w:val="0"/>
              <w:spacing w:after="0" w:line="240" w:lineRule="auto"/>
              <w:ind w:left="0" w:leftChars="0" w:right="0" w:rightChars="0" w:firstLine="0" w:firstLineChars="0"/>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监测成果：通过监测，明确保护区内野生动物疫源疫病情况，对野生动物疫源疫病现状、栖息地现状及受威胁因素现状进行评估，形成野生动物疫源疫病监测报告，报告包括监测结果的附图、附表及监测内容等详细部分，最终形成《陕西韩城黄龙山褐马鸡国家级自然保护区2025年度中央财政林业草原生态保护恢复资金野生动物疫源疫病监测与防控报告》。</w:t>
            </w:r>
          </w:p>
        </w:tc>
        <w:tc>
          <w:tcPr>
            <w:tcW w:w="808" w:type="dxa"/>
            <w:tcBorders>
              <w:top w:val="single" w:color="000000" w:sz="4" w:space="0"/>
              <w:left w:val="single" w:color="000000" w:sz="4" w:space="0"/>
              <w:bottom w:val="single" w:color="000000" w:sz="4" w:space="0"/>
              <w:right w:val="single" w:color="000000" w:sz="4" w:space="0"/>
            </w:tcBorders>
            <w:vAlign w:val="center"/>
          </w:tcPr>
          <w:p w14:paraId="2D986D33">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rPr>
            </w:pPr>
            <w:r>
              <w:rPr>
                <w:rFonts w:hint="eastAsia" w:ascii="宋体" w:hAnsi="宋体" w:eastAsia="宋体" w:cs="宋体"/>
                <w:color w:val="000000"/>
              </w:rPr>
              <w:t>项</w:t>
            </w:r>
          </w:p>
        </w:tc>
        <w:tc>
          <w:tcPr>
            <w:tcW w:w="706" w:type="dxa"/>
            <w:tcBorders>
              <w:top w:val="single" w:color="000000" w:sz="4" w:space="0"/>
              <w:left w:val="single" w:color="000000" w:sz="4" w:space="0"/>
              <w:bottom w:val="single" w:color="000000" w:sz="4" w:space="0"/>
              <w:right w:val="single" w:color="000000" w:sz="4" w:space="0"/>
            </w:tcBorders>
            <w:noWrap/>
            <w:vAlign w:val="center"/>
          </w:tcPr>
          <w:p w14:paraId="4BA203CF">
            <w:pPr>
              <w:keepNext w:val="0"/>
              <w:keepLines w:val="0"/>
              <w:pageBreakBefore w:val="0"/>
              <w:kinsoku/>
              <w:wordWrap/>
              <w:overflowPunct w:val="0"/>
              <w:topLinePunct w:val="0"/>
              <w:autoSpaceDE/>
              <w:autoSpaceDN/>
              <w:bidi w:val="0"/>
              <w:adjustRightInd/>
              <w:snapToGrid w:val="0"/>
              <w:spacing w:line="240" w:lineRule="auto"/>
              <w:jc w:val="center"/>
              <w:textAlignment w:val="center"/>
              <w:rPr>
                <w:rFonts w:hint="eastAsia" w:ascii="宋体" w:hAnsi="宋体" w:eastAsia="宋体" w:cs="宋体"/>
                <w:color w:val="000000"/>
              </w:rPr>
            </w:pPr>
            <w:r>
              <w:rPr>
                <w:rFonts w:hint="eastAsia" w:ascii="宋体" w:hAnsi="宋体" w:eastAsia="宋体" w:cs="宋体"/>
                <w:color w:val="000000"/>
              </w:rPr>
              <w:t>1</w:t>
            </w:r>
          </w:p>
        </w:tc>
      </w:tr>
      <w:bookmarkEnd w:id="0"/>
    </w:tbl>
    <w:p w14:paraId="2B0D5FA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A825C8A"/>
    <w:rsid w:val="0A825C8A"/>
    <w:rsid w:val="2DB94B12"/>
    <w:rsid w:val="6EC10D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宋体" w:hAnsi="宋体" w:eastAsia="宋体" w:cs="宋体"/>
      <w:sz w:val="24"/>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w:basedOn w:val="1"/>
    <w:unhideWhenUsed/>
    <w:qFormat/>
    <w:uiPriority w:val="0"/>
    <w:pPr>
      <w:widowControl w:val="0"/>
      <w:adjustRightInd w:val="0"/>
      <w:snapToGrid w:val="0"/>
      <w:spacing w:after="120" w:line="360" w:lineRule="auto"/>
      <w:ind w:firstLine="200" w:firstLineChars="200"/>
      <w:jc w:val="both"/>
    </w:pPr>
    <w:rPr>
      <w:rFonts w:ascii="Times New Roman" w:hAnsi="Times New Roman" w:eastAsia="楷体" w:cs="Times New Roman"/>
      <w:kern w:val="2"/>
      <w:sz w:val="28"/>
    </w:rPr>
  </w:style>
  <w:style w:type="paragraph" w:styleId="3">
    <w:name w:val="Normal Indent"/>
    <w:basedOn w:val="1"/>
    <w:next w:val="4"/>
    <w:qFormat/>
    <w:uiPriority w:val="0"/>
    <w:pPr>
      <w:widowControl w:val="0"/>
      <w:spacing w:line="560" w:lineRule="exact"/>
      <w:ind w:firstLine="420" w:firstLineChars="200"/>
      <w:jc w:val="both"/>
    </w:pPr>
    <w:rPr>
      <w:rFonts w:ascii="Times New Roman" w:hAnsi="Times New Roman" w:eastAsia="仿宋_GB2312" w:cs="Times New Roman"/>
      <w:kern w:val="2"/>
      <w:sz w:val="28"/>
    </w:rPr>
  </w:style>
  <w:style w:type="paragraph" w:styleId="4">
    <w:name w:val="Block Text"/>
    <w:basedOn w:val="1"/>
    <w:next w:val="1"/>
    <w:qFormat/>
    <w:uiPriority w:val="0"/>
    <w:pPr>
      <w:widowControl w:val="0"/>
      <w:spacing w:after="120" w:line="560" w:lineRule="exact"/>
      <w:ind w:left="1440" w:leftChars="700" w:right="700" w:rightChars="700" w:firstLine="200" w:firstLineChars="200"/>
      <w:jc w:val="both"/>
    </w:pPr>
    <w:rPr>
      <w:rFonts w:ascii="Times New Roman" w:hAnsi="Times New Roman" w:eastAsia="仿宋_GB2312" w:cs="Times New Roman"/>
      <w:kern w:val="2"/>
      <w:sz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3</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2026-09-16T02:29:00Z</dcterms:created>
  <dc:creator>遥远的Ta~</dc:creator>
  <cp:lastModifiedBy>遥远的Ta~</cp:lastModifiedBy>
  <dcterms:modified xsi:type="dcterms:W3CDTF">2026-09-16T10:06:43Z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85AF47267533483D970D7E254C060783_11</vt:lpwstr>
  </property>
  <property fmtid="{D5CDD505-2E9C-101B-9397-08002B2CF9AE}" pid="4" name="KSOTemplateDocerSaveRecord">
    <vt:lpwstr>eyJoZGlkIjoiNWYzMmUzMzMxZWVhZTdlYWU2YmMyMzNiY2M1M2QwNzciLCJ1c2VySWQiOiI0MTc3OTA3NzMifQ==</vt:lpwstr>
  </property>
</Properties>
</file>