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版本号：ZZH-HZ-2026-0220260515001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东大街路灯改造劳务服务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ZZH-HZ-2026-02</w:t>
      </w:r>
      <w:r>
        <w:br/>
      </w:r>
      <w:r>
        <w:br/>
      </w:r>
      <w:r>
        <w:br/>
      </w:r>
    </w:p>
    <w:p>
      <w:pPr>
        <w:pStyle w:val="null3"/>
        <w:jc w:val="center"/>
        <w:outlineLvl w:val="2"/>
      </w:pPr>
      <w:r>
        <w:rPr>
          <w:rFonts w:ascii="仿宋_GB2312" w:hAnsi="仿宋_GB2312" w:cs="仿宋_GB2312" w:eastAsia="仿宋_GB2312"/>
          <w:sz w:val="28"/>
          <w:b/>
        </w:rPr>
        <w:t>汉中市路灯管理处</w:t>
      </w:r>
    </w:p>
    <w:p>
      <w:pPr>
        <w:pStyle w:val="null3"/>
        <w:jc w:val="center"/>
        <w:outlineLvl w:val="2"/>
      </w:pPr>
      <w:r>
        <w:rPr>
          <w:rFonts w:ascii="仿宋_GB2312" w:hAnsi="仿宋_GB2312" w:cs="仿宋_GB2312" w:eastAsia="仿宋_GB2312"/>
          <w:sz w:val="28"/>
          <w:b/>
        </w:rPr>
        <w:t>中致恒项目管理集团有限公司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中致恒项目管理集团有限公司</w:t>
      </w:r>
      <w:r>
        <w:rPr>
          <w:rFonts w:ascii="仿宋_GB2312" w:hAnsi="仿宋_GB2312" w:cs="仿宋_GB2312" w:eastAsia="仿宋_GB2312"/>
        </w:rPr>
        <w:t>（以下简称“代理机构”）受</w:t>
      </w:r>
      <w:r>
        <w:rPr>
          <w:rFonts w:ascii="仿宋_GB2312" w:hAnsi="仿宋_GB2312" w:cs="仿宋_GB2312" w:eastAsia="仿宋_GB2312"/>
        </w:rPr>
        <w:t>汉中市路灯管理处</w:t>
      </w:r>
      <w:r>
        <w:rPr>
          <w:rFonts w:ascii="仿宋_GB2312" w:hAnsi="仿宋_GB2312" w:cs="仿宋_GB2312" w:eastAsia="仿宋_GB2312"/>
        </w:rPr>
        <w:t>委托，拟对</w:t>
      </w:r>
      <w:r>
        <w:rPr>
          <w:rFonts w:ascii="仿宋_GB2312" w:hAnsi="仿宋_GB2312" w:cs="仿宋_GB2312" w:eastAsia="仿宋_GB2312"/>
        </w:rPr>
        <w:t>东大街路灯改造劳务服务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ZZH-HZ-2026-02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东大街路灯改造劳务服务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采购东大街路灯改造劳务服务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采购包1（东大街路灯改造劳务服务）：属于专门面向小微企业采购。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应是独立承担民事责任能力的法人、其他组织或自然人，法人、其他组织须提供合法有效的营业执照（或事业单位法人证书）等证明资料，自然人须提供身份证明（原件或加盖公章的复印件）；</w:t>
      </w:r>
    </w:p>
    <w:p>
      <w:pPr>
        <w:pStyle w:val="null3"/>
      </w:pPr>
      <w:r>
        <w:rPr>
          <w:rFonts w:ascii="仿宋_GB2312" w:hAnsi="仿宋_GB2312" w:cs="仿宋_GB2312" w:eastAsia="仿宋_GB2312"/>
        </w:rPr>
        <w:t>2、授权书：法定代表人授权书（附法定代表人、被授权人身份证复印件）及被授权人身份证（法定代表人直接参加招标，须提供法定代表人身份证明及身份证原件）；</w:t>
      </w:r>
    </w:p>
    <w:p>
      <w:pPr>
        <w:pStyle w:val="null3"/>
      </w:pPr>
      <w:r>
        <w:rPr>
          <w:rFonts w:ascii="仿宋_GB2312" w:hAnsi="仿宋_GB2312" w:cs="仿宋_GB2312" w:eastAsia="仿宋_GB2312"/>
        </w:rPr>
        <w:t>3、资格承诺函：供应商须具有良好的商业信誉和健全的财务会计制度、履行合同所必需的设备和专业技术能力、依法缴纳税收和社会保障金的良好记录，以及参加本项目采购活动前三年内无重大违法活动记录，供应商须提供《汉中市政府采购供应商资格承诺函》并加盖公章；</w:t>
      </w:r>
    </w:p>
    <w:p>
      <w:pPr>
        <w:pStyle w:val="null3"/>
      </w:pPr>
      <w:r>
        <w:rPr>
          <w:rFonts w:ascii="仿宋_GB2312" w:hAnsi="仿宋_GB2312" w:cs="仿宋_GB2312" w:eastAsia="仿宋_GB2312"/>
        </w:rPr>
        <w:t>4、企业资格：供应商应具备市政公用工程施工总承包三级（含三级）以上企业资质，且具备有效的安全生产许可证；</w:t>
      </w:r>
    </w:p>
    <w:p>
      <w:pPr>
        <w:pStyle w:val="null3"/>
      </w:pPr>
      <w:r>
        <w:rPr>
          <w:rFonts w:ascii="仿宋_GB2312" w:hAnsi="仿宋_GB2312" w:cs="仿宋_GB2312" w:eastAsia="仿宋_GB2312"/>
        </w:rPr>
        <w:t>5、项目经理资格：拟派项目经理需具备市政工程专业二级（含二级）以上注册建造师执业资格及有效的安全生产考核合格证书（建安B证），且无在建工程；</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汉中市路灯管理处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汉中市汉台区前进中路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汉中市路灯管理处经办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15667478285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中致恒项目管理集团有限公司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汉中市汉台区兴汉路啤酒厂东侧 60 米（润知租车隔壁）</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殷欢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0916-2219816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采购包1：545,000.00元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采购代理服务收费管理暂行办法的通知》(计价格[2002]1980号)及《国家发展改革委办公厅关于招标代理服务收费有关问题的通知》(发改办价格[2003]857号)规定的收费标准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汉中市路灯管理处</w:t>
      </w:r>
      <w:r>
        <w:rPr>
          <w:rFonts w:ascii="仿宋_GB2312" w:hAnsi="仿宋_GB2312" w:cs="仿宋_GB2312" w:eastAsia="仿宋_GB2312"/>
        </w:rPr>
        <w:t>和</w:t>
      </w:r>
      <w:r>
        <w:rPr>
          <w:rFonts w:ascii="仿宋_GB2312" w:hAnsi="仿宋_GB2312" w:cs="仿宋_GB2312" w:eastAsia="仿宋_GB2312"/>
        </w:rPr>
        <w:t>中致恒项目管理集团有限公司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汉中市路灯管理处</w:t>
      </w:r>
      <w:r>
        <w:rPr>
          <w:rFonts w:ascii="仿宋_GB2312" w:hAnsi="仿宋_GB2312" w:cs="仿宋_GB2312" w:eastAsia="仿宋_GB2312"/>
        </w:rPr>
        <w:t>负责解释。除上述磋商文件内容，其他内容由</w:t>
      </w:r>
      <w:r>
        <w:rPr>
          <w:rFonts w:ascii="仿宋_GB2312" w:hAnsi="仿宋_GB2312" w:cs="仿宋_GB2312" w:eastAsia="仿宋_GB2312"/>
        </w:rPr>
        <w:t>中致恒项目管理集团有限公司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汉中市路灯管理处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中致恒项目管理集团有限公司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中致恒项目管理集团有限公司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中致恒项目管理集团有限公司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中致恒项目管理集团有限公司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联系人：殷欢</w:t>
      </w:r>
    </w:p>
    <w:p>
      <w:pPr>
        <w:pStyle w:val="null3"/>
      </w:pPr>
      <w:r>
        <w:rPr>
          <w:rFonts w:ascii="仿宋_GB2312" w:hAnsi="仿宋_GB2312" w:cs="仿宋_GB2312" w:eastAsia="仿宋_GB2312"/>
        </w:rPr>
        <w:t>联系电话：0916-2219816</w:t>
      </w:r>
    </w:p>
    <w:p>
      <w:pPr>
        <w:pStyle w:val="null3"/>
      </w:pPr>
      <w:r>
        <w:rPr>
          <w:rFonts w:ascii="仿宋_GB2312" w:hAnsi="仿宋_GB2312" w:cs="仿宋_GB2312" w:eastAsia="仿宋_GB2312"/>
        </w:rPr>
        <w:t>地址：汉中市汉台区兴汉路啤酒厂东侧 60 米（润知租车隔壁）</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采购东大街路灯改造劳务服务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545,000.00</w:t>
      </w:r>
    </w:p>
    <w:p>
      <w:pPr>
        <w:pStyle w:val="null3"/>
      </w:pPr>
      <w:r>
        <w:rPr>
          <w:rFonts w:ascii="仿宋_GB2312" w:hAnsi="仿宋_GB2312" w:cs="仿宋_GB2312" w:eastAsia="仿宋_GB2312"/>
        </w:rPr>
        <w:t>采购包最高限价（元）: 544,067.66</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东大街路灯改造劳务服务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545,000.00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建筑业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标的名称：东大街路灯改造劳务服务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详见附件工程量清单。</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供应商根据附件编制已标价工程量清单（报价），原件扫描成PDF格式上传，作为响应文件的组成部分。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签订合同后40日历日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符合国家规定及行业标准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验收合格后，根据审计结论全额支付。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参考民法典，以合同签订为准。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各供应商应根据“陕西省财政厅陕财办采函〔2023〕14号文”《陕西省财政厅关于省级预算单位全面推行政府采购项目电子化交易的通知》“陕西省财政厅陕财办采〔2022〕9号文”《政府采购项目电子化交易规则》等文件的要求，做好人员配备、设施设备、系统操作的相应准备，熟悉并正确实施相关操作流程，承担由于操作或其他因素造成的不利后果。 2、为顺利推进政府采购电子化交易平台应用工作，供应商需要在线提交所有通过电子化交易平台实施的政府采购项目的响应文件，同时，成交供应商领取成交通知书时，应线下提交纸质版响应文件，正本壹份、副本贰套、电子版壹套（U盘）至代理机构。 线上电子响应文件与纸质响应文件一致;若正本和副本不符，以正本为准。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供应商应是独立承担民事责任能力的法人、其他组织或自然人，法人、其他组织须提供合法有效的营业执照（或事业单位法人证书）等证明资料，自然人须提供身份证明（原件或加盖公章的复印件）；</w:t>
            </w:r>
          </w:p>
        </w:tc>
        <w:tc>
          <w:tcPr>
            <w:tcW w:type="dxa" w:w="1661"/>
          </w:tcPr>
          <w:p>
            <w:pPr>
              <w:pStyle w:val="null3"/>
            </w:pPr>
            <w:r>
              <w:rPr>
                <w:rFonts w:ascii="仿宋_GB2312" w:hAnsi="仿宋_GB2312" w:cs="仿宋_GB2312" w:eastAsia="仿宋_GB2312"/>
              </w:rPr>
              <w:t>资格文件.docx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法定代表人授权书（附法定代表人、被授权人身份证复印件）及被授权人身份证（法定代表人直接参加招标，须提供法定代表人身份证明及身份证原件）；</w:t>
            </w:r>
          </w:p>
        </w:tc>
        <w:tc>
          <w:tcPr>
            <w:tcW w:type="dxa" w:w="1661"/>
          </w:tcPr>
          <w:p>
            <w:pPr>
              <w:pStyle w:val="null3"/>
            </w:pPr>
            <w:r>
              <w:rPr>
                <w:rFonts w:ascii="仿宋_GB2312" w:hAnsi="仿宋_GB2312" w:cs="仿宋_GB2312" w:eastAsia="仿宋_GB2312"/>
              </w:rPr>
              <w:t>资格文件.docx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须具有良好的商业信誉和健全的财务会计制度、履行合同所必需的设备和专业技术能力、依法缴纳税收和社会保障金的良好记录，以及参加本项目采购活动前三年内无重大违法活动记录，供应商须提供《汉中市政府采购供应商资格承诺函》并加盖公章；</w:t>
            </w:r>
          </w:p>
        </w:tc>
        <w:tc>
          <w:tcPr>
            <w:tcW w:type="dxa" w:w="1661"/>
          </w:tcPr>
          <w:p>
            <w:pPr>
              <w:pStyle w:val="null3"/>
            </w:pPr>
            <w:r>
              <w:rPr>
                <w:rFonts w:ascii="仿宋_GB2312" w:hAnsi="仿宋_GB2312" w:cs="仿宋_GB2312" w:eastAsia="仿宋_GB2312"/>
              </w:rPr>
              <w:t>资格文件.docx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企业资格</w:t>
            </w:r>
          </w:p>
        </w:tc>
        <w:tc>
          <w:tcPr>
            <w:tcW w:type="dxa" w:w="3322"/>
          </w:tcPr>
          <w:p>
            <w:pPr>
              <w:pStyle w:val="null3"/>
            </w:pPr>
            <w:r>
              <w:rPr>
                <w:rFonts w:ascii="仿宋_GB2312" w:hAnsi="仿宋_GB2312" w:cs="仿宋_GB2312" w:eastAsia="仿宋_GB2312"/>
              </w:rPr>
              <w:t>供应商应具备市政公用工程施工总承包三级（含三级）以上企业资质，且具备有效的安全生产许可证；</w:t>
            </w:r>
          </w:p>
        </w:tc>
        <w:tc>
          <w:tcPr>
            <w:tcW w:type="dxa" w:w="1661"/>
          </w:tcPr>
          <w:p>
            <w:pPr>
              <w:pStyle w:val="null3"/>
            </w:pPr>
            <w:r>
              <w:rPr>
                <w:rFonts w:ascii="仿宋_GB2312" w:hAnsi="仿宋_GB2312" w:cs="仿宋_GB2312" w:eastAsia="仿宋_GB2312"/>
              </w:rPr>
              <w:t>资格文件.docx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项目经理资格</w:t>
            </w:r>
          </w:p>
        </w:tc>
        <w:tc>
          <w:tcPr>
            <w:tcW w:type="dxa" w:w="3322"/>
          </w:tcPr>
          <w:p>
            <w:pPr>
              <w:pStyle w:val="null3"/>
            </w:pPr>
            <w:r>
              <w:rPr>
                <w:rFonts w:ascii="仿宋_GB2312" w:hAnsi="仿宋_GB2312" w:cs="仿宋_GB2312" w:eastAsia="仿宋_GB2312"/>
              </w:rPr>
              <w:t>拟派项目经理需具备市政工程专业二级（含二级）以上注册建造师执业资格及有效的安全生产考核合格证书（建安B证），且无在建工程；</w:t>
            </w:r>
          </w:p>
        </w:tc>
        <w:tc>
          <w:tcPr>
            <w:tcW w:type="dxa" w:w="1661"/>
          </w:tcPr>
          <w:p>
            <w:pPr>
              <w:pStyle w:val="null3"/>
            </w:pPr>
            <w:r>
              <w:rPr>
                <w:rFonts w:ascii="仿宋_GB2312" w:hAnsi="仿宋_GB2312" w:cs="仿宋_GB2312" w:eastAsia="仿宋_GB2312"/>
              </w:rPr>
              <w:t>资格文件.docx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应符合“响应文件格式”和磋商文件要求</w:t>
            </w:r>
          </w:p>
        </w:tc>
        <w:tc>
          <w:tcPr>
            <w:tcW w:type="dxa" w:w="1661"/>
          </w:tcPr>
          <w:p>
            <w:pPr>
              <w:pStyle w:val="null3"/>
            </w:pPr>
            <w:r>
              <w:rPr>
                <w:rFonts w:ascii="仿宋_GB2312" w:hAnsi="仿宋_GB2312" w:cs="仿宋_GB2312" w:eastAsia="仿宋_GB2312"/>
              </w:rPr>
              <w:t>业绩.docx 服务内容及服务邀请应答表 中小企业声明函 商务应答表 其他证明材料.docx 报价表 响应文件封面 残疾人福利性单位声明函 投标报价.docx 服务方案 标的清单 资格文件.docx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响应文件格式、语言、计量单位、报价货币；</w:t>
            </w:r>
          </w:p>
        </w:tc>
        <w:tc>
          <w:tcPr>
            <w:tcW w:type="dxa" w:w="3322"/>
          </w:tcPr>
          <w:p>
            <w:pPr>
              <w:pStyle w:val="null3"/>
            </w:pPr>
            <w:r>
              <w:rPr>
                <w:rFonts w:ascii="仿宋_GB2312" w:hAnsi="仿宋_GB2312" w:cs="仿宋_GB2312" w:eastAsia="仿宋_GB2312"/>
              </w:rPr>
              <w:t>应符合“响应文件格式”和磋商文件要求</w:t>
            </w:r>
          </w:p>
        </w:tc>
        <w:tc>
          <w:tcPr>
            <w:tcW w:type="dxa" w:w="1661"/>
          </w:tcPr>
          <w:p>
            <w:pPr>
              <w:pStyle w:val="null3"/>
            </w:pPr>
            <w:r>
              <w:rPr>
                <w:rFonts w:ascii="仿宋_GB2312" w:hAnsi="仿宋_GB2312" w:cs="仿宋_GB2312" w:eastAsia="仿宋_GB2312"/>
              </w:rPr>
              <w:t>业绩.docx 服务内容及服务邀请应答表 中小企业声明函 商务应答表 其他证明材料.docx 报价表 响应文件封面 残疾人福利性单位声明函 投标报价.docx 服务方案 标的清单 资格文件.docx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只能有一个有效报价，不得提交选择性报价，且报价不超过采购预算（最高限价）金额。</w:t>
            </w:r>
          </w:p>
        </w:tc>
        <w:tc>
          <w:tcPr>
            <w:tcW w:type="dxa" w:w="1661"/>
          </w:tcPr>
          <w:p>
            <w:pPr>
              <w:pStyle w:val="null3"/>
            </w:pPr>
            <w:r>
              <w:rPr>
                <w:rFonts w:ascii="仿宋_GB2312" w:hAnsi="仿宋_GB2312" w:cs="仿宋_GB2312" w:eastAsia="仿宋_GB2312"/>
              </w:rPr>
              <w:t>响应文件封面 投标报价.docx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响应文件响应程度，响应内容，工期，质量；</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业绩.docx 服务内容及服务邀请应答表 中小企业声明函 商务应答表 其他证明材料.docx 报价表 响应文件封面 残疾人福利性单位声明函 投标报价.docx 服务方案 标的清单 资格文件.docx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对项目情况分析认识切合实际、合理，对该项目工作实施重点难点理解程度高，描述准确计9-13分；对项目情况分析认识较为实际、合理，对该项目工作实施重点难点理解程度比较高，描述比较准确计4-9分；对项目情况分析认识合理性一般，对该项目工作实施重点难点理解程度一般，描述一般计1-4分；对不提供项目情况分析认识，对该项目工作实施重点理解程度无描述计0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针对本项目制订总体方案：方案描述详细，架构完整，满足国家规范及磋商文件要求，能充分体现项目需求计8-12分；总体方案描述一般，基本满足的计4-8分；总体方案描述不详细，较差的计0-4分；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针对各阶段的工作具有合理可靠的质量、安全、进度等的技术保证措施，能够完全满足或优于项目要求计12-7分，基本满足项目需求计7-4分，不能满足项目需求计0-4分。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针对本项目服务工作所提出的合理化建议的全面性、可行性、必要性等情况进行综合赋分。根据响应程度综合计分，能满足要求且实施契合度高得8-11分，基本满足要求计5-8分，不能满足或不适用计0-5分。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项目实施进度计划</w:t>
            </w:r>
          </w:p>
        </w:tc>
        <w:tc>
          <w:tcPr>
            <w:tcW w:type="dxa" w:w="2492"/>
          </w:tcPr>
          <w:p>
            <w:pPr>
              <w:pStyle w:val="null3"/>
            </w:pPr>
            <w:r>
              <w:rPr>
                <w:rFonts w:ascii="仿宋_GB2312" w:hAnsi="仿宋_GB2312" w:cs="仿宋_GB2312" w:eastAsia="仿宋_GB2312"/>
              </w:rPr>
              <w:t>项目实施进度计划合理，可操作性强，针对特殊情况有应急方案及措施，具备丰富的处理危机能力、公关能力强，据响应程度横向比较综合计分，能满足要求且实施契合度高得8-10分，基本满足要求计5-8分，不能满足或不适用计0-5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项目组成员专业结构合理（须提供人员架构表及项目经理、技术负责人、五大员人员证书社保等，如有其他资料可自行补充），每提供一人得1分，满分为7分，不提供不得分。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公司业绩</w:t>
            </w:r>
          </w:p>
        </w:tc>
        <w:tc>
          <w:tcPr>
            <w:tcW w:type="dxa" w:w="2492"/>
          </w:tcPr>
          <w:p>
            <w:pPr>
              <w:pStyle w:val="null3"/>
            </w:pPr>
            <w:r>
              <w:rPr>
                <w:rFonts w:ascii="仿宋_GB2312" w:hAnsi="仿宋_GB2312" w:cs="仿宋_GB2312" w:eastAsia="仿宋_GB2312"/>
              </w:rPr>
              <w:t>公司2023年以来类似业绩，每提供1份得2.5分，最高得5分。（以磋商响应文件中提供的合同或中标通知书为准，涉及商业机密部分可打马赛克，但由此带来的业绩认定问题等，由供应商自行承担）</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价格分统一采用低价优先法计算，即满足磋商文件要求且投标价格最低的投标报价为投标基准价，其价格分为满分。其他供应商的价格分统一按照下列公式计算： 投标报价得分=(投标基准价／投标报价)×价格权值30%×100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详见附件：资格文件.docx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详见附件：投标报价.docx</w:t>
      </w:r>
    </w:p>
    <w:p>
      <w:pPr>
        <w:pStyle w:val="null3"/>
        <w:ind w:firstLine="960"/>
      </w:pPr>
      <w:r>
        <w:rPr>
          <w:rFonts w:ascii="仿宋_GB2312" w:hAnsi="仿宋_GB2312" w:cs="仿宋_GB2312" w:eastAsia="仿宋_GB2312"/>
        </w:rPr>
        <w:t>详见附件：其他证明材料.docx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