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904038">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outlineLvl w:val="9"/>
        <w:rPr>
          <w:rFonts w:hint="eastAsia" w:ascii="仿宋" w:hAnsi="仿宋" w:eastAsia="仿宋" w:cs="仿宋"/>
          <w:b/>
          <w:bCs/>
          <w:sz w:val="32"/>
          <w:szCs w:val="32"/>
          <w:lang w:eastAsia="zh-CN"/>
        </w:rPr>
      </w:pPr>
      <w:r>
        <w:rPr>
          <w:rFonts w:hint="eastAsia" w:ascii="仿宋" w:hAnsi="仿宋" w:eastAsia="仿宋" w:cs="仿宋"/>
          <w:b/>
          <w:bCs/>
          <w:w w:val="98"/>
          <w:sz w:val="44"/>
          <w:szCs w:val="44"/>
          <w:lang w:val="en-US" w:eastAsia="zh-CN"/>
        </w:rPr>
        <w:t>采购需求</w:t>
      </w:r>
    </w:p>
    <w:p w14:paraId="09B6942D">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02" w:firstLineChars="200"/>
        <w:textAlignment w:val="auto"/>
        <w:outlineLvl w:val="9"/>
        <w:rPr>
          <w:rFonts w:hint="eastAsia" w:ascii="仿宋" w:hAnsi="仿宋" w:eastAsia="仿宋" w:cs="仿宋"/>
          <w:b/>
          <w:bCs/>
          <w:sz w:val="30"/>
          <w:szCs w:val="30"/>
          <w:lang w:val="en-US" w:eastAsia="zh-CN"/>
        </w:rPr>
      </w:pPr>
      <w:r>
        <w:rPr>
          <w:rFonts w:hint="eastAsia" w:ascii="仿宋" w:hAnsi="仿宋" w:eastAsia="仿宋" w:cs="仿宋"/>
          <w:b/>
          <w:bCs/>
          <w:kern w:val="2"/>
          <w:sz w:val="30"/>
          <w:szCs w:val="30"/>
          <w:lang w:val="en-US" w:eastAsia="zh-CN" w:bidi="ar-SA"/>
        </w:rPr>
        <w:t>一、</w:t>
      </w:r>
      <w:r>
        <w:rPr>
          <w:rFonts w:hint="eastAsia" w:ascii="仿宋" w:hAnsi="仿宋" w:eastAsia="仿宋" w:cs="仿宋"/>
          <w:b/>
          <w:bCs/>
          <w:sz w:val="30"/>
          <w:szCs w:val="30"/>
          <w:lang w:val="en-US" w:eastAsia="zh-CN"/>
        </w:rPr>
        <w:t>项目概况</w:t>
      </w:r>
    </w:p>
    <w:p w14:paraId="199BB463">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00" w:firstLineChars="200"/>
        <w:textAlignment w:val="auto"/>
        <w:outlineLvl w:val="9"/>
        <w:rPr>
          <w:rFonts w:hint="eastAsia" w:ascii="仿宋" w:hAnsi="仿宋" w:eastAsia="仿宋" w:cs="仿宋"/>
          <w:sz w:val="30"/>
          <w:szCs w:val="30"/>
          <w:lang w:eastAsia="zh-CN"/>
        </w:rPr>
      </w:pPr>
      <w:r>
        <w:rPr>
          <w:rFonts w:hint="eastAsia" w:ascii="仿宋" w:hAnsi="仿宋" w:eastAsia="仿宋" w:cs="仿宋"/>
          <w:sz w:val="30"/>
          <w:szCs w:val="30"/>
          <w:lang w:eastAsia="zh-CN"/>
        </w:rPr>
        <w:t>按照</w:t>
      </w:r>
      <w:r>
        <w:rPr>
          <w:rFonts w:hint="eastAsia" w:ascii="仿宋" w:hAnsi="仿宋" w:eastAsia="仿宋" w:cs="仿宋"/>
          <w:sz w:val="30"/>
          <w:szCs w:val="30"/>
          <w:lang w:val="en-US" w:eastAsia="zh-CN"/>
        </w:rPr>
        <w:t>工贸行业</w:t>
      </w:r>
      <w:r>
        <w:rPr>
          <w:rFonts w:hint="eastAsia" w:ascii="仿宋" w:hAnsi="仿宋" w:eastAsia="仿宋" w:cs="仿宋"/>
          <w:sz w:val="30"/>
          <w:szCs w:val="30"/>
          <w:lang w:eastAsia="zh-CN"/>
        </w:rPr>
        <w:t>安全生产治本攻坚三年行动要求，对</w:t>
      </w:r>
      <w:r>
        <w:rPr>
          <w:rFonts w:hint="eastAsia" w:ascii="仿宋" w:hAnsi="仿宋" w:eastAsia="仿宋" w:cs="仿宋"/>
          <w:sz w:val="30"/>
          <w:szCs w:val="30"/>
          <w:lang w:val="en-US" w:eastAsia="zh-CN"/>
        </w:rPr>
        <w:t>涉及金属熔融工艺的5家工贸企</w:t>
      </w:r>
      <w:r>
        <w:rPr>
          <w:rFonts w:hint="eastAsia" w:ascii="仿宋" w:hAnsi="仿宋" w:eastAsia="仿宋" w:cs="仿宋"/>
          <w:sz w:val="30"/>
          <w:szCs w:val="30"/>
          <w:lang w:eastAsia="zh-CN"/>
        </w:rPr>
        <w:t>业开展安全风险评估工作。通过评估，切实查找影响</w:t>
      </w:r>
      <w:r>
        <w:rPr>
          <w:rFonts w:hint="eastAsia" w:ascii="仿宋" w:hAnsi="仿宋" w:eastAsia="仿宋" w:cs="仿宋"/>
          <w:sz w:val="30"/>
          <w:szCs w:val="30"/>
          <w:lang w:val="en-US" w:eastAsia="zh-CN"/>
        </w:rPr>
        <w:t>金属熔融企业</w:t>
      </w:r>
      <w:r>
        <w:rPr>
          <w:rFonts w:hint="eastAsia" w:ascii="仿宋" w:hAnsi="仿宋" w:eastAsia="仿宋" w:cs="仿宋"/>
          <w:sz w:val="30"/>
          <w:szCs w:val="30"/>
          <w:lang w:eastAsia="zh-CN"/>
        </w:rPr>
        <w:t>安全生产的共性问题、突出问题和深层次问题，研判</w:t>
      </w:r>
      <w:r>
        <w:rPr>
          <w:rFonts w:hint="eastAsia" w:ascii="仿宋" w:hAnsi="仿宋" w:eastAsia="仿宋" w:cs="仿宋"/>
          <w:sz w:val="30"/>
          <w:szCs w:val="30"/>
          <w:lang w:val="en-US" w:eastAsia="zh-CN"/>
        </w:rPr>
        <w:t>此类</w:t>
      </w:r>
      <w:r>
        <w:rPr>
          <w:rFonts w:hint="eastAsia" w:ascii="仿宋" w:hAnsi="仿宋" w:eastAsia="仿宋" w:cs="仿宋"/>
          <w:sz w:val="30"/>
          <w:szCs w:val="30"/>
          <w:lang w:eastAsia="zh-CN"/>
        </w:rPr>
        <w:t>企业存在的系统性风险隐患，提升防范化解重大安全风险能力，推动企业落实安全生产主体责任，</w:t>
      </w:r>
      <w:r>
        <w:rPr>
          <w:rFonts w:hint="eastAsia" w:ascii="仿宋" w:hAnsi="仿宋" w:eastAsia="仿宋" w:cs="仿宋"/>
          <w:sz w:val="30"/>
          <w:szCs w:val="30"/>
          <w:lang w:val="en-US" w:eastAsia="zh-CN"/>
        </w:rPr>
        <w:t>协助行业部门制定精准监管方案和计划，做好</w:t>
      </w:r>
      <w:r>
        <w:rPr>
          <w:rFonts w:hint="eastAsia" w:ascii="仿宋" w:hAnsi="仿宋" w:eastAsia="仿宋" w:cs="仿宋"/>
          <w:sz w:val="30"/>
          <w:szCs w:val="30"/>
          <w:lang w:eastAsia="zh-CN"/>
        </w:rPr>
        <w:t>提升企业本质安全水平和安全管理能力。</w:t>
      </w:r>
    </w:p>
    <w:p w14:paraId="5F51183B">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02" w:firstLineChars="200"/>
        <w:textAlignment w:val="auto"/>
        <w:outlineLvl w:val="9"/>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二、技术要求</w:t>
      </w:r>
    </w:p>
    <w:p w14:paraId="298A8737">
      <w:pPr>
        <w:pStyle w:val="6"/>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kern w:val="2"/>
          <w:sz w:val="30"/>
          <w:szCs w:val="30"/>
          <w:lang w:val="en-US" w:eastAsia="zh-CN" w:bidi="ar-SA"/>
        </w:rPr>
      </w:pPr>
      <w:r>
        <w:rPr>
          <w:rFonts w:hint="eastAsia" w:ascii="仿宋" w:hAnsi="仿宋" w:eastAsia="仿宋" w:cs="仿宋"/>
          <w:kern w:val="2"/>
          <w:sz w:val="30"/>
          <w:szCs w:val="30"/>
          <w:lang w:val="en-US" w:eastAsia="zh-CN" w:bidi="ar-SA"/>
        </w:rPr>
        <w:t>（一）围绕每家金属熔融企业开展八个方面的风险评估工作，一是基础管理风险评估，二是工艺与设备设施风险评估，三是作业活动风险评估，四是作业环境和现场风险评估，五是重点监管部门风险评估，六是应急管理风险评估，七是风险辨识、分级与管控，八是评估结论和建议。</w:t>
      </w:r>
    </w:p>
    <w:p w14:paraId="4F02D107">
      <w:pPr>
        <w:pStyle w:val="6"/>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kern w:val="2"/>
          <w:sz w:val="30"/>
          <w:szCs w:val="30"/>
          <w:lang w:val="en-US" w:eastAsia="zh-CN" w:bidi="ar-SA"/>
        </w:rPr>
      </w:pPr>
      <w:r>
        <w:rPr>
          <w:rFonts w:hint="eastAsia" w:ascii="仿宋" w:hAnsi="仿宋" w:eastAsia="仿宋" w:cs="仿宋"/>
          <w:kern w:val="2"/>
          <w:sz w:val="30"/>
          <w:szCs w:val="30"/>
          <w:lang w:val="en-US" w:eastAsia="zh-CN" w:bidi="ar-SA"/>
        </w:rPr>
        <w:t>（二）以风险评估结果为核心依据，协助行业部门完善风险分级分类监管，针对不同企业提出监管重点、监管频次与监管方式的指导性建议。针对高风险企业，锁定关键风险环节与薄弱点位，建立重点监管清单，实施精准化、常态化监管；针对中低风险企业，侧重指导帮扶与动态监测，避免“一刀切”式监管资源浪费。推动监管工作从“粗放式全覆盖”向“精准化靶向监管”升级，全面提升辖区金属熔融企业的安全生产监管效能。</w:t>
      </w:r>
    </w:p>
    <w:p w14:paraId="4BD9EFB1">
      <w:pPr>
        <w:pStyle w:val="6"/>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kern w:val="2"/>
          <w:sz w:val="30"/>
          <w:szCs w:val="30"/>
          <w:lang w:val="en-US" w:eastAsia="zh-CN" w:bidi="ar-SA"/>
        </w:rPr>
      </w:pPr>
      <w:r>
        <w:rPr>
          <w:rFonts w:hint="eastAsia" w:ascii="仿宋" w:hAnsi="仿宋" w:eastAsia="仿宋" w:cs="仿宋"/>
          <w:kern w:val="2"/>
          <w:sz w:val="30"/>
          <w:szCs w:val="30"/>
          <w:lang w:val="en-US" w:eastAsia="zh-CN" w:bidi="ar-SA"/>
        </w:rPr>
        <w:t>（三）指导金属熔融企业对存在问题实施整改提升。</w:t>
      </w:r>
    </w:p>
    <w:p w14:paraId="67564A5D">
      <w:pPr>
        <w:pStyle w:val="6"/>
        <w:keepNext w:val="0"/>
        <w:keepLines w:val="0"/>
        <w:pageBreakBefore w:val="0"/>
        <w:kinsoku/>
        <w:wordWrap/>
        <w:overflowPunct/>
        <w:topLinePunct w:val="0"/>
        <w:autoSpaceDE/>
        <w:autoSpaceDN/>
        <w:bidi w:val="0"/>
        <w:adjustRightInd/>
        <w:snapToGrid/>
        <w:spacing w:line="560" w:lineRule="exact"/>
        <w:ind w:firstLine="602" w:firstLineChars="200"/>
        <w:textAlignment w:val="auto"/>
        <w:rPr>
          <w:rFonts w:hint="eastAsia" w:ascii="仿宋" w:hAnsi="仿宋" w:eastAsia="仿宋" w:cs="仿宋"/>
          <w:b/>
          <w:bCs/>
          <w:kern w:val="2"/>
          <w:sz w:val="30"/>
          <w:szCs w:val="30"/>
          <w:lang w:val="en-US" w:eastAsia="zh-CN" w:bidi="ar-SA"/>
        </w:rPr>
      </w:pPr>
      <w:r>
        <w:rPr>
          <w:rFonts w:hint="eastAsia" w:ascii="仿宋" w:hAnsi="仿宋" w:eastAsia="仿宋" w:cs="仿宋"/>
          <w:b/>
          <w:bCs/>
          <w:kern w:val="2"/>
          <w:sz w:val="30"/>
          <w:szCs w:val="30"/>
          <w:lang w:val="en-US" w:eastAsia="zh-CN" w:bidi="ar-SA"/>
        </w:rPr>
        <w:t>三、成果要求</w:t>
      </w:r>
    </w:p>
    <w:p w14:paraId="13179C39">
      <w:pPr>
        <w:pStyle w:val="6"/>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kern w:val="2"/>
          <w:sz w:val="30"/>
          <w:szCs w:val="30"/>
          <w:lang w:val="en-US" w:eastAsia="zh-CN" w:bidi="ar-SA"/>
        </w:rPr>
      </w:pPr>
      <w:r>
        <w:rPr>
          <w:rFonts w:hint="eastAsia" w:ascii="仿宋" w:hAnsi="仿宋" w:eastAsia="仿宋" w:cs="仿宋"/>
          <w:kern w:val="2"/>
          <w:sz w:val="30"/>
          <w:szCs w:val="30"/>
          <w:lang w:val="en-US" w:eastAsia="zh-CN" w:bidi="ar-SA"/>
        </w:rPr>
        <w:t>1.各企业风险评估报告（问题描述清晰，并配有图示、数据等说明，要注明所列有关国家法律法规、国家标准、行业标准等）</w:t>
      </w:r>
    </w:p>
    <w:p w14:paraId="0443EECA">
      <w:pPr>
        <w:pStyle w:val="6"/>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kern w:val="2"/>
          <w:sz w:val="30"/>
          <w:szCs w:val="30"/>
          <w:lang w:val="en-US" w:eastAsia="zh-CN" w:bidi="ar-SA"/>
        </w:rPr>
      </w:pPr>
      <w:r>
        <w:rPr>
          <w:rFonts w:hint="eastAsia" w:ascii="仿宋" w:hAnsi="仿宋" w:eastAsia="仿宋" w:cs="仿宋"/>
          <w:kern w:val="2"/>
          <w:sz w:val="30"/>
          <w:szCs w:val="30"/>
          <w:lang w:val="en-US" w:eastAsia="zh-CN" w:bidi="ar-SA"/>
        </w:rPr>
        <w:t>2.金属熔融企业自查表（企业自查表所列项除金属熔融企业常见自查内容外，还应根据可能导致的次生灾害的潜在风险进行描述）</w:t>
      </w:r>
    </w:p>
    <w:p w14:paraId="40ED0F25">
      <w:pPr>
        <w:pStyle w:val="6"/>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kern w:val="2"/>
          <w:sz w:val="30"/>
          <w:szCs w:val="30"/>
          <w:lang w:val="en-US" w:eastAsia="zh-CN" w:bidi="ar-SA"/>
        </w:rPr>
      </w:pPr>
      <w:r>
        <w:rPr>
          <w:rFonts w:hint="eastAsia" w:ascii="仿宋" w:hAnsi="仿宋" w:eastAsia="仿宋" w:cs="仿宋"/>
          <w:kern w:val="2"/>
          <w:sz w:val="30"/>
          <w:szCs w:val="30"/>
          <w:lang w:val="en-US" w:eastAsia="zh-CN" w:bidi="ar-SA"/>
        </w:rPr>
        <w:t>3.金属熔融企业整体风险评估报告（金属熔融企业对周边环境及企业的影响，行业部门如何利用现有资源分级分类做好监管，属地、行业部门对可能发生的突发事件利用周边资源如何预防和控制）</w:t>
      </w:r>
    </w:p>
    <w:p w14:paraId="722B1A0B">
      <w:pPr>
        <w:pStyle w:val="6"/>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kern w:val="2"/>
          <w:sz w:val="30"/>
          <w:szCs w:val="30"/>
          <w:lang w:val="en-US" w:eastAsia="zh-CN" w:bidi="ar-SA"/>
        </w:rPr>
      </w:pPr>
      <w:r>
        <w:rPr>
          <w:rFonts w:hint="eastAsia" w:ascii="仿宋" w:hAnsi="仿宋" w:eastAsia="仿宋" w:cs="仿宋"/>
          <w:kern w:val="2"/>
          <w:sz w:val="30"/>
          <w:szCs w:val="30"/>
          <w:lang w:val="en-US" w:eastAsia="zh-CN" w:bidi="ar-SA"/>
        </w:rPr>
        <w:t>4.行业部门或属地专项检查表（除了对金属熔融企业专项检查内容外，还应增加可能导致火灾爆炸事故等的潜在风险和火灾爆炸后可能造成次生灾害的风险隐患）</w:t>
      </w:r>
    </w:p>
    <w:p w14:paraId="21886436">
      <w:pPr>
        <w:pStyle w:val="6"/>
        <w:keepNext w:val="0"/>
        <w:keepLines w:val="0"/>
        <w:pageBreakBefore w:val="0"/>
        <w:kinsoku/>
        <w:wordWrap/>
        <w:overflowPunct/>
        <w:topLinePunct w:val="0"/>
        <w:autoSpaceDE/>
        <w:autoSpaceDN/>
        <w:bidi w:val="0"/>
        <w:adjustRightInd/>
        <w:snapToGrid/>
        <w:spacing w:line="560" w:lineRule="exact"/>
        <w:ind w:firstLine="602" w:firstLineChars="200"/>
        <w:textAlignment w:val="auto"/>
        <w:rPr>
          <w:rFonts w:hint="eastAsia" w:ascii="仿宋" w:hAnsi="仿宋" w:eastAsia="仿宋" w:cs="仿宋"/>
          <w:b/>
          <w:bCs/>
          <w:kern w:val="2"/>
          <w:sz w:val="30"/>
          <w:szCs w:val="30"/>
          <w:lang w:val="en-US" w:eastAsia="zh-CN" w:bidi="ar-SA"/>
        </w:rPr>
      </w:pPr>
      <w:r>
        <w:rPr>
          <w:rFonts w:hint="eastAsia" w:ascii="仿宋" w:hAnsi="仿宋" w:eastAsia="仿宋" w:cs="仿宋"/>
          <w:b/>
          <w:bCs/>
          <w:kern w:val="2"/>
          <w:sz w:val="30"/>
          <w:szCs w:val="30"/>
          <w:lang w:val="en-US" w:eastAsia="zh-CN" w:bidi="ar-SA"/>
        </w:rPr>
        <w:t>四、人员配置要求</w:t>
      </w:r>
    </w:p>
    <w:p w14:paraId="3F824A82">
      <w:pPr>
        <w:pStyle w:val="6"/>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kern w:val="2"/>
          <w:sz w:val="30"/>
          <w:szCs w:val="30"/>
          <w:lang w:val="en-US" w:eastAsia="zh-CN" w:bidi="ar-SA"/>
        </w:rPr>
      </w:pPr>
      <w:r>
        <w:rPr>
          <w:rFonts w:hint="eastAsia" w:ascii="仿宋" w:hAnsi="仿宋" w:eastAsia="仿宋" w:cs="仿宋"/>
          <w:kern w:val="2"/>
          <w:sz w:val="30"/>
          <w:szCs w:val="30"/>
          <w:lang w:val="en-US" w:eastAsia="zh-CN" w:bidi="ar-SA"/>
        </w:rPr>
        <w:t>企业风险评估工作成立评估工作组，评估组不少于3名省市库工贸领域专家，其中金属熔融领域专家不少于1名。并配备1名技术人员负责评估报告编制工作。</w:t>
      </w:r>
    </w:p>
    <w:p w14:paraId="49D45C96">
      <w:pPr>
        <w:pStyle w:val="6"/>
        <w:keepNext w:val="0"/>
        <w:keepLines w:val="0"/>
        <w:pageBreakBefore w:val="0"/>
        <w:numPr>
          <w:ilvl w:val="0"/>
          <w:numId w:val="1"/>
        </w:numPr>
        <w:kinsoku/>
        <w:wordWrap/>
        <w:overflowPunct/>
        <w:topLinePunct w:val="0"/>
        <w:autoSpaceDE/>
        <w:autoSpaceDN/>
        <w:bidi w:val="0"/>
        <w:adjustRightInd/>
        <w:snapToGrid/>
        <w:spacing w:line="560" w:lineRule="exact"/>
        <w:ind w:firstLine="602" w:firstLineChars="200"/>
        <w:textAlignment w:val="auto"/>
        <w:rPr>
          <w:rFonts w:hint="eastAsia" w:ascii="仿宋" w:hAnsi="仿宋" w:eastAsia="仿宋" w:cs="仿宋"/>
          <w:b/>
          <w:bCs/>
          <w:kern w:val="2"/>
          <w:sz w:val="30"/>
          <w:szCs w:val="30"/>
          <w:lang w:val="en-US" w:eastAsia="zh-CN" w:bidi="ar-SA"/>
        </w:rPr>
      </w:pPr>
      <w:r>
        <w:rPr>
          <w:rFonts w:hint="eastAsia" w:ascii="仿宋" w:hAnsi="仿宋" w:eastAsia="仿宋" w:cs="仿宋"/>
          <w:b/>
          <w:bCs/>
          <w:kern w:val="2"/>
          <w:sz w:val="30"/>
          <w:szCs w:val="30"/>
          <w:lang w:val="en-US" w:eastAsia="zh-CN" w:bidi="ar-SA"/>
        </w:rPr>
        <w:t>质量验收标准或规范</w:t>
      </w:r>
    </w:p>
    <w:p w14:paraId="40D6B7E9">
      <w:pPr>
        <w:pStyle w:val="6"/>
        <w:keepNext w:val="0"/>
        <w:keepLines w:val="0"/>
        <w:pageBreakBefore w:val="0"/>
        <w:numPr>
          <w:ilvl w:val="0"/>
          <w:numId w:val="0"/>
        </w:numPr>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kern w:val="2"/>
          <w:sz w:val="30"/>
          <w:szCs w:val="30"/>
          <w:lang w:val="en-US" w:eastAsia="zh-CN" w:bidi="ar-SA"/>
        </w:rPr>
      </w:pPr>
      <w:r>
        <w:rPr>
          <w:rFonts w:hint="eastAsia" w:ascii="仿宋" w:hAnsi="仿宋" w:eastAsia="仿宋" w:cs="仿宋"/>
          <w:kern w:val="2"/>
          <w:sz w:val="30"/>
          <w:szCs w:val="30"/>
          <w:lang w:val="en-US" w:eastAsia="zh-CN" w:bidi="ar-SA"/>
        </w:rPr>
        <w:t>1.完成5份金属熔融企业风险评估报告。</w:t>
      </w:r>
    </w:p>
    <w:p w14:paraId="2BD2CCC1">
      <w:pPr>
        <w:pStyle w:val="6"/>
        <w:keepNext w:val="0"/>
        <w:keepLines w:val="0"/>
        <w:pageBreakBefore w:val="0"/>
        <w:numPr>
          <w:ilvl w:val="0"/>
          <w:numId w:val="0"/>
        </w:numPr>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kern w:val="2"/>
          <w:sz w:val="30"/>
          <w:szCs w:val="30"/>
          <w:lang w:val="en-US" w:eastAsia="zh-CN" w:bidi="ar-SA"/>
        </w:rPr>
      </w:pPr>
      <w:r>
        <w:rPr>
          <w:rFonts w:hint="eastAsia" w:ascii="仿宋" w:hAnsi="仿宋" w:eastAsia="仿宋" w:cs="仿宋"/>
          <w:kern w:val="2"/>
          <w:sz w:val="30"/>
          <w:szCs w:val="30"/>
          <w:lang w:val="en-US" w:eastAsia="zh-CN" w:bidi="ar-SA"/>
        </w:rPr>
        <w:t>2.完成5份金属熔融企业隐患自查表。</w:t>
      </w:r>
    </w:p>
    <w:p w14:paraId="09F80DDF">
      <w:pPr>
        <w:pStyle w:val="6"/>
        <w:keepNext w:val="0"/>
        <w:keepLines w:val="0"/>
        <w:pageBreakBefore w:val="0"/>
        <w:numPr>
          <w:ilvl w:val="0"/>
          <w:numId w:val="0"/>
        </w:numPr>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kern w:val="2"/>
          <w:sz w:val="30"/>
          <w:szCs w:val="30"/>
          <w:lang w:val="en-US" w:eastAsia="zh-CN" w:bidi="ar-SA"/>
        </w:rPr>
      </w:pPr>
      <w:r>
        <w:rPr>
          <w:rFonts w:hint="eastAsia" w:ascii="仿宋" w:hAnsi="仿宋" w:eastAsia="仿宋" w:cs="仿宋"/>
          <w:kern w:val="2"/>
          <w:sz w:val="30"/>
          <w:szCs w:val="30"/>
          <w:lang w:val="en-US" w:eastAsia="zh-CN" w:bidi="ar-SA"/>
        </w:rPr>
        <w:t>3.编制完成1份金属熔融企业整体风险评估报告。</w:t>
      </w:r>
    </w:p>
    <w:p w14:paraId="5DC340D2">
      <w:pPr>
        <w:pStyle w:val="6"/>
        <w:keepNext w:val="0"/>
        <w:keepLines w:val="0"/>
        <w:pageBreakBefore w:val="0"/>
        <w:numPr>
          <w:ilvl w:val="0"/>
          <w:numId w:val="0"/>
        </w:numPr>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sz w:val="32"/>
          <w:szCs w:val="32"/>
          <w:lang w:val="en-US" w:eastAsia="zh-CN"/>
        </w:rPr>
      </w:pPr>
      <w:r>
        <w:rPr>
          <w:rFonts w:hint="eastAsia" w:ascii="仿宋" w:hAnsi="仿宋" w:eastAsia="仿宋" w:cs="仿宋"/>
          <w:kern w:val="2"/>
          <w:sz w:val="30"/>
          <w:szCs w:val="30"/>
          <w:lang w:val="en-US" w:eastAsia="zh-CN" w:bidi="ar-SA"/>
        </w:rPr>
        <w:t>4.编制完成1份行业部门、属地专项检查表。</w:t>
      </w:r>
      <w:bookmarkStart w:id="0" w:name="_GoBack"/>
      <w:bookmarkEnd w:id="0"/>
    </w:p>
    <w:sectPr>
      <w:footerReference r:id="rId3" w:type="default"/>
      <w:pgSz w:w="11906" w:h="16838"/>
      <w:pgMar w:top="2098" w:right="1474" w:bottom="1984" w:left="158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altName w:val="黑体"/>
    <w:panose1 w:val="03000509000000000000"/>
    <w:charset w:val="86"/>
    <w:family w:val="auto"/>
    <w:pitch w:val="default"/>
    <w:sig w:usb0="00000000" w:usb1="00000000" w:usb2="00000000" w:usb3="00000000" w:csb0="00040000" w:csb1="00000000"/>
  </w:font>
  <w:font w:name="方正仿宋简体">
    <w:altName w:val="微软雅黑"/>
    <w:panose1 w:val="0201060103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10314">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5E963E">
                          <w:pPr>
                            <w:pStyle w:val="2"/>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E5E963E">
                    <w:pPr>
                      <w:pStyle w:val="2"/>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0507689"/>
    <w:multiLevelType w:val="singleLevel"/>
    <w:tmpl w:val="60507689"/>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581B8B"/>
    <w:rsid w:val="01597580"/>
    <w:rsid w:val="06940F6E"/>
    <w:rsid w:val="075075CA"/>
    <w:rsid w:val="07A01890"/>
    <w:rsid w:val="09634BE7"/>
    <w:rsid w:val="0A261824"/>
    <w:rsid w:val="0A4476D7"/>
    <w:rsid w:val="0D136C92"/>
    <w:rsid w:val="0E1636BF"/>
    <w:rsid w:val="0EB8358B"/>
    <w:rsid w:val="10AC1800"/>
    <w:rsid w:val="11115F53"/>
    <w:rsid w:val="13034AF5"/>
    <w:rsid w:val="154F4A0A"/>
    <w:rsid w:val="1A522E26"/>
    <w:rsid w:val="1BAB0122"/>
    <w:rsid w:val="1C8170CE"/>
    <w:rsid w:val="1D9873A5"/>
    <w:rsid w:val="1DBF0627"/>
    <w:rsid w:val="1EA709B1"/>
    <w:rsid w:val="205F1963"/>
    <w:rsid w:val="20A0611A"/>
    <w:rsid w:val="20F92D3B"/>
    <w:rsid w:val="21464F13"/>
    <w:rsid w:val="228E5906"/>
    <w:rsid w:val="24D740D4"/>
    <w:rsid w:val="27437C4F"/>
    <w:rsid w:val="2B8D757D"/>
    <w:rsid w:val="2F0852BC"/>
    <w:rsid w:val="31072A32"/>
    <w:rsid w:val="31C8370E"/>
    <w:rsid w:val="32310380"/>
    <w:rsid w:val="32501076"/>
    <w:rsid w:val="331335AE"/>
    <w:rsid w:val="33407E59"/>
    <w:rsid w:val="3422185A"/>
    <w:rsid w:val="34DD62A4"/>
    <w:rsid w:val="36A24615"/>
    <w:rsid w:val="38372745"/>
    <w:rsid w:val="38C47B18"/>
    <w:rsid w:val="39235B11"/>
    <w:rsid w:val="3AD328A7"/>
    <w:rsid w:val="3B354A03"/>
    <w:rsid w:val="3C0D6DE5"/>
    <w:rsid w:val="3C6E285E"/>
    <w:rsid w:val="3C9C3A55"/>
    <w:rsid w:val="3D7A6BA6"/>
    <w:rsid w:val="3D886E34"/>
    <w:rsid w:val="3E0517DB"/>
    <w:rsid w:val="3E3E487E"/>
    <w:rsid w:val="3E6E6CED"/>
    <w:rsid w:val="3F930576"/>
    <w:rsid w:val="41815F9D"/>
    <w:rsid w:val="42291FBB"/>
    <w:rsid w:val="432A4A7E"/>
    <w:rsid w:val="43C907A7"/>
    <w:rsid w:val="43FE0343"/>
    <w:rsid w:val="448062F4"/>
    <w:rsid w:val="45590BD0"/>
    <w:rsid w:val="45D448D6"/>
    <w:rsid w:val="47825B3E"/>
    <w:rsid w:val="47FD1CBD"/>
    <w:rsid w:val="48213BE5"/>
    <w:rsid w:val="4B427A5E"/>
    <w:rsid w:val="4BD25D26"/>
    <w:rsid w:val="4CA95044"/>
    <w:rsid w:val="4E46301E"/>
    <w:rsid w:val="4F93361D"/>
    <w:rsid w:val="509A1A8C"/>
    <w:rsid w:val="51920E9C"/>
    <w:rsid w:val="519D4DEB"/>
    <w:rsid w:val="51BB633A"/>
    <w:rsid w:val="523538C6"/>
    <w:rsid w:val="557C6DFA"/>
    <w:rsid w:val="572E1762"/>
    <w:rsid w:val="578D049F"/>
    <w:rsid w:val="57CD1512"/>
    <w:rsid w:val="5A51200D"/>
    <w:rsid w:val="5A7A0BDD"/>
    <w:rsid w:val="5E327165"/>
    <w:rsid w:val="5E5D2550"/>
    <w:rsid w:val="600F2ACE"/>
    <w:rsid w:val="6187099B"/>
    <w:rsid w:val="61927733"/>
    <w:rsid w:val="641830B8"/>
    <w:rsid w:val="68316DFE"/>
    <w:rsid w:val="69445AFD"/>
    <w:rsid w:val="69AC116A"/>
    <w:rsid w:val="6A246161"/>
    <w:rsid w:val="6A3053E5"/>
    <w:rsid w:val="6A790228"/>
    <w:rsid w:val="6CED0A2B"/>
    <w:rsid w:val="6D567859"/>
    <w:rsid w:val="6D711620"/>
    <w:rsid w:val="6F7F6802"/>
    <w:rsid w:val="6F896A73"/>
    <w:rsid w:val="6FCE37D8"/>
    <w:rsid w:val="716772A9"/>
    <w:rsid w:val="71A75115"/>
    <w:rsid w:val="71C74882"/>
    <w:rsid w:val="71F349B1"/>
    <w:rsid w:val="72555AFA"/>
    <w:rsid w:val="73865ADC"/>
    <w:rsid w:val="74D23A3D"/>
    <w:rsid w:val="75F66B4E"/>
    <w:rsid w:val="76C06094"/>
    <w:rsid w:val="779C230C"/>
    <w:rsid w:val="78363C76"/>
    <w:rsid w:val="787320B9"/>
    <w:rsid w:val="7CEE41D8"/>
    <w:rsid w:val="7F040795"/>
    <w:rsid w:val="7F464EDB"/>
    <w:rsid w:val="7F513EA8"/>
    <w:rsid w:val="7FEB34A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964</Words>
  <Characters>972</Characters>
  <Lines>0</Lines>
  <Paragraphs>0</Paragraphs>
  <TotalTime>1</TotalTime>
  <ScaleCrop>false</ScaleCrop>
  <LinksUpToDate>false</LinksUpToDate>
  <CharactersWithSpaces>972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QQQQ</cp:lastModifiedBy>
  <cp:lastPrinted>2022-04-15T07:54:00Z</cp:lastPrinted>
  <dcterms:modified xsi:type="dcterms:W3CDTF">2026-06-02T08:16:15Z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6BC67198CB414F41B696933B1DAC2305_13</vt:lpwstr>
  </property>
  <property fmtid="{D5CDD505-2E9C-101B-9397-08002B2CF9AE}" pid="4" name="KSOTemplateDocerSaveRecord">
    <vt:lpwstr>eyJoZGlkIjoiMGRmNzgyYzg4MDFhMDM5Y2U1YjQ5OTcwYmIwYjNmNzkiLCJ1c2VySWQiOiIzODkzMjE1NzcifQ==</vt:lpwstr>
  </property>
</Properties>
</file>