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2A471">
      <w:pPr>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sz w:val="28"/>
          <w:szCs w:val="28"/>
          <w:highlight w:val="none"/>
          <w:lang w:val="en-US" w:eastAsia="zh-CN"/>
        </w:rPr>
      </w:pPr>
      <w:bookmarkStart w:id="0" w:name="_Toc29294"/>
      <w:r>
        <w:rPr>
          <w:rFonts w:hint="eastAsia" w:ascii="宋体" w:hAnsi="宋体" w:eastAsia="宋体" w:cs="宋体"/>
          <w:b/>
          <w:bCs w:val="0"/>
          <w:color w:val="auto"/>
          <w:spacing w:val="0"/>
          <w:kern w:val="2"/>
          <w:sz w:val="28"/>
          <w:szCs w:val="28"/>
          <w:highlight w:val="none"/>
          <w:lang w:val="en-US" w:eastAsia="zh-CN"/>
        </w:rPr>
        <w:t>政府采购项目</w:t>
      </w:r>
      <w:bookmarkEnd w:id="0"/>
    </w:p>
    <w:p w14:paraId="3CDA4F30">
      <w:pPr>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000000" w:themeColor="text1"/>
          <w:spacing w:val="0"/>
          <w:kern w:val="2"/>
          <w:sz w:val="28"/>
          <w:szCs w:val="28"/>
          <w:highlight w:val="none"/>
          <w:lang w:val="en-US" w:eastAsia="zh-CN"/>
          <w14:textFill>
            <w14:solidFill>
              <w14:schemeClr w14:val="tx1"/>
            </w14:solidFill>
          </w14:textFill>
        </w:rPr>
      </w:pPr>
      <w:bookmarkStart w:id="1" w:name="_Toc29440"/>
      <w:r>
        <w:rPr>
          <w:rFonts w:hint="eastAsia" w:ascii="宋体" w:hAnsi="宋体" w:eastAsia="宋体" w:cs="宋体"/>
          <w:b/>
          <w:bCs w:val="0"/>
          <w:color w:val="000000" w:themeColor="text1"/>
          <w:spacing w:val="0"/>
          <w:kern w:val="2"/>
          <w:sz w:val="28"/>
          <w:szCs w:val="28"/>
          <w:highlight w:val="none"/>
          <w:lang w:val="en-US" w:eastAsia="zh-CN"/>
          <w14:textFill>
            <w14:solidFill>
              <w14:schemeClr w14:val="tx1"/>
            </w14:solidFill>
          </w14:textFill>
        </w:rPr>
        <w:t>项目编号：LJHY2026-17.2B1</w:t>
      </w:r>
    </w:p>
    <w:bookmarkEnd w:id="1"/>
    <w:p w14:paraId="10368B40">
      <w:pPr>
        <w:pStyle w:val="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spacing w:val="0"/>
          <w:kern w:val="2"/>
          <w:highlight w:val="none"/>
        </w:rPr>
      </w:pPr>
    </w:p>
    <w:p w14:paraId="504AF5C5">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val="0"/>
          <w:color w:val="auto"/>
          <w:spacing w:val="0"/>
          <w:kern w:val="2"/>
          <w:sz w:val="48"/>
          <w:szCs w:val="48"/>
          <w:highlight w:val="none"/>
          <w:lang w:val="en-US" w:eastAsia="zh-CN" w:bidi="ar-SA"/>
        </w:rPr>
      </w:pPr>
    </w:p>
    <w:p w14:paraId="476F5AFB">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val="0"/>
          <w:color w:val="auto"/>
          <w:spacing w:val="0"/>
          <w:kern w:val="2"/>
          <w:sz w:val="16"/>
          <w:szCs w:val="20"/>
          <w:highlight w:val="none"/>
        </w:rPr>
      </w:pPr>
      <w:r>
        <w:rPr>
          <w:rFonts w:hint="eastAsia" w:ascii="宋体" w:hAnsi="宋体" w:eastAsia="宋体" w:cs="宋体"/>
          <w:b/>
          <w:bCs w:val="0"/>
          <w:color w:val="auto"/>
          <w:spacing w:val="0"/>
          <w:kern w:val="2"/>
          <w:sz w:val="44"/>
          <w:szCs w:val="44"/>
          <w:highlight w:val="none"/>
          <w:lang w:val="en-US" w:eastAsia="zh-CN" w:bidi="ar-SA"/>
        </w:rPr>
        <w:t>2026年蔬菜、调味品等食品辅材第2包（二次）</w:t>
      </w:r>
    </w:p>
    <w:p w14:paraId="307D1322">
      <w:pPr>
        <w:pStyle w:val="46"/>
        <w:keepNext w:val="0"/>
        <w:keepLines w:val="0"/>
        <w:pageBreakBefore w:val="0"/>
        <w:widowControl w:val="0"/>
        <w:kinsoku/>
        <w:wordWrap w:val="0"/>
        <w:overflowPunct/>
        <w:topLinePunct/>
        <w:autoSpaceDE/>
        <w:autoSpaceDN/>
        <w:bidi w:val="0"/>
        <w:rPr>
          <w:rFonts w:hint="eastAsia" w:ascii="宋体" w:hAnsi="宋体" w:eastAsia="宋体" w:cs="宋体"/>
          <w:b/>
          <w:bCs w:val="0"/>
          <w:color w:val="auto"/>
          <w:spacing w:val="0"/>
          <w:kern w:val="2"/>
          <w:highlight w:val="none"/>
        </w:rPr>
      </w:pPr>
    </w:p>
    <w:p w14:paraId="4BDE67D1">
      <w:pPr>
        <w:pStyle w:val="14"/>
        <w:keepNext w:val="0"/>
        <w:keepLines w:val="0"/>
        <w:pageBreakBefore w:val="0"/>
        <w:widowControl w:val="0"/>
        <w:kinsoku/>
        <w:wordWrap w:val="0"/>
        <w:overflowPunct/>
        <w:topLinePunct/>
        <w:autoSpaceDE/>
        <w:autoSpaceDN/>
        <w:bidi w:val="0"/>
        <w:spacing w:after="0"/>
        <w:rPr>
          <w:rFonts w:hint="eastAsia" w:ascii="宋体" w:hAnsi="宋体" w:eastAsia="宋体" w:cs="宋体"/>
          <w:b/>
          <w:bCs w:val="0"/>
          <w:color w:val="auto"/>
          <w:spacing w:val="0"/>
          <w:kern w:val="2"/>
          <w:highlight w:val="none"/>
        </w:rPr>
      </w:pPr>
    </w:p>
    <w:p w14:paraId="3F2E6CA7">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lang w:eastAsia="zh-CN"/>
        </w:rPr>
      </w:pPr>
    </w:p>
    <w:p w14:paraId="0AF8E5C2">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lang w:eastAsia="zh-CN"/>
        </w:rPr>
      </w:pPr>
    </w:p>
    <w:p w14:paraId="3E27261B">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lang w:eastAsia="zh-CN"/>
        </w:rPr>
      </w:pPr>
    </w:p>
    <w:p w14:paraId="3E110811">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rPr>
      </w:pPr>
    </w:p>
    <w:p w14:paraId="6DADE173">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val="0"/>
          <w:color w:val="auto"/>
          <w:spacing w:val="0"/>
          <w:kern w:val="2"/>
          <w:sz w:val="44"/>
          <w:szCs w:val="44"/>
          <w:highlight w:val="none"/>
          <w:lang w:val="en-US" w:eastAsia="zh-CN" w:bidi="ar-SA"/>
        </w:rPr>
      </w:pPr>
      <w:bookmarkStart w:id="2" w:name="_Toc16388"/>
    </w:p>
    <w:p w14:paraId="5B9E26CC">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val="0"/>
          <w:color w:val="auto"/>
          <w:spacing w:val="0"/>
          <w:kern w:val="2"/>
          <w:sz w:val="44"/>
          <w:szCs w:val="44"/>
          <w:highlight w:val="none"/>
          <w:lang w:val="en-US" w:eastAsia="zh-CN" w:bidi="ar-SA"/>
        </w:rPr>
      </w:pPr>
      <w:r>
        <w:rPr>
          <w:rFonts w:hint="eastAsia" w:ascii="宋体" w:hAnsi="宋体" w:eastAsia="宋体" w:cs="宋体"/>
          <w:b/>
          <w:bCs w:val="0"/>
          <w:color w:val="auto"/>
          <w:spacing w:val="0"/>
          <w:kern w:val="2"/>
          <w:sz w:val="44"/>
          <w:szCs w:val="44"/>
          <w:highlight w:val="none"/>
          <w:lang w:val="en-US" w:eastAsia="zh-CN" w:bidi="ar-SA"/>
        </w:rPr>
        <w:t>竞争性谈判文件</w:t>
      </w:r>
      <w:bookmarkEnd w:id="2"/>
    </w:p>
    <w:p w14:paraId="40CBC7AB">
      <w:pPr>
        <w:keepNext w:val="0"/>
        <w:keepLines w:val="0"/>
        <w:pageBreakBefore w:val="0"/>
        <w:widowControl w:val="0"/>
        <w:kinsoku/>
        <w:wordWrap w:val="0"/>
        <w:overflowPunct/>
        <w:topLinePunct/>
        <w:autoSpaceDE/>
        <w:autoSpaceDN/>
        <w:bidi w:val="0"/>
        <w:ind w:firstLine="1065" w:firstLineChars="379"/>
        <w:rPr>
          <w:rFonts w:hint="eastAsia" w:ascii="宋体" w:hAnsi="宋体" w:eastAsia="宋体" w:cs="宋体"/>
          <w:b/>
          <w:bCs w:val="0"/>
          <w:color w:val="auto"/>
          <w:spacing w:val="0"/>
          <w:kern w:val="2"/>
          <w:sz w:val="28"/>
          <w:szCs w:val="28"/>
          <w:highlight w:val="none"/>
        </w:rPr>
      </w:pPr>
    </w:p>
    <w:p w14:paraId="0DB01DEA">
      <w:pPr>
        <w:keepNext w:val="0"/>
        <w:keepLines w:val="0"/>
        <w:pageBreakBefore w:val="0"/>
        <w:widowControl w:val="0"/>
        <w:kinsoku/>
        <w:wordWrap w:val="0"/>
        <w:overflowPunct/>
        <w:topLinePunct/>
        <w:autoSpaceDE/>
        <w:autoSpaceDN/>
        <w:bidi w:val="0"/>
        <w:rPr>
          <w:rFonts w:hint="eastAsia" w:ascii="宋体" w:hAnsi="宋体" w:eastAsia="宋体" w:cs="宋体"/>
          <w:b/>
          <w:bCs w:val="0"/>
          <w:color w:val="auto"/>
          <w:spacing w:val="0"/>
          <w:kern w:val="2"/>
          <w:sz w:val="32"/>
          <w:highlight w:val="none"/>
        </w:rPr>
      </w:pPr>
      <w:r>
        <w:rPr>
          <w:rFonts w:hint="eastAsia" w:ascii="宋体" w:hAnsi="宋体" w:eastAsia="宋体" w:cs="宋体"/>
          <w:b/>
          <w:bCs w:val="0"/>
          <w:color w:val="auto"/>
          <w:spacing w:val="0"/>
          <w:kern w:val="2"/>
          <w:sz w:val="32"/>
          <w:highlight w:val="none"/>
        </w:rPr>
        <w:t xml:space="preserve">         </w:t>
      </w:r>
    </w:p>
    <w:p w14:paraId="2DAE7A52">
      <w:pPr>
        <w:keepNext w:val="0"/>
        <w:keepLines w:val="0"/>
        <w:pageBreakBefore w:val="0"/>
        <w:widowControl w:val="0"/>
        <w:kinsoku/>
        <w:wordWrap w:val="0"/>
        <w:overflowPunct/>
        <w:topLinePunct/>
        <w:autoSpaceDE/>
        <w:autoSpaceDN/>
        <w:bidi w:val="0"/>
        <w:rPr>
          <w:rFonts w:hint="eastAsia" w:ascii="宋体" w:hAnsi="宋体" w:eastAsia="宋体" w:cs="宋体"/>
          <w:b/>
          <w:bCs w:val="0"/>
          <w:color w:val="auto"/>
          <w:spacing w:val="0"/>
          <w:kern w:val="2"/>
          <w:sz w:val="32"/>
          <w:highlight w:val="none"/>
        </w:rPr>
      </w:pPr>
      <w:r>
        <w:rPr>
          <w:rFonts w:hint="eastAsia" w:ascii="宋体" w:hAnsi="宋体" w:eastAsia="宋体" w:cs="宋体"/>
          <w:b/>
          <w:bCs w:val="0"/>
          <w:color w:val="auto"/>
          <w:spacing w:val="0"/>
          <w:kern w:val="2"/>
          <w:sz w:val="32"/>
          <w:highlight w:val="none"/>
        </w:rPr>
        <w:t xml:space="preserve"> </w:t>
      </w:r>
    </w:p>
    <w:p w14:paraId="51F0AF14">
      <w:pPr>
        <w:pStyle w:val="2"/>
        <w:keepNext w:val="0"/>
        <w:keepLines w:val="0"/>
        <w:pageBreakBefore w:val="0"/>
        <w:widowControl w:val="0"/>
        <w:kinsoku/>
        <w:overflowPunct/>
        <w:autoSpaceDE/>
        <w:autoSpaceDN/>
        <w:bidi w:val="0"/>
        <w:rPr>
          <w:rFonts w:hint="eastAsia" w:ascii="宋体" w:hAnsi="宋体" w:eastAsia="宋体" w:cs="宋体"/>
          <w:b/>
          <w:bCs w:val="0"/>
          <w:color w:val="auto"/>
          <w:spacing w:val="0"/>
          <w:kern w:val="2"/>
          <w:sz w:val="32"/>
          <w:highlight w:val="none"/>
        </w:rPr>
      </w:pPr>
    </w:p>
    <w:p w14:paraId="5A124CF6">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lang w:val="en-US" w:eastAsia="zh-CN"/>
        </w:rPr>
      </w:pPr>
    </w:p>
    <w:p w14:paraId="6C6D2DBD">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lang w:val="en-US" w:eastAsia="zh-CN"/>
        </w:rPr>
      </w:pPr>
    </w:p>
    <w:p w14:paraId="76F932CF">
      <w:pPr>
        <w:pStyle w:val="22"/>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val="0"/>
          <w:color w:val="auto"/>
          <w:spacing w:val="0"/>
          <w:kern w:val="2"/>
          <w:highlight w:val="none"/>
          <w:lang w:val="en-US" w:eastAsia="zh-CN"/>
        </w:rPr>
      </w:pPr>
    </w:p>
    <w:p w14:paraId="691E06A5">
      <w:pPr>
        <w:keepNext w:val="0"/>
        <w:keepLines w:val="0"/>
        <w:pageBreakBefore w:val="0"/>
        <w:widowControl w:val="0"/>
        <w:kinsoku/>
        <w:wordWrap w:val="0"/>
        <w:overflowPunct/>
        <w:topLinePunct/>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val="0"/>
          <w:color w:val="auto"/>
          <w:spacing w:val="0"/>
          <w:kern w:val="2"/>
          <w:sz w:val="30"/>
          <w:szCs w:val="30"/>
          <w:highlight w:val="none"/>
          <w:u w:val="none"/>
          <w:lang w:eastAsia="zh-CN"/>
        </w:rPr>
      </w:pPr>
      <w:bookmarkStart w:id="3" w:name="_Toc25045"/>
      <w:r>
        <w:rPr>
          <w:rFonts w:hint="eastAsia" w:ascii="宋体" w:hAnsi="宋体" w:eastAsia="宋体" w:cs="宋体"/>
          <w:b/>
          <w:bCs w:val="0"/>
          <w:color w:val="auto"/>
          <w:spacing w:val="0"/>
          <w:kern w:val="2"/>
          <w:sz w:val="30"/>
          <w:szCs w:val="30"/>
          <w:highlight w:val="none"/>
          <w:u w:val="none"/>
          <w:lang w:val="en-US" w:eastAsia="zh-CN" w:bidi="ar-SA"/>
        </w:rPr>
        <w:t>采购人: 太白县咀头镇初级中学</w:t>
      </w:r>
      <w:bookmarkEnd w:id="3"/>
      <w:r>
        <w:rPr>
          <w:rFonts w:hint="eastAsia" w:ascii="宋体" w:hAnsi="宋体" w:eastAsia="宋体" w:cs="宋体"/>
          <w:b/>
          <w:bCs w:val="0"/>
          <w:color w:val="auto"/>
          <w:spacing w:val="0"/>
          <w:kern w:val="2"/>
          <w:sz w:val="30"/>
          <w:szCs w:val="30"/>
          <w:highlight w:val="none"/>
          <w:u w:val="none"/>
          <w:lang w:val="en-US" w:eastAsia="zh-CN" w:bidi="ar-SA"/>
        </w:rPr>
        <w:t>（盖章）</w:t>
      </w:r>
    </w:p>
    <w:p w14:paraId="3033DA75">
      <w:pPr>
        <w:keepNext w:val="0"/>
        <w:keepLines w:val="0"/>
        <w:pageBreakBefore w:val="0"/>
        <w:widowControl w:val="0"/>
        <w:kinsoku/>
        <w:wordWrap w:val="0"/>
        <w:overflowPunct/>
        <w:topLinePunct/>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val="0"/>
          <w:color w:val="auto"/>
          <w:spacing w:val="0"/>
          <w:kern w:val="2"/>
          <w:sz w:val="30"/>
          <w:szCs w:val="30"/>
          <w:highlight w:val="none"/>
        </w:rPr>
      </w:pPr>
      <w:r>
        <w:rPr>
          <w:rFonts w:hint="eastAsia" w:ascii="宋体" w:hAnsi="宋体" w:eastAsia="宋体" w:cs="宋体"/>
          <w:b/>
          <w:bCs w:val="0"/>
          <w:color w:val="auto"/>
          <w:spacing w:val="0"/>
          <w:kern w:val="2"/>
          <w:sz w:val="30"/>
          <w:szCs w:val="30"/>
          <w:highlight w:val="none"/>
          <w:u w:val="none"/>
          <w:lang w:eastAsia="zh-CN"/>
        </w:rPr>
        <w:t>采购代理机构</w:t>
      </w:r>
      <w:r>
        <w:rPr>
          <w:rFonts w:hint="eastAsia" w:ascii="宋体" w:hAnsi="宋体" w:eastAsia="宋体" w:cs="宋体"/>
          <w:b/>
          <w:bCs w:val="0"/>
          <w:color w:val="auto"/>
          <w:spacing w:val="0"/>
          <w:kern w:val="2"/>
          <w:sz w:val="30"/>
          <w:szCs w:val="30"/>
          <w:highlight w:val="none"/>
          <w:u w:val="none"/>
          <w:lang w:val="en-US" w:eastAsia="zh-CN"/>
        </w:rPr>
        <w:t>:</w:t>
      </w:r>
      <w:r>
        <w:rPr>
          <w:rFonts w:hint="eastAsia" w:ascii="宋体" w:hAnsi="宋体" w:eastAsia="宋体" w:cs="宋体"/>
          <w:b/>
          <w:bCs w:val="0"/>
          <w:color w:val="auto"/>
          <w:spacing w:val="0"/>
          <w:kern w:val="2"/>
          <w:sz w:val="30"/>
          <w:szCs w:val="30"/>
          <w:highlight w:val="none"/>
          <w:u w:val="none"/>
          <w:lang w:eastAsia="zh-CN"/>
        </w:rPr>
        <w:t>陕西利锦弘云项目咨询管理有限公司（</w:t>
      </w:r>
      <w:r>
        <w:rPr>
          <w:rFonts w:hint="eastAsia" w:ascii="宋体" w:hAnsi="宋体" w:eastAsia="宋体" w:cs="宋体"/>
          <w:b/>
          <w:bCs w:val="0"/>
          <w:color w:val="auto"/>
          <w:spacing w:val="0"/>
          <w:kern w:val="2"/>
          <w:sz w:val="30"/>
          <w:szCs w:val="30"/>
          <w:highlight w:val="none"/>
          <w:u w:val="none"/>
          <w:lang w:val="en-US" w:eastAsia="zh-CN"/>
        </w:rPr>
        <w:t>盖章</w:t>
      </w:r>
      <w:r>
        <w:rPr>
          <w:rFonts w:hint="eastAsia" w:ascii="宋体" w:hAnsi="宋体" w:eastAsia="宋体" w:cs="宋体"/>
          <w:b/>
          <w:bCs w:val="0"/>
          <w:color w:val="auto"/>
          <w:spacing w:val="0"/>
          <w:kern w:val="2"/>
          <w:sz w:val="30"/>
          <w:szCs w:val="30"/>
          <w:highlight w:val="none"/>
          <w:u w:val="none"/>
          <w:lang w:eastAsia="zh-CN"/>
        </w:rPr>
        <w:t>）</w:t>
      </w:r>
    </w:p>
    <w:p w14:paraId="5F6F36FE">
      <w:pPr>
        <w:pStyle w:val="20"/>
        <w:keepNext w:val="0"/>
        <w:keepLines w:val="0"/>
        <w:pageBreakBefore w:val="0"/>
        <w:widowControl w:val="0"/>
        <w:tabs>
          <w:tab w:val="right" w:leader="dot" w:pos="9178"/>
        </w:tabs>
        <w:kinsoku/>
        <w:wordWrap w:val="0"/>
        <w:overflowPunct/>
        <w:topLinePunct/>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val="0"/>
          <w:color w:val="auto"/>
          <w:spacing w:val="0"/>
          <w:kern w:val="2"/>
          <w:sz w:val="30"/>
          <w:szCs w:val="30"/>
          <w:highlight w:val="none"/>
        </w:rPr>
      </w:pPr>
      <w:r>
        <w:rPr>
          <w:rFonts w:hint="eastAsia" w:ascii="宋体" w:hAnsi="宋体" w:eastAsia="宋体" w:cs="宋体"/>
          <w:b/>
          <w:bCs w:val="0"/>
          <w:color w:val="auto"/>
          <w:spacing w:val="0"/>
          <w:kern w:val="2"/>
          <w:sz w:val="30"/>
          <w:szCs w:val="30"/>
          <w:highlight w:val="none"/>
        </w:rPr>
        <w:t>二</w:t>
      </w:r>
      <w:r>
        <w:rPr>
          <w:rFonts w:hint="eastAsia" w:ascii="宋体" w:hAnsi="宋体" w:eastAsia="宋体" w:cs="宋体"/>
          <w:b/>
          <w:bCs w:val="0"/>
          <w:color w:val="auto"/>
          <w:spacing w:val="0"/>
          <w:kern w:val="2"/>
          <w:sz w:val="30"/>
          <w:szCs w:val="30"/>
          <w:highlight w:val="none"/>
          <w:lang w:eastAsia="zh-CN"/>
        </w:rPr>
        <w:t>○二</w:t>
      </w:r>
      <w:r>
        <w:rPr>
          <w:rFonts w:hint="eastAsia" w:ascii="宋体" w:hAnsi="宋体" w:eastAsia="宋体" w:cs="宋体"/>
          <w:b/>
          <w:bCs w:val="0"/>
          <w:color w:val="auto"/>
          <w:spacing w:val="0"/>
          <w:kern w:val="2"/>
          <w:sz w:val="30"/>
          <w:szCs w:val="30"/>
          <w:highlight w:val="none"/>
          <w:lang w:val="en-US" w:eastAsia="zh-CN"/>
        </w:rPr>
        <w:t>六</w:t>
      </w:r>
      <w:r>
        <w:rPr>
          <w:rFonts w:hint="eastAsia" w:ascii="宋体" w:hAnsi="宋体" w:eastAsia="宋体" w:cs="宋体"/>
          <w:b/>
          <w:bCs w:val="0"/>
          <w:color w:val="auto"/>
          <w:spacing w:val="0"/>
          <w:kern w:val="2"/>
          <w:sz w:val="30"/>
          <w:szCs w:val="30"/>
          <w:highlight w:val="none"/>
        </w:rPr>
        <w:t>年</w:t>
      </w:r>
      <w:r>
        <w:rPr>
          <w:rFonts w:hint="eastAsia" w:ascii="宋体" w:hAnsi="宋体" w:eastAsia="宋体" w:cs="宋体"/>
          <w:b/>
          <w:bCs w:val="0"/>
          <w:color w:val="auto"/>
          <w:spacing w:val="0"/>
          <w:kern w:val="2"/>
          <w:sz w:val="30"/>
          <w:szCs w:val="30"/>
          <w:highlight w:val="none"/>
          <w:lang w:val="en-US" w:eastAsia="zh-CN"/>
        </w:rPr>
        <w:t>八</w:t>
      </w:r>
      <w:r>
        <w:rPr>
          <w:rFonts w:hint="eastAsia" w:ascii="宋体" w:hAnsi="宋体" w:eastAsia="宋体" w:cs="宋体"/>
          <w:b/>
          <w:bCs w:val="0"/>
          <w:color w:val="auto"/>
          <w:spacing w:val="0"/>
          <w:kern w:val="2"/>
          <w:sz w:val="30"/>
          <w:szCs w:val="30"/>
          <w:highlight w:val="none"/>
        </w:rPr>
        <w:t>月</w:t>
      </w:r>
    </w:p>
    <w:p w14:paraId="46C7247B">
      <w:pPr>
        <w:keepNext w:val="0"/>
        <w:keepLines w:val="0"/>
        <w:pageBreakBefore w:val="0"/>
        <w:widowControl w:val="0"/>
        <w:kinsoku/>
        <w:wordWrap w:val="0"/>
        <w:overflowPunct/>
        <w:topLinePunct/>
        <w:autoSpaceDE/>
        <w:autoSpaceDN/>
        <w:bidi w:val="0"/>
        <w:rPr>
          <w:rFonts w:hint="eastAsia" w:ascii="宋体" w:hAnsi="宋体" w:eastAsia="宋体" w:cs="宋体"/>
          <w:b/>
          <w:bCs w:val="0"/>
          <w:spacing w:val="0"/>
          <w:kern w:val="2"/>
          <w:sz w:val="28"/>
          <w:szCs w:val="28"/>
          <w:lang w:val="en-US" w:eastAsia="zh-CN"/>
        </w:rPr>
      </w:pPr>
      <w:r>
        <w:rPr>
          <w:rFonts w:hint="eastAsia" w:ascii="宋体" w:hAnsi="宋体" w:eastAsia="宋体" w:cs="宋体"/>
          <w:b/>
          <w:bCs w:val="0"/>
          <w:color w:val="auto"/>
          <w:spacing w:val="0"/>
          <w:kern w:val="2"/>
          <w:sz w:val="30"/>
          <w:szCs w:val="30"/>
          <w:highlight w:val="none"/>
        </w:rPr>
        <w:br w:type="page"/>
      </w:r>
      <w:bookmarkStart w:id="4" w:name="_Toc30408"/>
      <w:bookmarkStart w:id="5" w:name="_Toc5499"/>
    </w:p>
    <w:sdt>
      <w:sdtPr>
        <w:rPr>
          <w:rFonts w:hint="eastAsia" w:ascii="宋体" w:hAnsi="宋体" w:eastAsia="宋体" w:cs="宋体"/>
          <w:spacing w:val="0"/>
          <w:kern w:val="2"/>
          <w:sz w:val="28"/>
          <w:szCs w:val="28"/>
          <w:lang w:val="en-US" w:eastAsia="zh-CN" w:bidi="ar-SA"/>
        </w:rPr>
        <w:id w:val="147461307"/>
        <w15:color w:val="DBDBDB"/>
        <w:docPartObj>
          <w:docPartGallery w:val="Table of Contents"/>
          <w:docPartUnique/>
        </w:docPartObj>
      </w:sdtPr>
      <w:sdtEndPr>
        <w:rPr>
          <w:rFonts w:hint="eastAsia" w:ascii="宋体" w:hAnsi="宋体" w:eastAsia="宋体" w:cs="宋体"/>
          <w:b/>
          <w:bCs/>
          <w:spacing w:val="0"/>
          <w:kern w:val="2"/>
          <w:sz w:val="28"/>
          <w:szCs w:val="28"/>
          <w:lang w:val="en-US" w:eastAsia="zh-CN" w:bidi="ar-SA"/>
        </w:rPr>
      </w:sdtEndPr>
      <w:sdtContent>
        <w:p w14:paraId="2E6A58C7">
          <w:pPr>
            <w:keepNext w:val="0"/>
            <w:keepLines w:val="0"/>
            <w:pageBreakBefore w:val="0"/>
            <w:widowControl w:val="0"/>
            <w:kinsoku/>
            <w:overflowPunct/>
            <w:autoSpaceDE/>
            <w:autoSpaceDN/>
            <w:bidi w:val="0"/>
            <w:spacing w:before="0" w:beforeLines="0" w:after="0" w:afterLines="0" w:line="480" w:lineRule="auto"/>
            <w:ind w:left="0" w:leftChars="0" w:right="0" w:rightChars="0" w:firstLine="0" w:firstLineChars="0"/>
            <w:jc w:val="center"/>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bidi="ar-SA"/>
            </w:rPr>
            <w:t xml:space="preserve">  </w:t>
          </w:r>
          <w:r>
            <w:rPr>
              <w:rFonts w:hint="eastAsia" w:ascii="宋体" w:hAnsi="宋体" w:eastAsia="宋体" w:cs="宋体"/>
              <w:b/>
              <w:bCs/>
              <w:spacing w:val="0"/>
              <w:kern w:val="2"/>
              <w:sz w:val="28"/>
              <w:szCs w:val="28"/>
            </w:rPr>
            <w:t>目</w:t>
          </w:r>
          <w:r>
            <w:rPr>
              <w:rFonts w:hint="eastAsia" w:ascii="宋体" w:hAnsi="宋体" w:eastAsia="宋体" w:cs="宋体"/>
              <w:b/>
              <w:bCs/>
              <w:spacing w:val="0"/>
              <w:kern w:val="2"/>
              <w:sz w:val="28"/>
              <w:szCs w:val="28"/>
              <w:lang w:val="en-US" w:eastAsia="zh-CN"/>
            </w:rPr>
            <w:t xml:space="preserve">  </w:t>
          </w:r>
          <w:r>
            <w:rPr>
              <w:rFonts w:hint="eastAsia" w:ascii="宋体" w:hAnsi="宋体" w:eastAsia="宋体" w:cs="宋体"/>
              <w:b/>
              <w:bCs/>
              <w:spacing w:val="0"/>
              <w:kern w:val="2"/>
              <w:sz w:val="28"/>
              <w:szCs w:val="28"/>
            </w:rPr>
            <w:t>录</w:t>
          </w:r>
        </w:p>
        <w:p w14:paraId="3F2F5803">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TOC \o "1-1" \h \u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_Toc8314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rPr>
            <w:t>第一章  谈判公告</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_Toc8314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1</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69D7CD9D">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_Toc21366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rPr>
            <w:t>第二章  供应商须知</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_Toc21366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4</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283E0ECA">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_Toc7531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rPr>
            <w:t>第三章  资格审查办法</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_Toc7531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35</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08AD5ECE">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_Toc25409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rPr>
            <w:t>第四章  谈判办法</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_Toc25409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39</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222F0137">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_Toc331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rPr>
            <w:t>第五章  采购需求</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_Toc331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50</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08CCDA43">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_Toc2170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bidi="ar-SA"/>
            </w:rPr>
            <w:t>第六章  政府采购合同格式</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_Toc2170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57</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33BE0A6C">
          <w:pPr>
            <w:pStyle w:val="20"/>
            <w:keepNext w:val="0"/>
            <w:keepLines w:val="0"/>
            <w:pageBreakBefore w:val="0"/>
            <w:widowControl w:val="0"/>
            <w:tabs>
              <w:tab w:val="right" w:leader="underscore" w:pos="7738"/>
            </w:tabs>
            <w:kinsoku/>
            <w:overflowPunct/>
            <w:autoSpaceDE/>
            <w:autoSpaceDN/>
            <w:bidi w:val="0"/>
            <w:spacing w:line="480" w:lineRule="auto"/>
            <w:rPr>
              <w:rFonts w:hint="eastAsia" w:ascii="宋体" w:hAnsi="宋体" w:eastAsia="宋体" w:cs="宋体"/>
              <w:b/>
              <w:bCs/>
              <w:spacing w:val="0"/>
              <w:kern w:val="2"/>
              <w:sz w:val="28"/>
              <w:szCs w:val="28"/>
            </w:rPr>
          </w:pPr>
          <w:r>
            <w:rPr>
              <w:rFonts w:hint="eastAsia" w:ascii="宋体" w:hAnsi="宋体" w:eastAsia="宋体" w:cs="宋体"/>
              <w:b/>
              <w:bCs/>
              <w:spacing w:val="0"/>
              <w:kern w:val="2"/>
              <w:sz w:val="28"/>
              <w:szCs w:val="28"/>
              <w:lang w:val="en-US" w:eastAsia="zh-CN"/>
            </w:rPr>
            <w:fldChar w:fldCharType="begin"/>
          </w:r>
          <w:r>
            <w:rPr>
              <w:rFonts w:hint="eastAsia" w:ascii="宋体" w:hAnsi="宋体" w:eastAsia="宋体" w:cs="宋体"/>
              <w:b/>
              <w:bCs/>
              <w:spacing w:val="0"/>
              <w:kern w:val="2"/>
              <w:sz w:val="28"/>
              <w:szCs w:val="28"/>
              <w:lang w:val="en-US" w:eastAsia="zh-CN"/>
            </w:rPr>
            <w:instrText xml:space="preserve"> HYPERLINK \l _Toc32563 </w:instrText>
          </w:r>
          <w:r>
            <w:rPr>
              <w:rFonts w:hint="eastAsia" w:ascii="宋体" w:hAnsi="宋体" w:eastAsia="宋体" w:cs="宋体"/>
              <w:b/>
              <w:bCs/>
              <w:spacing w:val="0"/>
              <w:kern w:val="2"/>
              <w:sz w:val="28"/>
              <w:szCs w:val="28"/>
              <w:lang w:val="en-US" w:eastAsia="zh-CN"/>
            </w:rPr>
            <w:fldChar w:fldCharType="separate"/>
          </w:r>
          <w:r>
            <w:rPr>
              <w:rFonts w:hint="eastAsia" w:ascii="宋体" w:hAnsi="宋体" w:eastAsia="宋体" w:cs="宋体"/>
              <w:b/>
              <w:bCs/>
              <w:spacing w:val="0"/>
              <w:kern w:val="2"/>
              <w:sz w:val="28"/>
              <w:szCs w:val="28"/>
              <w:lang w:val="en-US" w:eastAsia="zh-CN" w:bidi="ar-SA"/>
            </w:rPr>
            <w:t>第七章  竞争性谈判响应文件格式</w:t>
          </w:r>
          <w:r>
            <w:rPr>
              <w:rFonts w:hint="eastAsia" w:ascii="宋体" w:hAnsi="宋体" w:eastAsia="宋体" w:cs="宋体"/>
              <w:b/>
              <w:bCs/>
              <w:spacing w:val="0"/>
              <w:kern w:val="2"/>
              <w:sz w:val="28"/>
              <w:szCs w:val="28"/>
            </w:rPr>
            <w:tab/>
          </w:r>
          <w:r>
            <w:rPr>
              <w:rFonts w:hint="eastAsia" w:ascii="宋体" w:hAnsi="宋体" w:eastAsia="宋体" w:cs="宋体"/>
              <w:b/>
              <w:bCs/>
              <w:spacing w:val="0"/>
              <w:kern w:val="2"/>
              <w:sz w:val="28"/>
              <w:szCs w:val="28"/>
            </w:rPr>
            <w:fldChar w:fldCharType="begin"/>
          </w:r>
          <w:r>
            <w:rPr>
              <w:rFonts w:hint="eastAsia" w:ascii="宋体" w:hAnsi="宋体" w:eastAsia="宋体" w:cs="宋体"/>
              <w:b/>
              <w:bCs/>
              <w:spacing w:val="0"/>
              <w:kern w:val="2"/>
              <w:sz w:val="28"/>
              <w:szCs w:val="28"/>
            </w:rPr>
            <w:instrText xml:space="preserve"> PAGEREF _Toc32563 \h </w:instrText>
          </w:r>
          <w:r>
            <w:rPr>
              <w:rFonts w:hint="eastAsia" w:ascii="宋体" w:hAnsi="宋体" w:eastAsia="宋体" w:cs="宋体"/>
              <w:b/>
              <w:bCs/>
              <w:spacing w:val="0"/>
              <w:kern w:val="2"/>
              <w:sz w:val="28"/>
              <w:szCs w:val="28"/>
            </w:rPr>
            <w:fldChar w:fldCharType="separate"/>
          </w:r>
          <w:r>
            <w:rPr>
              <w:rFonts w:hint="eastAsia" w:ascii="宋体" w:hAnsi="宋体" w:eastAsia="宋体" w:cs="宋体"/>
              <w:b/>
              <w:bCs/>
              <w:spacing w:val="0"/>
              <w:kern w:val="2"/>
              <w:sz w:val="28"/>
              <w:szCs w:val="28"/>
            </w:rPr>
            <w:t>65</w:t>
          </w:r>
          <w:r>
            <w:rPr>
              <w:rFonts w:hint="eastAsia" w:ascii="宋体" w:hAnsi="宋体" w:eastAsia="宋体" w:cs="宋体"/>
              <w:b/>
              <w:bCs/>
              <w:spacing w:val="0"/>
              <w:kern w:val="2"/>
              <w:sz w:val="28"/>
              <w:szCs w:val="28"/>
            </w:rPr>
            <w:fldChar w:fldCharType="end"/>
          </w:r>
          <w:r>
            <w:rPr>
              <w:rFonts w:hint="eastAsia" w:ascii="宋体" w:hAnsi="宋体" w:eastAsia="宋体" w:cs="宋体"/>
              <w:b/>
              <w:bCs/>
              <w:spacing w:val="0"/>
              <w:kern w:val="2"/>
              <w:sz w:val="28"/>
              <w:szCs w:val="28"/>
              <w:lang w:val="en-US" w:eastAsia="zh-CN"/>
            </w:rPr>
            <w:fldChar w:fldCharType="end"/>
          </w:r>
        </w:p>
        <w:p w14:paraId="78B32605">
          <w:pPr>
            <w:keepNext w:val="0"/>
            <w:keepLines w:val="0"/>
            <w:pageBreakBefore w:val="0"/>
            <w:widowControl w:val="0"/>
            <w:kinsoku/>
            <w:overflowPunct/>
            <w:autoSpaceDE/>
            <w:autoSpaceDN/>
            <w:bidi w:val="0"/>
            <w:spacing w:line="480" w:lineRule="auto"/>
            <w:rPr>
              <w:rFonts w:hint="eastAsia" w:ascii="宋体" w:hAnsi="宋体" w:eastAsia="宋体" w:cs="宋体"/>
              <w:b/>
              <w:bCs/>
              <w:spacing w:val="0"/>
              <w:kern w:val="2"/>
              <w:sz w:val="28"/>
              <w:szCs w:val="28"/>
              <w:lang w:val="en-US" w:eastAsia="zh-CN" w:bidi="ar-SA"/>
            </w:rPr>
          </w:pPr>
          <w:r>
            <w:rPr>
              <w:rFonts w:hint="eastAsia" w:ascii="宋体" w:hAnsi="宋体" w:eastAsia="宋体" w:cs="宋体"/>
              <w:b/>
              <w:bCs/>
              <w:spacing w:val="0"/>
              <w:kern w:val="2"/>
              <w:sz w:val="28"/>
              <w:szCs w:val="28"/>
              <w:lang w:val="en-US" w:eastAsia="zh-CN"/>
            </w:rPr>
            <w:fldChar w:fldCharType="end"/>
          </w:r>
        </w:p>
      </w:sdtContent>
    </w:sdt>
    <w:p w14:paraId="7CCC0B5E">
      <w:pPr>
        <w:pStyle w:val="2"/>
        <w:keepNext w:val="0"/>
        <w:keepLines w:val="0"/>
        <w:pageBreakBefore w:val="0"/>
        <w:widowControl w:val="0"/>
        <w:kinsoku/>
        <w:overflowPunct/>
        <w:autoSpaceDE/>
        <w:autoSpaceDN/>
        <w:bidi w:val="0"/>
        <w:rPr>
          <w:rFonts w:hint="eastAsia" w:ascii="宋体" w:hAnsi="宋体" w:eastAsia="宋体" w:cs="宋体"/>
          <w:b/>
          <w:bCs/>
          <w:spacing w:val="0"/>
          <w:kern w:val="2"/>
          <w:lang w:val="en-US" w:eastAsia="zh-CN"/>
        </w:rPr>
        <w:sectPr>
          <w:headerReference r:id="rId6" w:type="first"/>
          <w:headerReference r:id="rId5" w:type="default"/>
          <w:footerReference r:id="rId7" w:type="default"/>
          <w:pgSz w:w="11905" w:h="16838"/>
          <w:pgMar w:top="1440" w:right="1800" w:bottom="1440" w:left="1800" w:header="850" w:footer="992" w:gutter="567"/>
          <w:pgBorders>
            <w:top w:val="none" w:sz="0" w:space="0"/>
            <w:left w:val="none" w:sz="0" w:space="0"/>
            <w:bottom w:val="none" w:sz="0" w:space="0"/>
            <w:right w:val="none" w:sz="0" w:space="0"/>
          </w:pgBorders>
          <w:pgNumType w:fmt="decimal" w:start="1"/>
          <w:cols w:space="0" w:num="1"/>
          <w:titlePg/>
          <w:rtlGutter w:val="0"/>
          <w:docGrid w:type="lines" w:linePitch="314" w:charSpace="0"/>
        </w:sectPr>
      </w:pPr>
    </w:p>
    <w:bookmarkEnd w:id="4"/>
    <w:bookmarkEnd w:id="5"/>
    <w:p w14:paraId="118D4486">
      <w:pPr>
        <w:pStyle w:val="4"/>
        <w:keepNext w:val="0"/>
        <w:keepLines w:val="0"/>
        <w:pageBreakBefore w:val="0"/>
        <w:widowControl w:val="0"/>
        <w:kinsoku/>
        <w:wordWrap w:val="0"/>
        <w:overflowPunct/>
        <w:topLinePunct/>
        <w:autoSpaceDE/>
        <w:autoSpaceDN/>
        <w:bidi w:val="0"/>
        <w:adjustRightInd/>
        <w:snapToGrid/>
        <w:spacing w:line="400" w:lineRule="exact"/>
        <w:ind w:firstLine="562" w:firstLineChars="200"/>
        <w:jc w:val="center"/>
        <w:textAlignment w:val="auto"/>
        <w:rPr>
          <w:rFonts w:hint="eastAsia" w:ascii="宋体" w:hAnsi="宋体" w:eastAsia="宋体" w:cs="宋体"/>
          <w:spacing w:val="0"/>
          <w:kern w:val="2"/>
          <w:sz w:val="28"/>
          <w:szCs w:val="28"/>
          <w:lang w:val="en-US" w:eastAsia="zh-CN"/>
        </w:rPr>
      </w:pPr>
      <w:bookmarkStart w:id="6" w:name="_Toc8314"/>
      <w:r>
        <w:rPr>
          <w:rFonts w:hint="eastAsia" w:ascii="宋体" w:hAnsi="宋体" w:eastAsia="宋体" w:cs="宋体"/>
          <w:spacing w:val="0"/>
          <w:kern w:val="2"/>
          <w:sz w:val="28"/>
          <w:szCs w:val="28"/>
          <w:lang w:val="en-US" w:eastAsia="zh-CN"/>
        </w:rPr>
        <w:t>第一章  谈判公告</w:t>
      </w:r>
      <w:bookmarkEnd w:id="6"/>
    </w:p>
    <w:p w14:paraId="57A0BF21">
      <w:pPr>
        <w:pStyle w:val="90"/>
        <w:spacing w:line="480" w:lineRule="exact"/>
        <w:jc w:val="center"/>
        <w:rPr>
          <w:rFonts w:hint="eastAsia" w:ascii="宋体" w:hAnsi="宋体" w:eastAsia="宋体" w:cs="宋体"/>
        </w:rPr>
      </w:pPr>
      <w:r>
        <w:rPr>
          <w:rFonts w:hint="eastAsia" w:ascii="宋体" w:hAnsi="宋体" w:eastAsia="宋体" w:cs="宋体"/>
          <w:b/>
          <w:sz w:val="36"/>
        </w:rPr>
        <w:t>太白县咀头镇初级中学2026年蔬菜、调味品等食品辅材第2包（二次）竞争性谈判公告</w:t>
      </w:r>
    </w:p>
    <w:p w14:paraId="1127E592">
      <w:pPr>
        <w:pStyle w:val="90"/>
        <w:outlineLvl w:val="5"/>
        <w:rPr>
          <w:rFonts w:hint="eastAsia" w:ascii="宋体" w:hAnsi="宋体" w:eastAsia="宋体" w:cs="宋体"/>
        </w:rPr>
      </w:pPr>
      <w:r>
        <w:rPr>
          <w:rFonts w:hint="eastAsia" w:ascii="宋体" w:hAnsi="宋体" w:eastAsia="宋体" w:cs="宋体"/>
          <w:b/>
          <w:sz w:val="15"/>
        </w:rPr>
        <w:t xml:space="preserve"> 项目概况</w:t>
      </w:r>
    </w:p>
    <w:p w14:paraId="1DA6C198">
      <w:pPr>
        <w:pStyle w:val="90"/>
        <w:rPr>
          <w:rFonts w:hint="eastAsia" w:ascii="宋体" w:hAnsi="宋体" w:eastAsia="宋体" w:cs="宋体"/>
        </w:rPr>
      </w:pPr>
      <w:r>
        <w:rPr>
          <w:rFonts w:hint="eastAsia" w:ascii="宋体" w:hAnsi="宋体" w:eastAsia="宋体" w:cs="宋体"/>
        </w:rPr>
        <w:t>2026年蔬菜、调味品等食品辅材第2包（二次）采购项目的潜在供应商应在全国公共资源交易平台（陕西省·宝鸡市）获取采购文件，并于 2026年09月02日 14时00分 （北京时间）前提交响应文件。</w:t>
      </w:r>
    </w:p>
    <w:p w14:paraId="7C87F352">
      <w:pPr>
        <w:pStyle w:val="90"/>
        <w:outlineLvl w:val="3"/>
        <w:rPr>
          <w:rFonts w:hint="eastAsia" w:ascii="宋体" w:hAnsi="宋体" w:eastAsia="宋体" w:cs="宋体"/>
        </w:rPr>
      </w:pPr>
      <w:r>
        <w:rPr>
          <w:rFonts w:hint="eastAsia" w:ascii="宋体" w:hAnsi="宋体" w:eastAsia="宋体" w:cs="宋体"/>
          <w:b/>
          <w:sz w:val="24"/>
        </w:rPr>
        <w:t>一、项目基本情况</w:t>
      </w:r>
    </w:p>
    <w:p w14:paraId="177FB9D0">
      <w:pPr>
        <w:pStyle w:val="90"/>
        <w:rPr>
          <w:rFonts w:hint="eastAsia" w:ascii="宋体" w:hAnsi="宋体" w:eastAsia="宋体" w:cs="宋体"/>
        </w:rPr>
      </w:pPr>
      <w:r>
        <w:rPr>
          <w:rFonts w:hint="eastAsia" w:ascii="宋体" w:hAnsi="宋体" w:eastAsia="宋体" w:cs="宋体"/>
        </w:rPr>
        <w:t>项目编号：LJHY2026-17.2B1</w:t>
      </w:r>
    </w:p>
    <w:p w14:paraId="7954A950">
      <w:pPr>
        <w:pStyle w:val="90"/>
        <w:rPr>
          <w:rFonts w:hint="eastAsia" w:ascii="宋体" w:hAnsi="宋体" w:eastAsia="宋体" w:cs="宋体"/>
        </w:rPr>
      </w:pPr>
      <w:r>
        <w:rPr>
          <w:rFonts w:hint="eastAsia" w:ascii="宋体" w:hAnsi="宋体" w:eastAsia="宋体" w:cs="宋体"/>
        </w:rPr>
        <w:t>项目名称：2026年蔬菜、调味品等食品辅材第2包（二次）</w:t>
      </w:r>
    </w:p>
    <w:p w14:paraId="4DE00DA3">
      <w:pPr>
        <w:pStyle w:val="90"/>
        <w:rPr>
          <w:rFonts w:hint="eastAsia" w:ascii="宋体" w:hAnsi="宋体" w:eastAsia="宋体" w:cs="宋体"/>
        </w:rPr>
      </w:pPr>
      <w:r>
        <w:rPr>
          <w:rFonts w:hint="eastAsia" w:ascii="宋体" w:hAnsi="宋体" w:eastAsia="宋体" w:cs="宋体"/>
        </w:rPr>
        <w:t>采购方式：竞争性谈判</w:t>
      </w:r>
    </w:p>
    <w:p w14:paraId="4EEFF74B">
      <w:pPr>
        <w:pStyle w:val="90"/>
        <w:rPr>
          <w:rFonts w:hint="eastAsia" w:ascii="宋体" w:hAnsi="宋体" w:eastAsia="宋体" w:cs="宋体"/>
        </w:rPr>
      </w:pPr>
      <w:r>
        <w:rPr>
          <w:rFonts w:hint="eastAsia" w:ascii="宋体" w:hAnsi="宋体" w:eastAsia="宋体" w:cs="宋体"/>
        </w:rPr>
        <w:t>预算金额：390,000.00元</w:t>
      </w:r>
    </w:p>
    <w:p w14:paraId="70D8FCBE">
      <w:pPr>
        <w:pStyle w:val="90"/>
        <w:rPr>
          <w:rFonts w:hint="eastAsia" w:ascii="宋体" w:hAnsi="宋体" w:eastAsia="宋体" w:cs="宋体"/>
        </w:rPr>
      </w:pPr>
      <w:r>
        <w:rPr>
          <w:rFonts w:hint="eastAsia" w:ascii="宋体" w:hAnsi="宋体" w:eastAsia="宋体" w:cs="宋体"/>
        </w:rPr>
        <w:t>采购需求：</w:t>
      </w:r>
    </w:p>
    <w:p w14:paraId="37330DEE">
      <w:pPr>
        <w:pStyle w:val="90"/>
        <w:rPr>
          <w:rFonts w:hint="eastAsia" w:ascii="宋体" w:hAnsi="宋体" w:eastAsia="宋体" w:cs="宋体"/>
        </w:rPr>
      </w:pPr>
      <w:r>
        <w:rPr>
          <w:rFonts w:hint="eastAsia" w:ascii="宋体" w:hAnsi="宋体" w:eastAsia="宋体" w:cs="宋体"/>
        </w:rPr>
        <w:t>合同包1(2026年蔬菜、调味品等食品辅材第2包):</w:t>
      </w:r>
    </w:p>
    <w:p w14:paraId="1354C0BF">
      <w:pPr>
        <w:pStyle w:val="90"/>
        <w:ind w:firstLine="630"/>
        <w:rPr>
          <w:rFonts w:hint="eastAsia" w:ascii="宋体" w:hAnsi="宋体" w:eastAsia="宋体" w:cs="宋体"/>
        </w:rPr>
      </w:pPr>
      <w:r>
        <w:rPr>
          <w:rFonts w:hint="eastAsia" w:ascii="宋体" w:hAnsi="宋体" w:eastAsia="宋体" w:cs="宋体"/>
        </w:rPr>
        <w:t>合同包预算金额：390,000.00元</w:t>
      </w:r>
    </w:p>
    <w:p w14:paraId="677B8512">
      <w:pPr>
        <w:pStyle w:val="90"/>
        <w:ind w:firstLine="630"/>
        <w:rPr>
          <w:rFonts w:hint="eastAsia" w:ascii="宋体" w:hAnsi="宋体" w:eastAsia="宋体" w:cs="宋体"/>
        </w:rPr>
      </w:pPr>
      <w:r>
        <w:rPr>
          <w:rFonts w:hint="eastAsia" w:ascii="宋体" w:hAnsi="宋体" w:eastAsia="宋体" w:cs="宋体"/>
        </w:rPr>
        <w:t xml:space="preserve"> 合同包最高限价：390,000.00元</w:t>
      </w:r>
    </w:p>
    <w:tbl>
      <w:tblPr>
        <w:tblStyle w:val="2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12"/>
        <w:gridCol w:w="1303"/>
        <w:gridCol w:w="1320"/>
        <w:gridCol w:w="1328"/>
        <w:gridCol w:w="1320"/>
        <w:gridCol w:w="1371"/>
      </w:tblGrid>
      <w:tr w14:paraId="065FC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9835797">
            <w:pPr>
              <w:pStyle w:val="90"/>
              <w:rPr>
                <w:rFonts w:hint="eastAsia" w:ascii="宋体" w:hAnsi="宋体" w:eastAsia="宋体" w:cs="宋体"/>
              </w:rPr>
            </w:pPr>
            <w:r>
              <w:rPr>
                <w:rFonts w:hint="eastAsia" w:ascii="宋体" w:hAnsi="宋体" w:eastAsia="宋体" w:cs="宋体"/>
              </w:rPr>
              <w:t>品目号</w:t>
            </w:r>
          </w:p>
        </w:tc>
        <w:tc>
          <w:tcPr>
            <w:tcW w:w="1384" w:type="dxa"/>
          </w:tcPr>
          <w:p w14:paraId="2CBEB68F">
            <w:pPr>
              <w:pStyle w:val="90"/>
              <w:rPr>
                <w:rFonts w:hint="eastAsia" w:ascii="宋体" w:hAnsi="宋体" w:eastAsia="宋体" w:cs="宋体"/>
              </w:rPr>
            </w:pPr>
            <w:r>
              <w:rPr>
                <w:rFonts w:hint="eastAsia" w:ascii="宋体" w:hAnsi="宋体" w:eastAsia="宋体" w:cs="宋体"/>
              </w:rPr>
              <w:t>品目名称</w:t>
            </w:r>
          </w:p>
        </w:tc>
        <w:tc>
          <w:tcPr>
            <w:tcW w:w="1384" w:type="dxa"/>
          </w:tcPr>
          <w:p w14:paraId="35E19A1F">
            <w:pPr>
              <w:pStyle w:val="90"/>
              <w:rPr>
                <w:rFonts w:hint="eastAsia" w:ascii="宋体" w:hAnsi="宋体" w:eastAsia="宋体" w:cs="宋体"/>
              </w:rPr>
            </w:pPr>
            <w:r>
              <w:rPr>
                <w:rFonts w:hint="eastAsia" w:ascii="宋体" w:hAnsi="宋体" w:eastAsia="宋体" w:cs="宋体"/>
              </w:rPr>
              <w:t>采购标的</w:t>
            </w:r>
          </w:p>
        </w:tc>
        <w:tc>
          <w:tcPr>
            <w:tcW w:w="1384" w:type="dxa"/>
          </w:tcPr>
          <w:p w14:paraId="31010263">
            <w:pPr>
              <w:pStyle w:val="90"/>
              <w:rPr>
                <w:rFonts w:hint="eastAsia" w:ascii="宋体" w:hAnsi="宋体" w:eastAsia="宋体" w:cs="宋体"/>
              </w:rPr>
            </w:pPr>
            <w:r>
              <w:rPr>
                <w:rFonts w:hint="eastAsia" w:ascii="宋体" w:hAnsi="宋体" w:eastAsia="宋体" w:cs="宋体"/>
              </w:rPr>
              <w:t>数量（单位）</w:t>
            </w:r>
          </w:p>
        </w:tc>
        <w:tc>
          <w:tcPr>
            <w:tcW w:w="1384" w:type="dxa"/>
          </w:tcPr>
          <w:p w14:paraId="435B31A9">
            <w:pPr>
              <w:pStyle w:val="90"/>
              <w:rPr>
                <w:rFonts w:hint="eastAsia" w:ascii="宋体" w:hAnsi="宋体" w:eastAsia="宋体" w:cs="宋体"/>
              </w:rPr>
            </w:pPr>
            <w:r>
              <w:rPr>
                <w:rFonts w:hint="eastAsia" w:ascii="宋体" w:hAnsi="宋体" w:eastAsia="宋体" w:cs="宋体"/>
              </w:rPr>
              <w:t>技术规格、参数及要求</w:t>
            </w:r>
          </w:p>
        </w:tc>
        <w:tc>
          <w:tcPr>
            <w:tcW w:w="1384" w:type="dxa"/>
          </w:tcPr>
          <w:p w14:paraId="0A9A8F78">
            <w:pPr>
              <w:pStyle w:val="90"/>
              <w:rPr>
                <w:rFonts w:hint="eastAsia" w:ascii="宋体" w:hAnsi="宋体" w:eastAsia="宋体" w:cs="宋体"/>
              </w:rPr>
            </w:pPr>
            <w:r>
              <w:rPr>
                <w:rFonts w:hint="eastAsia" w:ascii="宋体" w:hAnsi="宋体" w:eastAsia="宋体" w:cs="宋体"/>
              </w:rPr>
              <w:t>品目预算(元)</w:t>
            </w:r>
          </w:p>
        </w:tc>
      </w:tr>
      <w:tr w14:paraId="34E5E5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52637F3">
            <w:pPr>
              <w:pStyle w:val="90"/>
              <w:rPr>
                <w:rFonts w:hint="eastAsia" w:ascii="宋体" w:hAnsi="宋体" w:eastAsia="宋体" w:cs="宋体"/>
              </w:rPr>
            </w:pPr>
            <w:r>
              <w:rPr>
                <w:rFonts w:hint="eastAsia" w:ascii="宋体" w:hAnsi="宋体" w:eastAsia="宋体" w:cs="宋体"/>
              </w:rPr>
              <w:t>1-1</w:t>
            </w:r>
          </w:p>
        </w:tc>
        <w:tc>
          <w:tcPr>
            <w:tcW w:w="1384" w:type="dxa"/>
          </w:tcPr>
          <w:p w14:paraId="44CFDED4">
            <w:pPr>
              <w:pStyle w:val="90"/>
              <w:rPr>
                <w:rFonts w:hint="eastAsia" w:ascii="宋体" w:hAnsi="宋体" w:eastAsia="宋体" w:cs="宋体"/>
              </w:rPr>
            </w:pPr>
            <w:r>
              <w:rPr>
                <w:rFonts w:hint="eastAsia" w:ascii="宋体" w:hAnsi="宋体" w:eastAsia="宋体" w:cs="宋体"/>
              </w:rPr>
              <w:t>餐饮服务</w:t>
            </w:r>
          </w:p>
        </w:tc>
        <w:tc>
          <w:tcPr>
            <w:tcW w:w="1384" w:type="dxa"/>
          </w:tcPr>
          <w:p w14:paraId="7367D1E4">
            <w:pPr>
              <w:pStyle w:val="90"/>
              <w:rPr>
                <w:rFonts w:hint="eastAsia" w:ascii="宋体" w:hAnsi="宋体" w:eastAsia="宋体" w:cs="宋体"/>
              </w:rPr>
            </w:pPr>
            <w:r>
              <w:rPr>
                <w:rFonts w:hint="eastAsia" w:ascii="宋体" w:hAnsi="宋体" w:eastAsia="宋体" w:cs="宋体"/>
              </w:rPr>
              <w:t>2026年蔬菜、调味品等食品辅材第2包</w:t>
            </w:r>
          </w:p>
        </w:tc>
        <w:tc>
          <w:tcPr>
            <w:tcW w:w="1384" w:type="dxa"/>
          </w:tcPr>
          <w:p w14:paraId="2B4DD3D6">
            <w:pPr>
              <w:pStyle w:val="90"/>
              <w:rPr>
                <w:rFonts w:hint="eastAsia" w:ascii="宋体" w:hAnsi="宋体" w:eastAsia="宋体" w:cs="宋体"/>
              </w:rPr>
            </w:pPr>
            <w:r>
              <w:rPr>
                <w:rFonts w:hint="eastAsia" w:ascii="宋体" w:hAnsi="宋体" w:eastAsia="宋体" w:cs="宋体"/>
              </w:rPr>
              <w:t>1(批)</w:t>
            </w:r>
          </w:p>
        </w:tc>
        <w:tc>
          <w:tcPr>
            <w:tcW w:w="1384" w:type="dxa"/>
          </w:tcPr>
          <w:p w14:paraId="0268D44E">
            <w:pPr>
              <w:pStyle w:val="90"/>
              <w:rPr>
                <w:rFonts w:hint="eastAsia" w:ascii="宋体" w:hAnsi="宋体" w:eastAsia="宋体" w:cs="宋体"/>
              </w:rPr>
            </w:pPr>
            <w:r>
              <w:rPr>
                <w:rFonts w:hint="eastAsia" w:ascii="宋体" w:hAnsi="宋体" w:eastAsia="宋体" w:cs="宋体"/>
              </w:rPr>
              <w:t>详见采购文件</w:t>
            </w:r>
          </w:p>
        </w:tc>
        <w:tc>
          <w:tcPr>
            <w:tcW w:w="1384" w:type="dxa"/>
          </w:tcPr>
          <w:p w14:paraId="3C9084BB">
            <w:pPr>
              <w:pStyle w:val="90"/>
              <w:rPr>
                <w:rFonts w:hint="eastAsia" w:ascii="宋体" w:hAnsi="宋体" w:eastAsia="宋体" w:cs="宋体"/>
              </w:rPr>
            </w:pPr>
            <w:r>
              <w:rPr>
                <w:rFonts w:hint="eastAsia" w:ascii="宋体" w:hAnsi="宋体" w:eastAsia="宋体" w:cs="宋体"/>
              </w:rPr>
              <w:t>390,000.00</w:t>
            </w:r>
          </w:p>
        </w:tc>
      </w:tr>
    </w:tbl>
    <w:p w14:paraId="1A9F9539">
      <w:pPr>
        <w:pStyle w:val="90"/>
        <w:rPr>
          <w:rFonts w:hint="eastAsia" w:ascii="宋体" w:hAnsi="宋体" w:eastAsia="宋体" w:cs="宋体"/>
        </w:rPr>
      </w:pPr>
      <w:r>
        <w:rPr>
          <w:rFonts w:hint="eastAsia" w:ascii="宋体" w:hAnsi="宋体" w:eastAsia="宋体" w:cs="宋体"/>
        </w:rPr>
        <w:t xml:space="preserve"> 本合同包不接受联合体投标</w:t>
      </w:r>
    </w:p>
    <w:p w14:paraId="65A6E864">
      <w:pPr>
        <w:pStyle w:val="90"/>
        <w:rPr>
          <w:rFonts w:hint="eastAsia" w:ascii="宋体" w:hAnsi="宋体" w:eastAsia="宋体" w:cs="宋体"/>
        </w:rPr>
      </w:pPr>
      <w:r>
        <w:rPr>
          <w:rFonts w:hint="eastAsia" w:ascii="宋体" w:hAnsi="宋体" w:eastAsia="宋体" w:cs="宋体"/>
        </w:rPr>
        <w:t xml:space="preserve"> 合同履行期限：详见谈判文件</w:t>
      </w:r>
    </w:p>
    <w:p w14:paraId="5173FD96">
      <w:pPr>
        <w:pStyle w:val="90"/>
        <w:outlineLvl w:val="3"/>
        <w:rPr>
          <w:rFonts w:hint="eastAsia" w:ascii="宋体" w:hAnsi="宋体" w:eastAsia="宋体" w:cs="宋体"/>
        </w:rPr>
      </w:pPr>
      <w:r>
        <w:rPr>
          <w:rFonts w:hint="eastAsia" w:ascii="宋体" w:hAnsi="宋体" w:eastAsia="宋体" w:cs="宋体"/>
          <w:b/>
          <w:sz w:val="24"/>
        </w:rPr>
        <w:t>二、申请人的资格要求：</w:t>
      </w:r>
    </w:p>
    <w:p w14:paraId="760B20AF">
      <w:pPr>
        <w:pStyle w:val="90"/>
        <w:rPr>
          <w:rFonts w:hint="eastAsia" w:ascii="宋体" w:hAnsi="宋体" w:eastAsia="宋体" w:cs="宋体"/>
        </w:rPr>
      </w:pPr>
      <w:r>
        <w:rPr>
          <w:rFonts w:hint="eastAsia" w:ascii="宋体" w:hAnsi="宋体" w:eastAsia="宋体" w:cs="宋体"/>
        </w:rPr>
        <w:t>1.满足《中华人民共和国政府采购法》第二十二条规定;</w:t>
      </w:r>
    </w:p>
    <w:p w14:paraId="1A0F3EFB">
      <w:pPr>
        <w:pStyle w:val="90"/>
        <w:rPr>
          <w:rFonts w:hint="eastAsia" w:ascii="宋体" w:hAnsi="宋体" w:eastAsia="宋体" w:cs="宋体"/>
        </w:rPr>
      </w:pPr>
      <w:r>
        <w:rPr>
          <w:rFonts w:hint="eastAsia" w:ascii="宋体" w:hAnsi="宋体" w:eastAsia="宋体" w:cs="宋体"/>
        </w:rPr>
        <w:t>2.落实政府采购政策需满足的资格要求：</w:t>
      </w:r>
    </w:p>
    <w:p w14:paraId="2B01E992">
      <w:pPr>
        <w:pStyle w:val="90"/>
        <w:rPr>
          <w:rFonts w:hint="eastAsia" w:ascii="宋体" w:hAnsi="宋体" w:eastAsia="宋体" w:cs="宋体"/>
        </w:rPr>
      </w:pPr>
      <w:r>
        <w:rPr>
          <w:rFonts w:hint="eastAsia" w:ascii="宋体" w:hAnsi="宋体" w:eastAsia="宋体" w:cs="宋体"/>
        </w:rPr>
        <w:t>合同包1(2026年蔬菜、调味品等食品辅材第2包)落实政府采购政策需满足的资格要求如下:</w:t>
      </w:r>
    </w:p>
    <w:p w14:paraId="43412D01">
      <w:pPr>
        <w:pStyle w:val="90"/>
        <w:ind w:left="480"/>
        <w:rPr>
          <w:rFonts w:hint="eastAsia" w:ascii="宋体" w:hAnsi="宋体" w:eastAsia="宋体" w:cs="宋体"/>
        </w:rPr>
      </w:pPr>
      <w:r>
        <w:rPr>
          <w:rFonts w:hint="eastAsia" w:ascii="宋体" w:hAnsi="宋体" w:eastAsia="宋体" w:cs="宋体"/>
        </w:rPr>
        <w:t>（1）《财政部国家发展改革委关于印发〈节能产品政府采购实施意见〉的通知》 （财库〔2004〕185 号）；</w:t>
      </w:r>
      <w:r>
        <w:rPr>
          <w:rFonts w:hint="eastAsia" w:ascii="宋体" w:hAnsi="宋体" w:eastAsia="宋体" w:cs="宋体"/>
        </w:rPr>
        <w:br w:type="textWrapping"/>
      </w:r>
      <w:r>
        <w:rPr>
          <w:rFonts w:hint="eastAsia" w:ascii="宋体" w:hAnsi="宋体" w:eastAsia="宋体" w:cs="宋体"/>
        </w:rPr>
        <w:t>（2）《国务院办公厅关于建立政府强制采购节能产品制度的通知》（国办发〔2007〕 51 号）；</w:t>
      </w:r>
      <w:r>
        <w:rPr>
          <w:rFonts w:hint="eastAsia" w:ascii="宋体" w:hAnsi="宋体" w:eastAsia="宋体" w:cs="宋体"/>
        </w:rPr>
        <w:br w:type="textWrapping"/>
      </w:r>
      <w:r>
        <w:rPr>
          <w:rFonts w:hint="eastAsia" w:ascii="宋体" w:hAnsi="宋体" w:eastAsia="宋体" w:cs="宋体"/>
        </w:rPr>
        <w:t>（3）《财政部环保总局关于环境标志产品政府采购实施的意见》（财库〔2006〕 90 号）；</w:t>
      </w:r>
      <w:r>
        <w:rPr>
          <w:rFonts w:hint="eastAsia" w:ascii="宋体" w:hAnsi="宋体" w:eastAsia="宋体" w:cs="宋体"/>
        </w:rPr>
        <w:br w:type="textWrapping"/>
      </w:r>
      <w:r>
        <w:rPr>
          <w:rFonts w:hint="eastAsia" w:ascii="宋体" w:hAnsi="宋体" w:eastAsia="宋体" w:cs="宋体"/>
        </w:rPr>
        <w:t>（4）《政府采购促进中小企业发展管理办法》（财库〔2020〕46 号）、关于进一步加大政府采购支持中小企业力度的通知财库〔2022〕19 号；</w:t>
      </w:r>
      <w:r>
        <w:rPr>
          <w:rFonts w:hint="eastAsia" w:ascii="宋体" w:hAnsi="宋体" w:eastAsia="宋体" w:cs="宋体"/>
        </w:rPr>
        <w:br w:type="textWrapping"/>
      </w:r>
      <w:r>
        <w:rPr>
          <w:rFonts w:hint="eastAsia" w:ascii="宋体" w:hAnsi="宋体" w:eastAsia="宋体" w:cs="宋体"/>
        </w:rPr>
        <w:t>（5）《财政部  司法部关于政府采购支持监狱企业发展有关问题的通知》（财库〔2014〕68 号）；</w:t>
      </w:r>
      <w:r>
        <w:rPr>
          <w:rFonts w:hint="eastAsia" w:ascii="宋体" w:hAnsi="宋体" w:eastAsia="宋体" w:cs="宋体"/>
        </w:rPr>
        <w:br w:type="textWrapping"/>
      </w:r>
      <w:r>
        <w:rPr>
          <w:rFonts w:hint="eastAsia" w:ascii="宋体" w:hAnsi="宋体" w:eastAsia="宋体" w:cs="宋体"/>
        </w:rPr>
        <w:t>（6）《三部门联合发布关于促进残疾人就业政府采购政策的通知》（财库〔2017〕 141 号）；</w:t>
      </w:r>
      <w:r>
        <w:rPr>
          <w:rFonts w:hint="eastAsia" w:ascii="宋体" w:hAnsi="宋体" w:eastAsia="宋体" w:cs="宋体"/>
        </w:rPr>
        <w:br w:type="textWrapping"/>
      </w:r>
      <w:r>
        <w:rPr>
          <w:rFonts w:hint="eastAsia" w:ascii="宋体" w:hAnsi="宋体" w:eastAsia="宋体" w:cs="宋体"/>
        </w:rPr>
        <w:t>（7）《财政部发展改革委生态环境部市场监管总局关于调整优化节能产品、环境标志产品政府采购执行机制的通知》（财库〔2019〕9 号）；</w:t>
      </w:r>
      <w:r>
        <w:rPr>
          <w:rFonts w:hint="eastAsia" w:ascii="宋体" w:hAnsi="宋体" w:eastAsia="宋体" w:cs="宋体"/>
        </w:rPr>
        <w:br w:type="textWrapping"/>
      </w:r>
      <w:r>
        <w:rPr>
          <w:rFonts w:hint="eastAsia" w:ascii="宋体" w:hAnsi="宋体" w:eastAsia="宋体" w:cs="宋体"/>
        </w:rPr>
        <w:t>（8）《陕西省中小企业政府采购信用融资办法》（陕财办采〔2018〕23 号）；</w:t>
      </w:r>
      <w:r>
        <w:rPr>
          <w:rFonts w:hint="eastAsia" w:ascii="宋体" w:hAnsi="宋体" w:eastAsia="宋体" w:cs="宋体"/>
        </w:rPr>
        <w:br w:type="textWrapping"/>
      </w:r>
      <w:r>
        <w:rPr>
          <w:rFonts w:hint="eastAsia" w:ascii="宋体" w:hAnsi="宋体" w:eastAsia="宋体" w:cs="宋体"/>
        </w:rPr>
        <w:t>（9）《陕西省财政厅关于加快推进我省中小企业政府采购信用融资工作的通知》 （陕财办采〔2020〕15 号文件）；</w:t>
      </w:r>
      <w:r>
        <w:rPr>
          <w:rFonts w:hint="eastAsia" w:ascii="宋体" w:hAnsi="宋体" w:eastAsia="宋体" w:cs="宋体"/>
        </w:rPr>
        <w:br w:type="textWrapping"/>
      </w:r>
      <w:r>
        <w:rPr>
          <w:rFonts w:hint="eastAsia" w:ascii="宋体" w:hAnsi="宋体" w:eastAsia="宋体" w:cs="宋体"/>
        </w:rPr>
        <w:t>（10）《关于推动解决政府采购异常低价问题的通知》（财库〔2026〕2  号）；</w:t>
      </w:r>
      <w:r>
        <w:rPr>
          <w:rFonts w:hint="eastAsia" w:ascii="宋体" w:hAnsi="宋体" w:eastAsia="宋体" w:cs="宋体"/>
        </w:rPr>
        <w:br w:type="textWrapping"/>
      </w:r>
      <w:r>
        <w:rPr>
          <w:rFonts w:hint="eastAsia" w:ascii="宋体" w:hAnsi="宋体" w:eastAsia="宋体" w:cs="宋体"/>
        </w:rPr>
        <w:t>（11）如有最新颁布的政府采购政策，按最新的文件执行。</w:t>
      </w:r>
    </w:p>
    <w:p w14:paraId="664F45B0">
      <w:pPr>
        <w:pStyle w:val="90"/>
        <w:rPr>
          <w:rFonts w:hint="eastAsia" w:ascii="宋体" w:hAnsi="宋体" w:eastAsia="宋体" w:cs="宋体"/>
        </w:rPr>
      </w:pPr>
      <w:r>
        <w:rPr>
          <w:rFonts w:hint="eastAsia" w:ascii="宋体" w:hAnsi="宋体" w:eastAsia="宋体" w:cs="宋体"/>
        </w:rPr>
        <w:t>3.本项目的特定资格要求：</w:t>
      </w:r>
    </w:p>
    <w:p w14:paraId="560EDC0B">
      <w:pPr>
        <w:pStyle w:val="90"/>
        <w:rPr>
          <w:rFonts w:hint="eastAsia" w:ascii="宋体" w:hAnsi="宋体" w:eastAsia="宋体" w:cs="宋体"/>
        </w:rPr>
      </w:pPr>
      <w:r>
        <w:rPr>
          <w:rFonts w:hint="eastAsia" w:ascii="宋体" w:hAnsi="宋体" w:eastAsia="宋体" w:cs="宋体"/>
        </w:rPr>
        <w:t>合同包1(2026年蔬菜、调味品等食品辅材第2包)特定资格要求如下:</w:t>
      </w:r>
    </w:p>
    <w:p w14:paraId="32E0C626">
      <w:pPr>
        <w:pStyle w:val="90"/>
        <w:ind w:left="480"/>
        <w:rPr>
          <w:rFonts w:hint="eastAsia" w:ascii="宋体" w:hAnsi="宋体" w:eastAsia="宋体" w:cs="宋体"/>
        </w:rPr>
      </w:pPr>
      <w:r>
        <w:rPr>
          <w:rFonts w:hint="eastAsia" w:ascii="宋体" w:hAnsi="宋体" w:eastAsia="宋体" w:cs="宋体"/>
        </w:rPr>
        <w:t>3-1 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3-2 供应商是生产厂家的须提供有效的《食品生产许可证》及《食品经营许可证》;供应商为经销商的须提供有效的《食品经营许可证》；</w:t>
      </w:r>
      <w:r>
        <w:rPr>
          <w:rFonts w:hint="eastAsia" w:ascii="宋体" w:hAnsi="宋体" w:eastAsia="宋体" w:cs="宋体"/>
        </w:rPr>
        <w:br w:type="textWrapping"/>
      </w:r>
      <w:r>
        <w:rPr>
          <w:rFonts w:hint="eastAsia" w:ascii="宋体" w:hAnsi="宋体" w:eastAsia="宋体" w:cs="宋体"/>
        </w:rPr>
        <w:t>3-3 供应商应授权合法的人员参加谈判全过程，其中法定代表人直接参加谈判的，须出具法定代表人身份证明，并与营业执照上信息一致，法定代表人授权代表参加谈判的，须出具法定代表人授权书及授权代表身份证；</w:t>
      </w:r>
      <w:r>
        <w:rPr>
          <w:rFonts w:hint="eastAsia" w:ascii="宋体" w:hAnsi="宋体" w:eastAsia="宋体" w:cs="宋体"/>
        </w:rPr>
        <w:br w:type="textWrapping"/>
      </w:r>
      <w:r>
        <w:rPr>
          <w:rFonts w:hint="eastAsia" w:ascii="宋体" w:hAnsi="宋体" w:eastAsia="宋体" w:cs="宋体"/>
        </w:rPr>
        <w:t>3-4 财务状况：提供2025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r>
        <w:rPr>
          <w:rFonts w:hint="eastAsia" w:ascii="宋体" w:hAnsi="宋体" w:eastAsia="宋体" w:cs="宋体"/>
        </w:rPr>
        <w:br w:type="textWrapping"/>
      </w:r>
      <w:r>
        <w:rPr>
          <w:rFonts w:hint="eastAsia" w:ascii="宋体" w:hAnsi="宋体" w:eastAsia="宋体" w:cs="宋体"/>
        </w:rPr>
        <w:t xml:space="preserve">3-5 社会保障资金缴纳证明：提供2025年7月至今已缴存的至少3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 </w:t>
      </w:r>
      <w:r>
        <w:rPr>
          <w:rFonts w:hint="eastAsia" w:ascii="宋体" w:hAnsi="宋体" w:eastAsia="宋体" w:cs="宋体"/>
        </w:rPr>
        <w:br w:type="textWrapping"/>
      </w:r>
      <w:r>
        <w:rPr>
          <w:rFonts w:hint="eastAsia" w:ascii="宋体" w:hAnsi="宋体" w:eastAsia="宋体" w:cs="宋体"/>
        </w:rPr>
        <w:t>3-6 税收缴纳证明：提供2025年7月至今已缴纳的至少3个月的纳税证明或完税证明，依法免税的单位应提供相关证明材料（注册时间不满3个月的，应当提供注册时至参加政府采购活动时相应期限内本单位税收缴纳的相关证明文件）；</w:t>
      </w:r>
      <w:r>
        <w:rPr>
          <w:rFonts w:hint="eastAsia" w:ascii="宋体" w:hAnsi="宋体" w:eastAsia="宋体" w:cs="宋体"/>
        </w:rPr>
        <w:br w:type="textWrapping"/>
      </w:r>
      <w:r>
        <w:rPr>
          <w:rFonts w:hint="eastAsia" w:ascii="宋体" w:hAnsi="宋体" w:eastAsia="宋体" w:cs="宋体"/>
        </w:rPr>
        <w:t xml:space="preserve">3-7 参加本次政府采购活动前三年内，在经营活动中没有重大违法记录声明。 </w:t>
      </w:r>
      <w:r>
        <w:rPr>
          <w:rFonts w:hint="eastAsia" w:ascii="宋体" w:hAnsi="宋体" w:eastAsia="宋体" w:cs="宋体"/>
        </w:rPr>
        <w:br w:type="textWrapping"/>
      </w:r>
      <w:r>
        <w:rPr>
          <w:rFonts w:hint="eastAsia" w:ascii="宋体" w:hAnsi="宋体" w:eastAsia="宋体" w:cs="宋体"/>
        </w:rPr>
        <w:t>3-8 提供具有履行合同所必需的设备和专业技术能力的承诺函；</w:t>
      </w:r>
      <w:r>
        <w:rPr>
          <w:rFonts w:hint="eastAsia" w:ascii="宋体" w:hAnsi="宋体" w:eastAsia="宋体" w:cs="宋体"/>
        </w:rPr>
        <w:br w:type="textWrapping"/>
      </w:r>
      <w:r>
        <w:rPr>
          <w:rFonts w:hint="eastAsia" w:ascii="宋体" w:hAnsi="宋体" w:eastAsia="宋体" w:cs="宋体"/>
        </w:rPr>
        <w:t>3-9 不得为“信用中国”网站(http://www.creditchina.gov.cn)列入“失信被执行人（页面跳转至“中国执行信息公开网”http://zxgk.court.gov.cn/shixin/）、重大税收违法失信主体的供应商；不得为中国政府采购网(http://www.ccgp.gov.cn)“政府采购严重违法失信行为记录名单”中的供应商；</w:t>
      </w:r>
      <w:r>
        <w:rPr>
          <w:rFonts w:hint="eastAsia" w:ascii="宋体" w:hAnsi="宋体" w:eastAsia="宋体" w:cs="宋体"/>
        </w:rPr>
        <w:br w:type="textWrapping"/>
      </w:r>
      <w:r>
        <w:rPr>
          <w:rFonts w:hint="eastAsia" w:ascii="宋体" w:hAnsi="宋体" w:eastAsia="宋体" w:cs="宋体"/>
        </w:rPr>
        <w:t>3-10 本项目不接受联合体谈判；</w:t>
      </w:r>
      <w:r>
        <w:rPr>
          <w:rFonts w:hint="eastAsia" w:ascii="宋体" w:hAnsi="宋体" w:eastAsia="宋体" w:cs="宋体"/>
        </w:rPr>
        <w:br w:type="textWrapping"/>
      </w:r>
      <w:r>
        <w:rPr>
          <w:rFonts w:hint="eastAsia" w:ascii="宋体" w:hAnsi="宋体" w:eastAsia="宋体" w:cs="宋体"/>
        </w:rPr>
        <w:t>3-12 本项目为专门面向中小企业采购项目，需提供中小企业声明函。</w:t>
      </w:r>
    </w:p>
    <w:p w14:paraId="63482D75">
      <w:pPr>
        <w:pStyle w:val="90"/>
        <w:outlineLvl w:val="3"/>
        <w:rPr>
          <w:rFonts w:hint="eastAsia" w:ascii="宋体" w:hAnsi="宋体" w:eastAsia="宋体" w:cs="宋体"/>
        </w:rPr>
      </w:pPr>
      <w:r>
        <w:rPr>
          <w:rFonts w:hint="eastAsia" w:ascii="宋体" w:hAnsi="宋体" w:eastAsia="宋体" w:cs="宋体"/>
          <w:b/>
          <w:sz w:val="24"/>
        </w:rPr>
        <w:t>三、获取采购文件</w:t>
      </w:r>
    </w:p>
    <w:p w14:paraId="29E5E9A1">
      <w:pPr>
        <w:pStyle w:val="90"/>
        <w:rPr>
          <w:rFonts w:hint="eastAsia" w:ascii="宋体" w:hAnsi="宋体" w:eastAsia="宋体" w:cs="宋体"/>
        </w:rPr>
      </w:pPr>
      <w:r>
        <w:rPr>
          <w:rFonts w:hint="eastAsia" w:ascii="宋体" w:hAnsi="宋体" w:eastAsia="宋体" w:cs="宋体"/>
        </w:rPr>
        <w:t>时间： 2026年08月24日 至 2026年08月26日 ，每天上午 08:00:00 至 12:00:00 ，下午 14:00:00 至 18:00:00 （北京时间）</w:t>
      </w:r>
    </w:p>
    <w:p w14:paraId="2C581DE3">
      <w:pPr>
        <w:pStyle w:val="90"/>
        <w:rPr>
          <w:rFonts w:hint="eastAsia" w:ascii="宋体" w:hAnsi="宋体" w:eastAsia="宋体" w:cs="宋体"/>
        </w:rPr>
      </w:pPr>
      <w:r>
        <w:rPr>
          <w:rFonts w:hint="eastAsia" w:ascii="宋体" w:hAnsi="宋体" w:eastAsia="宋体" w:cs="宋体"/>
        </w:rPr>
        <w:t>途径：全国公共资源交易平台（陕西省·宝鸡市）</w:t>
      </w:r>
    </w:p>
    <w:p w14:paraId="00AAD94A">
      <w:pPr>
        <w:pStyle w:val="90"/>
        <w:rPr>
          <w:rFonts w:hint="eastAsia" w:ascii="宋体" w:hAnsi="宋体" w:eastAsia="宋体" w:cs="宋体"/>
        </w:rPr>
      </w:pPr>
      <w:r>
        <w:rPr>
          <w:rFonts w:hint="eastAsia" w:ascii="宋体" w:hAnsi="宋体" w:eastAsia="宋体" w:cs="宋体"/>
        </w:rPr>
        <w:t>方式：在线获取</w:t>
      </w:r>
    </w:p>
    <w:p w14:paraId="58D2E7A3">
      <w:pPr>
        <w:pStyle w:val="90"/>
        <w:rPr>
          <w:rFonts w:hint="eastAsia" w:ascii="宋体" w:hAnsi="宋体" w:eastAsia="宋体" w:cs="宋体"/>
        </w:rPr>
      </w:pPr>
      <w:r>
        <w:rPr>
          <w:rFonts w:hint="eastAsia" w:ascii="宋体" w:hAnsi="宋体" w:eastAsia="宋体" w:cs="宋体"/>
        </w:rPr>
        <w:t>售价： 0元</w:t>
      </w:r>
    </w:p>
    <w:p w14:paraId="6623FEC6">
      <w:pPr>
        <w:pStyle w:val="90"/>
        <w:outlineLvl w:val="3"/>
        <w:rPr>
          <w:rFonts w:hint="eastAsia" w:ascii="宋体" w:hAnsi="宋体" w:eastAsia="宋体" w:cs="宋体"/>
        </w:rPr>
      </w:pPr>
      <w:r>
        <w:rPr>
          <w:rFonts w:hint="eastAsia" w:ascii="宋体" w:hAnsi="宋体" w:eastAsia="宋体" w:cs="宋体"/>
          <w:b/>
          <w:sz w:val="24"/>
        </w:rPr>
        <w:t>四、响应文件提交</w:t>
      </w:r>
    </w:p>
    <w:p w14:paraId="5A253C5B">
      <w:pPr>
        <w:pStyle w:val="90"/>
        <w:rPr>
          <w:rFonts w:hint="eastAsia" w:ascii="宋体" w:hAnsi="宋体" w:eastAsia="宋体" w:cs="宋体"/>
        </w:rPr>
      </w:pPr>
      <w:r>
        <w:rPr>
          <w:rFonts w:hint="eastAsia" w:ascii="宋体" w:hAnsi="宋体" w:eastAsia="宋体" w:cs="宋体"/>
        </w:rPr>
        <w:t>截止时间： 2026年09月02日 14时00分00秒 （北京时间）</w:t>
      </w:r>
    </w:p>
    <w:p w14:paraId="619A426A">
      <w:pPr>
        <w:pStyle w:val="90"/>
        <w:rPr>
          <w:rFonts w:hint="eastAsia" w:ascii="宋体" w:hAnsi="宋体" w:eastAsia="宋体" w:cs="宋体"/>
        </w:rPr>
      </w:pPr>
      <w:r>
        <w:rPr>
          <w:rFonts w:hint="eastAsia" w:ascii="宋体" w:hAnsi="宋体" w:eastAsia="宋体" w:cs="宋体"/>
        </w:rPr>
        <w:t>地点：全国公共资源交易平台（陕西省·宝鸡市）线上提交</w:t>
      </w:r>
    </w:p>
    <w:p w14:paraId="140E3C55">
      <w:pPr>
        <w:pStyle w:val="90"/>
        <w:outlineLvl w:val="3"/>
        <w:rPr>
          <w:rFonts w:hint="eastAsia" w:ascii="宋体" w:hAnsi="宋体" w:eastAsia="宋体" w:cs="宋体"/>
        </w:rPr>
      </w:pPr>
      <w:r>
        <w:rPr>
          <w:rFonts w:hint="eastAsia" w:ascii="宋体" w:hAnsi="宋体" w:eastAsia="宋体" w:cs="宋体"/>
          <w:b/>
          <w:sz w:val="24"/>
        </w:rPr>
        <w:t>五、开启</w:t>
      </w:r>
    </w:p>
    <w:p w14:paraId="4E4BDA79">
      <w:pPr>
        <w:pStyle w:val="90"/>
        <w:rPr>
          <w:rFonts w:hint="eastAsia" w:ascii="宋体" w:hAnsi="宋体" w:eastAsia="宋体" w:cs="宋体"/>
        </w:rPr>
      </w:pPr>
      <w:r>
        <w:rPr>
          <w:rFonts w:hint="eastAsia" w:ascii="宋体" w:hAnsi="宋体" w:eastAsia="宋体" w:cs="宋体"/>
        </w:rPr>
        <w:t>时间： 2026年09月02日 14时00分00秒 （北京时间）</w:t>
      </w:r>
    </w:p>
    <w:p w14:paraId="75D81AB8">
      <w:pPr>
        <w:pStyle w:val="90"/>
        <w:rPr>
          <w:rFonts w:hint="eastAsia" w:ascii="宋体" w:hAnsi="宋体" w:eastAsia="宋体" w:cs="宋体"/>
        </w:rPr>
      </w:pPr>
      <w:r>
        <w:rPr>
          <w:rFonts w:hint="eastAsia" w:ascii="宋体" w:hAnsi="宋体" w:eastAsia="宋体" w:cs="宋体"/>
        </w:rPr>
        <w:t>地点：全国公共资源交易平台（陕西省·宝鸡市）不见面开标</w:t>
      </w:r>
    </w:p>
    <w:p w14:paraId="1E361882">
      <w:pPr>
        <w:pStyle w:val="90"/>
        <w:outlineLvl w:val="3"/>
        <w:rPr>
          <w:rFonts w:hint="eastAsia" w:ascii="宋体" w:hAnsi="宋体" w:eastAsia="宋体" w:cs="宋体"/>
        </w:rPr>
      </w:pPr>
      <w:r>
        <w:rPr>
          <w:rFonts w:hint="eastAsia" w:ascii="宋体" w:hAnsi="宋体" w:eastAsia="宋体" w:cs="宋体"/>
          <w:b/>
          <w:sz w:val="24"/>
        </w:rPr>
        <w:t>六、公告期限</w:t>
      </w:r>
    </w:p>
    <w:p w14:paraId="34066402">
      <w:pPr>
        <w:pStyle w:val="90"/>
        <w:rPr>
          <w:rFonts w:hint="eastAsia" w:ascii="宋体" w:hAnsi="宋体" w:eastAsia="宋体" w:cs="宋体"/>
        </w:rPr>
      </w:pPr>
      <w:r>
        <w:rPr>
          <w:rFonts w:hint="eastAsia" w:ascii="宋体" w:hAnsi="宋体" w:eastAsia="宋体" w:cs="宋体"/>
        </w:rPr>
        <w:t>自本公告发布之日起3个工作日。</w:t>
      </w:r>
    </w:p>
    <w:p w14:paraId="1333B561">
      <w:pPr>
        <w:pStyle w:val="90"/>
        <w:outlineLvl w:val="3"/>
        <w:rPr>
          <w:rFonts w:hint="eastAsia" w:ascii="宋体" w:hAnsi="宋体" w:eastAsia="宋体" w:cs="宋体"/>
        </w:rPr>
      </w:pPr>
      <w:r>
        <w:rPr>
          <w:rFonts w:hint="eastAsia" w:ascii="宋体" w:hAnsi="宋体" w:eastAsia="宋体" w:cs="宋体"/>
          <w:b/>
          <w:sz w:val="24"/>
        </w:rPr>
        <w:t>七、其他补充事宜</w:t>
      </w:r>
    </w:p>
    <w:p w14:paraId="055B62EE">
      <w:pPr>
        <w:pStyle w:val="90"/>
        <w:rPr>
          <w:rFonts w:hint="eastAsia" w:ascii="宋体" w:hAnsi="宋体" w:eastAsia="宋体" w:cs="宋体"/>
        </w:rPr>
      </w:pPr>
      <w:r>
        <w:rPr>
          <w:rFonts w:hint="eastAsia" w:ascii="宋体" w:hAnsi="宋体" w:eastAsia="宋体" w:cs="宋体"/>
          <w:b/>
        </w:rPr>
        <w:t>第2包：调味品</w:t>
      </w:r>
    </w:p>
    <w:p w14:paraId="5A59AE4A">
      <w:pPr>
        <w:pStyle w:val="90"/>
        <w:rPr>
          <w:rFonts w:hint="eastAsia" w:ascii="宋体" w:hAnsi="宋体" w:eastAsia="宋体" w:cs="宋体"/>
        </w:rPr>
      </w:pPr>
      <w:r>
        <w:rPr>
          <w:rFonts w:hint="eastAsia" w:ascii="宋体" w:hAnsi="宋体" w:eastAsia="宋体" w:cs="宋体"/>
        </w:rPr>
        <w:t>1.请各供应商按照陕西省财政厅关于政府采购供应商注册登记有关事项的通知中的要求，通过陕西省政府采购网（http://www.ccgp-shaanxi.gov.cn/）注册登记加入陕西省政府采购供应商库并及时办理CA数字证书（陕西CA锁）。</w:t>
      </w:r>
    </w:p>
    <w:p w14:paraId="12AE0A8E">
      <w:pPr>
        <w:pStyle w:val="90"/>
        <w:rPr>
          <w:rFonts w:hint="eastAsia" w:ascii="宋体" w:hAnsi="宋体" w:eastAsia="宋体" w:cs="宋体"/>
        </w:rPr>
      </w:pPr>
      <w:r>
        <w:rPr>
          <w:rFonts w:hint="eastAsia" w:ascii="宋体" w:hAnsi="宋体" w:eastAsia="宋体" w:cs="宋体"/>
        </w:rPr>
        <w:t>2.各供应商使用CA证书登录全国公共资源交易平台（陕西省宝鸡市）宝鸡市公共资源交易中心（http://ggzy.baoji.gov.cn/）交易平台〖首页〉电子交易平台〉企业端〗后，在〖招标公告/出让公告〗模块中选择有意向的项目点击“我要投标”，确认成功后即可从〖我的项目〉项目流程〉交易文件下载〗中下载电子谈判文件（*.SXSZF格式），如未及时下载电子文件（*.SXSZF格式），所引起的不良后果，由供应商自行承担。</w:t>
      </w:r>
    </w:p>
    <w:p w14:paraId="04AD9A1E">
      <w:pPr>
        <w:pStyle w:val="90"/>
        <w:rPr>
          <w:rFonts w:hint="eastAsia" w:ascii="宋体" w:hAnsi="宋体" w:eastAsia="宋体" w:cs="宋体"/>
        </w:rPr>
      </w:pPr>
      <w:r>
        <w:rPr>
          <w:rFonts w:hint="eastAsia" w:ascii="宋体" w:hAnsi="宋体" w:eastAsia="宋体" w:cs="宋体"/>
        </w:rPr>
        <w:t>3.供应商在网上填写的单位信息（单位名称、营业执照相关信息）应与采购文件要求及后期上传的电子谈判响应文件中相关信息一致，否则造成资格审查不通过的后果供应商自负。</w:t>
      </w:r>
    </w:p>
    <w:p w14:paraId="5CBC4BEE">
      <w:pPr>
        <w:pStyle w:val="90"/>
        <w:rPr>
          <w:rFonts w:hint="eastAsia" w:ascii="宋体" w:hAnsi="宋体" w:eastAsia="宋体" w:cs="宋体"/>
        </w:rPr>
      </w:pPr>
      <w:r>
        <w:rPr>
          <w:rFonts w:hint="eastAsia" w:ascii="宋体" w:hAnsi="宋体" w:eastAsia="宋体" w:cs="宋体"/>
        </w:rPr>
        <w:t>4.本项目采用电子开标方式，各供应商可登录全国公共资源交易平台（陕西省·宝鸡市）宝鸡市公共资源交易中心（http://ggzy.baoji.gov.cn/）下载《政府采购电子标书制作工具》、《政府采购投标单位操作手册》和,按照流程制作电子标书并在投标截止时间前上传电子谈判响应文件。因供应商自身设施故障或自身原因导致无法完成投标的，由供应商自行承担后果。</w:t>
      </w:r>
    </w:p>
    <w:p w14:paraId="472363E4">
      <w:pPr>
        <w:pStyle w:val="90"/>
        <w:rPr>
          <w:rFonts w:hint="eastAsia" w:ascii="宋体" w:hAnsi="宋体" w:eastAsia="宋体" w:cs="宋体"/>
        </w:rPr>
      </w:pPr>
      <w:r>
        <w:rPr>
          <w:rFonts w:hint="eastAsia" w:ascii="宋体" w:hAnsi="宋体" w:eastAsia="宋体" w:cs="宋体"/>
        </w:rPr>
        <w:t>5.未完成网上投标或未在规定时间内在平台上下载电子采购文件的，导致无法完成后续流程的责任自负；</w:t>
      </w:r>
    </w:p>
    <w:p w14:paraId="7B5A3B93">
      <w:pPr>
        <w:pStyle w:val="90"/>
        <w:rPr>
          <w:rFonts w:hint="eastAsia" w:ascii="宋体" w:hAnsi="宋体" w:eastAsia="宋体" w:cs="宋体"/>
        </w:rPr>
      </w:pPr>
      <w:r>
        <w:rPr>
          <w:rFonts w:hint="eastAsia" w:ascii="宋体" w:hAnsi="宋体" w:eastAsia="宋体" w:cs="宋体"/>
        </w:rPr>
        <w:t>6.如有技术性问题，请先翻阅操作手册或致电软件开发商，技术支持热线：4009280095、4009980000。</w:t>
      </w:r>
    </w:p>
    <w:p w14:paraId="1FA54149">
      <w:pPr>
        <w:pStyle w:val="90"/>
        <w:outlineLvl w:val="3"/>
        <w:rPr>
          <w:rFonts w:hint="eastAsia" w:ascii="宋体" w:hAnsi="宋体" w:eastAsia="宋体" w:cs="宋体"/>
        </w:rPr>
      </w:pPr>
      <w:r>
        <w:rPr>
          <w:rFonts w:hint="eastAsia" w:ascii="宋体" w:hAnsi="宋体" w:eastAsia="宋体" w:cs="宋体"/>
          <w:b/>
          <w:sz w:val="24"/>
        </w:rPr>
        <w:t>八、对本次招标提出询问，请按以下方式联系。</w:t>
      </w:r>
    </w:p>
    <w:p w14:paraId="128FD3C3">
      <w:pPr>
        <w:pStyle w:val="90"/>
        <w:outlineLvl w:val="5"/>
        <w:rPr>
          <w:rFonts w:hint="eastAsia" w:ascii="宋体" w:hAnsi="宋体" w:eastAsia="宋体" w:cs="宋体"/>
        </w:rPr>
      </w:pPr>
      <w:r>
        <w:rPr>
          <w:rFonts w:hint="eastAsia" w:ascii="宋体" w:hAnsi="宋体" w:eastAsia="宋体" w:cs="宋体"/>
          <w:b/>
          <w:sz w:val="15"/>
        </w:rPr>
        <w:t>1.采购人信息</w:t>
      </w:r>
    </w:p>
    <w:p w14:paraId="4F8BC2D1">
      <w:pPr>
        <w:pStyle w:val="90"/>
        <w:rPr>
          <w:rFonts w:hint="eastAsia" w:ascii="宋体" w:hAnsi="宋体" w:eastAsia="宋体" w:cs="宋体"/>
        </w:rPr>
      </w:pPr>
      <w:r>
        <w:rPr>
          <w:rFonts w:hint="eastAsia" w:ascii="宋体" w:hAnsi="宋体" w:eastAsia="宋体" w:cs="宋体"/>
        </w:rPr>
        <w:t>名称：太白县咀头镇初级中学</w:t>
      </w:r>
    </w:p>
    <w:p w14:paraId="6D2BA519">
      <w:pPr>
        <w:pStyle w:val="90"/>
        <w:rPr>
          <w:rFonts w:hint="eastAsia" w:ascii="宋体" w:hAnsi="宋体" w:eastAsia="宋体" w:cs="宋体"/>
        </w:rPr>
      </w:pPr>
      <w:r>
        <w:rPr>
          <w:rFonts w:hint="eastAsia" w:ascii="宋体" w:hAnsi="宋体" w:eastAsia="宋体" w:cs="宋体"/>
        </w:rPr>
        <w:t>地址：宝鸡市太白县咀头镇体育场东侧</w:t>
      </w:r>
    </w:p>
    <w:p w14:paraId="674CA897">
      <w:pPr>
        <w:pStyle w:val="90"/>
        <w:rPr>
          <w:rFonts w:hint="eastAsia" w:ascii="宋体" w:hAnsi="宋体" w:eastAsia="宋体" w:cs="宋体"/>
        </w:rPr>
      </w:pPr>
      <w:r>
        <w:rPr>
          <w:rFonts w:hint="eastAsia" w:ascii="宋体" w:hAnsi="宋体" w:eastAsia="宋体" w:cs="宋体"/>
        </w:rPr>
        <w:t>联系方式：13659171223</w:t>
      </w:r>
    </w:p>
    <w:p w14:paraId="588D7622">
      <w:pPr>
        <w:pStyle w:val="90"/>
        <w:outlineLvl w:val="5"/>
        <w:rPr>
          <w:rFonts w:hint="eastAsia" w:ascii="宋体" w:hAnsi="宋体" w:eastAsia="宋体" w:cs="宋体"/>
        </w:rPr>
      </w:pPr>
      <w:r>
        <w:rPr>
          <w:rFonts w:hint="eastAsia" w:ascii="宋体" w:hAnsi="宋体" w:eastAsia="宋体" w:cs="宋体"/>
          <w:b/>
          <w:sz w:val="15"/>
        </w:rPr>
        <w:t>2.采购代理机构信息</w:t>
      </w:r>
    </w:p>
    <w:p w14:paraId="4F1FFD1D">
      <w:pPr>
        <w:pStyle w:val="90"/>
        <w:rPr>
          <w:rFonts w:hint="eastAsia" w:ascii="宋体" w:hAnsi="宋体" w:eastAsia="宋体" w:cs="宋体"/>
        </w:rPr>
      </w:pPr>
      <w:r>
        <w:rPr>
          <w:rFonts w:hint="eastAsia" w:ascii="宋体" w:hAnsi="宋体" w:eastAsia="宋体" w:cs="宋体"/>
        </w:rPr>
        <w:t>名称：陕西利锦弘云项目咨询管理有限公司</w:t>
      </w:r>
    </w:p>
    <w:p w14:paraId="44D430DA">
      <w:pPr>
        <w:pStyle w:val="90"/>
        <w:rPr>
          <w:rFonts w:hint="eastAsia" w:ascii="宋体" w:hAnsi="宋体" w:eastAsia="宋体" w:cs="宋体"/>
        </w:rPr>
      </w:pPr>
      <w:r>
        <w:rPr>
          <w:rFonts w:hint="eastAsia" w:ascii="宋体" w:hAnsi="宋体" w:eastAsia="宋体" w:cs="宋体"/>
        </w:rPr>
        <w:t>地址：宝鸡市金台区万祥尚锦二号楼二单元1504</w:t>
      </w:r>
    </w:p>
    <w:p w14:paraId="10C3C130">
      <w:pPr>
        <w:pStyle w:val="90"/>
        <w:rPr>
          <w:rFonts w:hint="eastAsia" w:ascii="宋体" w:hAnsi="宋体" w:eastAsia="宋体" w:cs="宋体"/>
        </w:rPr>
      </w:pPr>
      <w:r>
        <w:rPr>
          <w:rFonts w:hint="eastAsia" w:ascii="宋体" w:hAnsi="宋体" w:eastAsia="宋体" w:cs="宋体"/>
        </w:rPr>
        <w:t>联系方式：0917-3211901</w:t>
      </w:r>
    </w:p>
    <w:p w14:paraId="54E46C3E">
      <w:pPr>
        <w:pStyle w:val="90"/>
        <w:outlineLvl w:val="5"/>
        <w:rPr>
          <w:rFonts w:hint="eastAsia" w:ascii="宋体" w:hAnsi="宋体" w:eastAsia="宋体" w:cs="宋体"/>
        </w:rPr>
      </w:pPr>
      <w:r>
        <w:rPr>
          <w:rFonts w:hint="eastAsia" w:ascii="宋体" w:hAnsi="宋体" w:eastAsia="宋体" w:cs="宋体"/>
          <w:b/>
          <w:sz w:val="15"/>
        </w:rPr>
        <w:t>3.项目联系方式</w:t>
      </w:r>
    </w:p>
    <w:p w14:paraId="0A6EE044">
      <w:pPr>
        <w:pStyle w:val="90"/>
        <w:rPr>
          <w:rFonts w:hint="eastAsia" w:ascii="宋体" w:hAnsi="宋体" w:eastAsia="宋体" w:cs="宋体"/>
        </w:rPr>
      </w:pPr>
      <w:r>
        <w:rPr>
          <w:rFonts w:hint="eastAsia" w:ascii="宋体" w:hAnsi="宋体" w:eastAsia="宋体" w:cs="宋体"/>
        </w:rPr>
        <w:t>项目联系人：王女士</w:t>
      </w:r>
    </w:p>
    <w:p w14:paraId="65DFD39D">
      <w:pPr>
        <w:pStyle w:val="90"/>
        <w:rPr>
          <w:rFonts w:hint="eastAsia" w:ascii="宋体" w:hAnsi="宋体" w:eastAsia="宋体" w:cs="宋体"/>
        </w:rPr>
      </w:pPr>
      <w:r>
        <w:rPr>
          <w:rFonts w:hint="eastAsia" w:ascii="宋体" w:hAnsi="宋体" w:eastAsia="宋体" w:cs="宋体"/>
        </w:rPr>
        <w:t>电话：0917-3211901</w:t>
      </w:r>
    </w:p>
    <w:p w14:paraId="3E21D66F">
      <w:pPr>
        <w:pStyle w:val="90"/>
        <w:jc w:val="right"/>
        <w:rPr>
          <w:rFonts w:hint="eastAsia" w:ascii="宋体" w:hAnsi="宋体" w:eastAsia="宋体" w:cs="宋体"/>
        </w:rPr>
      </w:pPr>
      <w:r>
        <w:rPr>
          <w:rFonts w:hint="eastAsia" w:ascii="宋体" w:hAnsi="宋体" w:eastAsia="宋体" w:cs="宋体"/>
        </w:rPr>
        <w:t>陕西利锦弘云项目咨询管理有限公司</w:t>
      </w:r>
      <w:r>
        <w:rPr>
          <w:rFonts w:hint="eastAsia" w:ascii="宋体" w:hAnsi="宋体" w:eastAsia="宋体" w:cs="宋体"/>
        </w:rPr>
        <w:br w:type="textWrapping"/>
      </w:r>
    </w:p>
    <w:p w14:paraId="4EF69E50">
      <w:pPr>
        <w:pStyle w:val="90"/>
        <w:rPr>
          <w:rFonts w:hint="eastAsia" w:ascii="宋体" w:hAnsi="宋体" w:eastAsia="宋体" w:cs="宋体"/>
          <w:lang w:val="en-US" w:eastAsia="zh-Hans"/>
        </w:rPr>
      </w:pPr>
    </w:p>
    <w:p w14:paraId="4BD2CBFE">
      <w:pPr>
        <w:rPr>
          <w:rFonts w:hint="eastAsia" w:ascii="宋体" w:hAnsi="宋体" w:eastAsia="宋体" w:cs="宋体"/>
          <w:spacing w:val="0"/>
          <w:kern w:val="2"/>
          <w:sz w:val="28"/>
          <w:szCs w:val="28"/>
          <w:lang w:val="en-US" w:eastAsia="zh-CN"/>
        </w:rPr>
      </w:pPr>
      <w:bookmarkStart w:id="7" w:name="_Toc21366"/>
      <w:bookmarkStart w:id="8" w:name="_Toc10088"/>
      <w:bookmarkStart w:id="9" w:name="_Toc16899"/>
      <w:bookmarkStart w:id="10" w:name="_Toc26998"/>
      <w:bookmarkStart w:id="11" w:name="_Toc458515047"/>
      <w:bookmarkStart w:id="12" w:name="_Toc13183"/>
      <w:bookmarkStart w:id="13" w:name="_Toc452708685"/>
      <w:r>
        <w:rPr>
          <w:rFonts w:hint="eastAsia" w:ascii="宋体" w:hAnsi="宋体" w:eastAsia="宋体" w:cs="宋体"/>
          <w:spacing w:val="0"/>
          <w:kern w:val="2"/>
          <w:sz w:val="28"/>
          <w:szCs w:val="28"/>
          <w:lang w:val="en-US" w:eastAsia="zh-CN"/>
        </w:rPr>
        <w:br w:type="page"/>
      </w:r>
    </w:p>
    <w:p w14:paraId="59AFC17C">
      <w:pPr>
        <w:pStyle w:val="4"/>
        <w:keepNext w:val="0"/>
        <w:keepLines w:val="0"/>
        <w:pageBreakBefore w:val="0"/>
        <w:widowControl w:val="0"/>
        <w:kinsoku/>
        <w:wordWrap w:val="0"/>
        <w:overflowPunct/>
        <w:topLinePunct/>
        <w:autoSpaceDE/>
        <w:autoSpaceDN/>
        <w:bidi w:val="0"/>
        <w:adjustRightInd/>
        <w:snapToGrid/>
        <w:spacing w:line="500" w:lineRule="exact"/>
        <w:ind w:left="0" w:leftChars="0" w:firstLine="0" w:firstLineChars="0"/>
        <w:jc w:val="center"/>
        <w:textAlignment w:val="auto"/>
        <w:rPr>
          <w:rFonts w:hint="eastAsia" w:ascii="宋体" w:hAnsi="宋体" w:eastAsia="宋体" w:cs="宋体"/>
          <w:spacing w:val="0"/>
          <w:kern w:val="2"/>
        </w:rPr>
      </w:pPr>
      <w:r>
        <w:rPr>
          <w:rFonts w:hint="eastAsia" w:ascii="宋体" w:hAnsi="宋体" w:eastAsia="宋体" w:cs="宋体"/>
          <w:spacing w:val="0"/>
          <w:kern w:val="2"/>
          <w:sz w:val="28"/>
          <w:szCs w:val="28"/>
          <w:lang w:val="en-US" w:eastAsia="zh-CN"/>
        </w:rPr>
        <w:t>第二章  供应商须知</w:t>
      </w:r>
      <w:bookmarkEnd w:id="7"/>
      <w:bookmarkEnd w:id="8"/>
      <w:bookmarkEnd w:id="9"/>
    </w:p>
    <w:p w14:paraId="36C8571D">
      <w:pPr>
        <w:keepNext w:val="0"/>
        <w:keepLines w:val="0"/>
        <w:pageBreakBefore w:val="0"/>
        <w:widowControl w:val="0"/>
        <w:numPr>
          <w:ilvl w:val="0"/>
          <w:numId w:val="0"/>
        </w:numPr>
        <w:kinsoku/>
        <w:wordWrap w:val="0"/>
        <w:overflowPunct/>
        <w:topLinePunct/>
        <w:autoSpaceDE/>
        <w:autoSpaceDN/>
        <w:bidi w:val="0"/>
        <w:adjustRightInd/>
        <w:snapToGrid/>
        <w:spacing w:line="500" w:lineRule="exact"/>
        <w:jc w:val="center"/>
        <w:textAlignment w:val="auto"/>
        <w:rPr>
          <w:rFonts w:hint="eastAsia" w:ascii="宋体" w:hAnsi="宋体" w:eastAsia="宋体" w:cs="宋体"/>
          <w:b/>
          <w:color w:val="auto"/>
          <w:spacing w:val="0"/>
          <w:kern w:val="2"/>
          <w:sz w:val="28"/>
          <w:szCs w:val="28"/>
          <w:highlight w:val="none"/>
        </w:rPr>
      </w:pPr>
      <w:r>
        <w:rPr>
          <w:rFonts w:hint="eastAsia" w:ascii="宋体" w:hAnsi="宋体" w:eastAsia="宋体" w:cs="宋体"/>
          <w:b/>
          <w:color w:val="auto"/>
          <w:spacing w:val="0"/>
          <w:kern w:val="2"/>
          <w:sz w:val="28"/>
          <w:szCs w:val="28"/>
          <w:highlight w:val="none"/>
          <w:lang w:val="en-US" w:eastAsia="zh-CN"/>
        </w:rPr>
        <w:t>一、</w:t>
      </w:r>
      <w:r>
        <w:rPr>
          <w:rFonts w:hint="eastAsia" w:ascii="宋体" w:hAnsi="宋体" w:eastAsia="宋体" w:cs="宋体"/>
          <w:b/>
          <w:color w:val="auto"/>
          <w:spacing w:val="0"/>
          <w:kern w:val="2"/>
          <w:sz w:val="28"/>
          <w:szCs w:val="28"/>
          <w:highlight w:val="none"/>
        </w:rPr>
        <w:t>供应商须知前附表</w:t>
      </w:r>
    </w:p>
    <w:tbl>
      <w:tblPr>
        <w:tblStyle w:val="29"/>
        <w:tblpPr w:leftFromText="180" w:rightFromText="180" w:vertAnchor="text" w:horzAnchor="page" w:tblpXSpec="center" w:tblpY="372"/>
        <w:tblOverlap w:val="never"/>
        <w:tblW w:w="87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2007"/>
        <w:gridCol w:w="5960"/>
      </w:tblGrid>
      <w:tr w14:paraId="56E2D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775" w:type="dxa"/>
            <w:vAlign w:val="center"/>
          </w:tcPr>
          <w:p w14:paraId="7C7C1A16">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21"/>
                <w:szCs w:val="21"/>
                <w:highlight w:val="none"/>
              </w:rPr>
              <w:t>序号</w:t>
            </w:r>
          </w:p>
        </w:tc>
        <w:tc>
          <w:tcPr>
            <w:tcW w:w="2007" w:type="dxa"/>
            <w:vAlign w:val="center"/>
          </w:tcPr>
          <w:p w14:paraId="5F708EB9">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21"/>
                <w:szCs w:val="21"/>
                <w:highlight w:val="none"/>
              </w:rPr>
              <w:t>条款名称</w:t>
            </w:r>
          </w:p>
        </w:tc>
        <w:tc>
          <w:tcPr>
            <w:tcW w:w="5960" w:type="dxa"/>
          </w:tcPr>
          <w:p w14:paraId="5B42B6EE">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21"/>
                <w:szCs w:val="21"/>
                <w:highlight w:val="none"/>
              </w:rPr>
              <w:t>说明和要求</w:t>
            </w:r>
          </w:p>
        </w:tc>
      </w:tr>
      <w:tr w14:paraId="03998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75" w:type="dxa"/>
            <w:vAlign w:val="center"/>
          </w:tcPr>
          <w:p w14:paraId="4DFFCA4E">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w:t>
            </w:r>
          </w:p>
        </w:tc>
        <w:tc>
          <w:tcPr>
            <w:tcW w:w="2007" w:type="dxa"/>
            <w:vAlign w:val="center"/>
          </w:tcPr>
          <w:p w14:paraId="17C913FF">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采购人</w:t>
            </w:r>
          </w:p>
        </w:tc>
        <w:tc>
          <w:tcPr>
            <w:tcW w:w="5960" w:type="dxa"/>
          </w:tcPr>
          <w:p w14:paraId="089E1DC4">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 xml:space="preserve">名称：太白县咀头镇初级中学 </w:t>
            </w:r>
          </w:p>
          <w:p w14:paraId="06CB3161">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rPr>
              <w:t>联系人：</w:t>
            </w:r>
            <w:r>
              <w:rPr>
                <w:rFonts w:hint="eastAsia" w:ascii="宋体" w:hAnsi="宋体" w:eastAsia="宋体" w:cs="宋体"/>
                <w:color w:val="auto"/>
                <w:spacing w:val="0"/>
                <w:kern w:val="2"/>
                <w:sz w:val="21"/>
                <w:szCs w:val="21"/>
                <w:highlight w:val="none"/>
                <w:lang w:val="en-US" w:eastAsia="zh-CN"/>
              </w:rPr>
              <w:t xml:space="preserve">刘先生       </w:t>
            </w:r>
          </w:p>
          <w:p w14:paraId="0E91F18F">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联系方式：13659171223</w:t>
            </w:r>
          </w:p>
        </w:tc>
      </w:tr>
      <w:tr w14:paraId="53066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jc w:val="center"/>
        </w:trPr>
        <w:tc>
          <w:tcPr>
            <w:tcW w:w="775" w:type="dxa"/>
            <w:vAlign w:val="center"/>
          </w:tcPr>
          <w:p w14:paraId="542CFF88">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2</w:t>
            </w:r>
          </w:p>
        </w:tc>
        <w:tc>
          <w:tcPr>
            <w:tcW w:w="2007" w:type="dxa"/>
            <w:vAlign w:val="center"/>
          </w:tcPr>
          <w:p w14:paraId="391075C5">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采购代理机构</w:t>
            </w:r>
          </w:p>
        </w:tc>
        <w:tc>
          <w:tcPr>
            <w:tcW w:w="5960" w:type="dxa"/>
          </w:tcPr>
          <w:p w14:paraId="7402E489">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rPr>
              <w:t>名称：</w:t>
            </w:r>
            <w:r>
              <w:rPr>
                <w:rFonts w:hint="eastAsia" w:ascii="宋体" w:hAnsi="宋体" w:eastAsia="宋体" w:cs="宋体"/>
                <w:color w:val="auto"/>
                <w:spacing w:val="0"/>
                <w:kern w:val="2"/>
                <w:sz w:val="21"/>
                <w:szCs w:val="21"/>
                <w:highlight w:val="none"/>
                <w:lang w:val="en-US" w:eastAsia="zh-CN"/>
              </w:rPr>
              <w:t xml:space="preserve">陕西利锦弘云项目咨询管理有限公司   </w:t>
            </w:r>
          </w:p>
          <w:p w14:paraId="1138A545">
            <w:pPr>
              <w:keepNext w:val="0"/>
              <w:keepLines w:val="0"/>
              <w:pageBreakBefore w:val="0"/>
              <w:widowControl w:val="0"/>
              <w:tabs>
                <w:tab w:val="left" w:pos="-200"/>
                <w:tab w:val="left" w:pos="0"/>
              </w:tabs>
              <w:kinsoku/>
              <w:wordWrap w:val="0"/>
              <w:overflowPunct/>
              <w:topLinePunct/>
              <w:autoSpaceDE/>
              <w:autoSpaceDN/>
              <w:bidi w:val="0"/>
              <w:adjustRightInd/>
              <w:snapToGrid/>
              <w:spacing w:beforeAutospacing="0" w:afterAutospacing="0" w:line="240" w:lineRule="auto"/>
              <w:ind w:left="0" w:leftChars="0" w:firstLine="0" w:firstLineChars="0"/>
              <w:textAlignment w:val="auto"/>
              <w:outlineLvl w:val="9"/>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rPr>
              <w:t>地址：</w:t>
            </w:r>
            <w:r>
              <w:rPr>
                <w:rFonts w:hint="eastAsia" w:ascii="宋体" w:hAnsi="宋体" w:eastAsia="宋体" w:cs="宋体"/>
                <w:color w:val="auto"/>
                <w:spacing w:val="0"/>
                <w:kern w:val="2"/>
                <w:sz w:val="21"/>
                <w:szCs w:val="21"/>
                <w:highlight w:val="none"/>
                <w:lang w:eastAsia="zh-CN"/>
              </w:rPr>
              <w:t>宝鸡市金台区万祥尚锦二号楼二单元1504</w:t>
            </w:r>
          </w:p>
          <w:p w14:paraId="39F0C562">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rPr>
              <w:t>联系人：</w:t>
            </w:r>
            <w:r>
              <w:rPr>
                <w:rFonts w:hint="eastAsia" w:ascii="宋体" w:hAnsi="宋体" w:eastAsia="宋体" w:cs="宋体"/>
                <w:color w:val="auto"/>
                <w:spacing w:val="0"/>
                <w:kern w:val="2"/>
                <w:sz w:val="21"/>
                <w:szCs w:val="21"/>
                <w:highlight w:val="none"/>
                <w:lang w:eastAsia="zh-CN"/>
              </w:rPr>
              <w:t>王女士</w:t>
            </w:r>
          </w:p>
          <w:p w14:paraId="6DBA3F6E">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rPr>
              <w:t>电话：</w:t>
            </w:r>
            <w:r>
              <w:rPr>
                <w:rFonts w:hint="eastAsia" w:ascii="宋体" w:hAnsi="宋体" w:eastAsia="宋体" w:cs="宋体"/>
                <w:color w:val="auto"/>
                <w:spacing w:val="0"/>
                <w:kern w:val="2"/>
                <w:sz w:val="21"/>
                <w:szCs w:val="21"/>
                <w:highlight w:val="none"/>
                <w:lang w:eastAsia="zh-CN"/>
              </w:rPr>
              <w:t>0917-3211901</w:t>
            </w:r>
          </w:p>
        </w:tc>
      </w:tr>
      <w:tr w14:paraId="640D6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775" w:type="dxa"/>
            <w:vAlign w:val="center"/>
          </w:tcPr>
          <w:p w14:paraId="6F32D629">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3</w:t>
            </w:r>
          </w:p>
        </w:tc>
        <w:tc>
          <w:tcPr>
            <w:tcW w:w="2007" w:type="dxa"/>
            <w:vAlign w:val="center"/>
          </w:tcPr>
          <w:p w14:paraId="21AFFB24">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供应商</w:t>
            </w:r>
          </w:p>
        </w:tc>
        <w:tc>
          <w:tcPr>
            <w:tcW w:w="5960" w:type="dxa"/>
            <w:vAlign w:val="center"/>
          </w:tcPr>
          <w:p w14:paraId="3C7D9A52">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rPr>
              <w:t>响应谈判并且符合谈判文件规定资格条件和参加谈判竞争的法人</w:t>
            </w:r>
          </w:p>
        </w:tc>
      </w:tr>
      <w:tr w14:paraId="0494C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775" w:type="dxa"/>
            <w:vMerge w:val="restart"/>
            <w:vAlign w:val="center"/>
          </w:tcPr>
          <w:p w14:paraId="76B03C09">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4</w:t>
            </w:r>
          </w:p>
        </w:tc>
        <w:tc>
          <w:tcPr>
            <w:tcW w:w="2007" w:type="dxa"/>
            <w:vMerge w:val="restart"/>
            <w:vAlign w:val="center"/>
          </w:tcPr>
          <w:p w14:paraId="57CA8516">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rPr>
              <w:t>项目名称</w:t>
            </w:r>
          </w:p>
        </w:tc>
        <w:tc>
          <w:tcPr>
            <w:tcW w:w="5960" w:type="dxa"/>
            <w:vAlign w:val="center"/>
          </w:tcPr>
          <w:p w14:paraId="75F5520D">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rPr>
              <w:t>2026年蔬菜、调味品等食品辅材第2包（二次）</w:t>
            </w:r>
          </w:p>
        </w:tc>
      </w:tr>
      <w:tr w14:paraId="40FD8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775" w:type="dxa"/>
            <w:vAlign w:val="center"/>
          </w:tcPr>
          <w:p w14:paraId="72687EBD">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5</w:t>
            </w:r>
          </w:p>
        </w:tc>
        <w:tc>
          <w:tcPr>
            <w:tcW w:w="2007" w:type="dxa"/>
            <w:vAlign w:val="center"/>
          </w:tcPr>
          <w:p w14:paraId="0464670F">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项目编号</w:t>
            </w:r>
          </w:p>
        </w:tc>
        <w:tc>
          <w:tcPr>
            <w:tcW w:w="5960" w:type="dxa"/>
            <w:vAlign w:val="center"/>
          </w:tcPr>
          <w:p w14:paraId="5C6469C2">
            <w:pPr>
              <w:keepNext w:val="0"/>
              <w:keepLines w:val="0"/>
              <w:pageBreakBefore w:val="0"/>
              <w:widowControl w:val="0"/>
              <w:kinsoku/>
              <w:wordWrap w:val="0"/>
              <w:overflowPunct/>
              <w:topLinePunct/>
              <w:autoSpaceDE/>
              <w:autoSpaceDN/>
              <w:bidi w:val="0"/>
              <w:adjustRightInd/>
              <w:snapToGrid/>
              <w:spacing w:line="240" w:lineRule="auto"/>
              <w:ind w:firstLine="0" w:firstLineChars="0"/>
              <w:jc w:val="both"/>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LJHY2026-17.2B1</w:t>
            </w:r>
          </w:p>
        </w:tc>
      </w:tr>
      <w:tr w14:paraId="0220F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775" w:type="dxa"/>
            <w:vAlign w:val="center"/>
          </w:tcPr>
          <w:p w14:paraId="7E2F157B">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en-US" w:eastAsia="zh-CN"/>
              </w:rPr>
              <w:t>6</w:t>
            </w:r>
          </w:p>
        </w:tc>
        <w:tc>
          <w:tcPr>
            <w:tcW w:w="2007" w:type="dxa"/>
            <w:vAlign w:val="center"/>
          </w:tcPr>
          <w:p w14:paraId="51D6736F">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预算金额</w:t>
            </w:r>
          </w:p>
        </w:tc>
        <w:tc>
          <w:tcPr>
            <w:tcW w:w="5960" w:type="dxa"/>
            <w:tcBorders>
              <w:bottom w:val="single" w:color="auto" w:sz="4" w:space="0"/>
            </w:tcBorders>
            <w:vAlign w:val="center"/>
          </w:tcPr>
          <w:p w14:paraId="7804B041">
            <w:pPr>
              <w:pStyle w:val="84"/>
              <w:keepNext w:val="0"/>
              <w:keepLines w:val="0"/>
              <w:pageBreakBefore w:val="0"/>
              <w:widowControl w:val="0"/>
              <w:kinsoku/>
              <w:wordWrap w:val="0"/>
              <w:overflowPunct/>
              <w:topLinePunct/>
              <w:autoSpaceDE/>
              <w:autoSpaceDN/>
              <w:bidi w:val="0"/>
              <w:spacing w:line="320" w:lineRule="exact"/>
              <w:jc w:val="both"/>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本包段预算金额：</w:t>
            </w:r>
            <w:r>
              <w:rPr>
                <w:rFonts w:hint="eastAsia" w:ascii="宋体" w:hAnsi="宋体" w:eastAsia="宋体" w:cs="宋体"/>
                <w:spacing w:val="0"/>
                <w:kern w:val="2"/>
                <w:sz w:val="21"/>
                <w:szCs w:val="21"/>
                <w:highlight w:val="none"/>
                <w:lang w:val="en-US" w:eastAsia="zh-CN"/>
              </w:rPr>
              <w:t>390000.00</w:t>
            </w:r>
            <w:r>
              <w:rPr>
                <w:rFonts w:hint="eastAsia" w:ascii="宋体" w:hAnsi="宋体" w:eastAsia="宋体" w:cs="宋体"/>
                <w:color w:val="auto"/>
                <w:spacing w:val="0"/>
                <w:kern w:val="2"/>
                <w:sz w:val="21"/>
                <w:szCs w:val="21"/>
                <w:highlight w:val="none"/>
                <w:lang w:val="en-US" w:eastAsia="zh-CN" w:bidi="ar-SA"/>
              </w:rPr>
              <w:t>元</w:t>
            </w:r>
          </w:p>
        </w:tc>
      </w:tr>
      <w:tr w14:paraId="3E2DC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775" w:type="dxa"/>
            <w:vAlign w:val="center"/>
          </w:tcPr>
          <w:p w14:paraId="123FCC23">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7</w:t>
            </w:r>
          </w:p>
        </w:tc>
        <w:tc>
          <w:tcPr>
            <w:tcW w:w="2007" w:type="dxa"/>
            <w:vAlign w:val="center"/>
          </w:tcPr>
          <w:p w14:paraId="03210793">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zh-CN"/>
              </w:rPr>
              <w:t>最高限价</w:t>
            </w:r>
          </w:p>
        </w:tc>
        <w:tc>
          <w:tcPr>
            <w:tcW w:w="5960" w:type="dxa"/>
            <w:tcBorders>
              <w:top w:val="single" w:color="auto" w:sz="4" w:space="0"/>
            </w:tcBorders>
            <w:vAlign w:val="center"/>
          </w:tcPr>
          <w:p w14:paraId="6690490E">
            <w:pPr>
              <w:keepNext w:val="0"/>
              <w:keepLines w:val="0"/>
              <w:pageBreakBefore w:val="0"/>
              <w:widowControl w:val="0"/>
              <w:kinsoku/>
              <w:wordWrap w:val="0"/>
              <w:overflowPunct/>
              <w:topLinePunct/>
              <w:autoSpaceDE/>
              <w:autoSpaceDN/>
              <w:bidi w:val="0"/>
              <w:adjustRightInd/>
              <w:snapToGrid/>
              <w:spacing w:line="336" w:lineRule="auto"/>
              <w:ind w:left="0" w:leftChars="0" w:firstLine="0" w:firstLineChars="0"/>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rPr>
              <w:t>本</w:t>
            </w:r>
            <w:r>
              <w:rPr>
                <w:rFonts w:hint="eastAsia" w:ascii="宋体" w:hAnsi="宋体" w:eastAsia="宋体" w:cs="宋体"/>
                <w:color w:val="auto"/>
                <w:spacing w:val="0"/>
                <w:kern w:val="2"/>
                <w:sz w:val="21"/>
                <w:szCs w:val="21"/>
                <w:highlight w:val="none"/>
                <w:lang w:val="en-US" w:eastAsia="zh-CN"/>
              </w:rPr>
              <w:t>包段</w:t>
            </w:r>
            <w:r>
              <w:rPr>
                <w:rFonts w:hint="eastAsia" w:ascii="宋体" w:hAnsi="宋体" w:eastAsia="宋体" w:cs="宋体"/>
                <w:color w:val="auto"/>
                <w:spacing w:val="0"/>
                <w:kern w:val="2"/>
                <w:sz w:val="21"/>
                <w:szCs w:val="21"/>
                <w:highlight w:val="none"/>
              </w:rPr>
              <w:t>最高限价</w:t>
            </w:r>
            <w:r>
              <w:rPr>
                <w:rFonts w:hint="eastAsia" w:ascii="宋体" w:hAnsi="宋体" w:eastAsia="宋体" w:cs="宋体"/>
                <w:color w:val="auto"/>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rPr>
              <w:t>390000.00</w:t>
            </w:r>
            <w:r>
              <w:rPr>
                <w:rFonts w:hint="eastAsia" w:ascii="宋体" w:hAnsi="宋体" w:eastAsia="宋体" w:cs="宋体"/>
                <w:color w:val="auto"/>
                <w:spacing w:val="0"/>
                <w:kern w:val="2"/>
                <w:sz w:val="21"/>
                <w:szCs w:val="21"/>
                <w:highlight w:val="none"/>
                <w:lang w:val="en-US" w:eastAsia="zh-CN" w:bidi="ar-SA"/>
              </w:rPr>
              <w:t>元 ；</w:t>
            </w:r>
            <w:r>
              <w:rPr>
                <w:rFonts w:hint="eastAsia" w:ascii="宋体" w:hAnsi="宋体" w:eastAsia="宋体" w:cs="宋体"/>
                <w:b/>
                <w:bCs/>
                <w:color w:val="auto"/>
                <w:spacing w:val="0"/>
                <w:kern w:val="2"/>
                <w:sz w:val="21"/>
                <w:szCs w:val="21"/>
                <w:highlight w:val="none"/>
              </w:rPr>
              <w:t>投标人报价超出最高限价的，作为不实质性响应</w:t>
            </w:r>
            <w:r>
              <w:rPr>
                <w:rFonts w:hint="eastAsia" w:ascii="宋体" w:hAnsi="宋体" w:eastAsia="宋体" w:cs="宋体"/>
                <w:b/>
                <w:bCs/>
                <w:color w:val="auto"/>
                <w:spacing w:val="0"/>
                <w:kern w:val="2"/>
                <w:sz w:val="21"/>
                <w:szCs w:val="21"/>
                <w:highlight w:val="none"/>
                <w:lang w:val="en-US" w:eastAsia="zh-CN"/>
              </w:rPr>
              <w:t>采购文件</w:t>
            </w:r>
            <w:r>
              <w:rPr>
                <w:rFonts w:hint="eastAsia" w:ascii="宋体" w:hAnsi="宋体" w:eastAsia="宋体" w:cs="宋体"/>
                <w:b/>
                <w:bCs/>
                <w:color w:val="auto"/>
                <w:spacing w:val="0"/>
                <w:kern w:val="2"/>
                <w:sz w:val="21"/>
                <w:szCs w:val="21"/>
                <w:highlight w:val="none"/>
              </w:rPr>
              <w:t>，按无效</w:t>
            </w:r>
            <w:r>
              <w:rPr>
                <w:rFonts w:hint="eastAsia" w:ascii="宋体" w:hAnsi="宋体" w:eastAsia="宋体" w:cs="宋体"/>
                <w:b/>
                <w:bCs/>
                <w:color w:val="auto"/>
                <w:spacing w:val="0"/>
                <w:kern w:val="2"/>
                <w:sz w:val="21"/>
                <w:szCs w:val="21"/>
                <w:highlight w:val="none"/>
                <w:lang w:val="en-US" w:eastAsia="zh-CN"/>
              </w:rPr>
              <w:t>标书</w:t>
            </w:r>
            <w:r>
              <w:rPr>
                <w:rFonts w:hint="eastAsia" w:ascii="宋体" w:hAnsi="宋体" w:eastAsia="宋体" w:cs="宋体"/>
                <w:b/>
                <w:bCs/>
                <w:color w:val="auto"/>
                <w:spacing w:val="0"/>
                <w:kern w:val="2"/>
                <w:sz w:val="21"/>
                <w:szCs w:val="21"/>
                <w:highlight w:val="none"/>
              </w:rPr>
              <w:t>处理</w:t>
            </w:r>
          </w:p>
        </w:tc>
      </w:tr>
      <w:tr w14:paraId="1B1BD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75" w:type="dxa"/>
            <w:vAlign w:val="center"/>
          </w:tcPr>
          <w:p w14:paraId="04C23B68">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8</w:t>
            </w:r>
          </w:p>
        </w:tc>
        <w:tc>
          <w:tcPr>
            <w:tcW w:w="2007" w:type="dxa"/>
            <w:vAlign w:val="center"/>
          </w:tcPr>
          <w:p w14:paraId="3D446972">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资金来源</w:t>
            </w:r>
          </w:p>
        </w:tc>
        <w:tc>
          <w:tcPr>
            <w:tcW w:w="5960" w:type="dxa"/>
            <w:vAlign w:val="center"/>
          </w:tcPr>
          <w:p w14:paraId="10580FAC">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自筹+财政资金</w:t>
            </w:r>
          </w:p>
        </w:tc>
      </w:tr>
      <w:tr w14:paraId="6A747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jc w:val="center"/>
        </w:trPr>
        <w:tc>
          <w:tcPr>
            <w:tcW w:w="775" w:type="dxa"/>
            <w:vAlign w:val="center"/>
          </w:tcPr>
          <w:p w14:paraId="237D1E5E">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9</w:t>
            </w:r>
          </w:p>
        </w:tc>
        <w:tc>
          <w:tcPr>
            <w:tcW w:w="2007" w:type="dxa"/>
            <w:vAlign w:val="center"/>
          </w:tcPr>
          <w:p w14:paraId="18BEAB99">
            <w:pPr>
              <w:pStyle w:val="84"/>
              <w:keepNext w:val="0"/>
              <w:keepLines w:val="0"/>
              <w:pageBreakBefore w:val="0"/>
              <w:widowControl w:val="0"/>
              <w:kinsoku/>
              <w:wordWrap w:val="0"/>
              <w:overflowPunct/>
              <w:topLinePunct/>
              <w:autoSpaceDE/>
              <w:autoSpaceDN/>
              <w:bidi w:val="0"/>
              <w:ind w:left="38"/>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是否预留份额专门</w:t>
            </w:r>
          </w:p>
          <w:p w14:paraId="1F196856">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zh-CN"/>
              </w:rPr>
              <w:t>面向中小企业采购</w:t>
            </w:r>
          </w:p>
        </w:tc>
        <w:tc>
          <w:tcPr>
            <w:tcW w:w="5960" w:type="dxa"/>
            <w:vAlign w:val="center"/>
          </w:tcPr>
          <w:p w14:paraId="39870198">
            <w:pPr>
              <w:keepNext w:val="0"/>
              <w:keepLines w:val="0"/>
              <w:pageBreakBefore w:val="0"/>
              <w:widowControl w:val="0"/>
              <w:kinsoku/>
              <w:wordWrap w:val="0"/>
              <w:overflowPunct/>
              <w:topLinePunct/>
              <w:autoSpaceDE/>
              <w:autoSpaceDN/>
              <w:bidi w:val="0"/>
              <w:adjustRightInd/>
              <w:snapToGrid/>
              <w:spacing w:line="360" w:lineRule="auto"/>
              <w:ind w:left="0" w:leftChars="0" w:firstLine="0" w:firstLineChars="0"/>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b w:val="0"/>
                <w:spacing w:val="0"/>
                <w:kern w:val="2"/>
                <w:sz w:val="21"/>
                <w:szCs w:val="21"/>
                <w:highlight w:val="none"/>
                <w:lang w:val="en-US" w:eastAsia="zh-CN" w:bidi="ar-SA"/>
              </w:rPr>
              <w:t>本项目专门面向中小企业采购，供应商应当为中小企业（含残疾人福利性单位、监狱企业）</w:t>
            </w:r>
          </w:p>
        </w:tc>
      </w:tr>
      <w:tr w14:paraId="7E1C9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775" w:type="dxa"/>
            <w:vAlign w:val="center"/>
          </w:tcPr>
          <w:p w14:paraId="122BC4FE">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10</w:t>
            </w:r>
          </w:p>
        </w:tc>
        <w:tc>
          <w:tcPr>
            <w:tcW w:w="2007" w:type="dxa"/>
            <w:vAlign w:val="center"/>
          </w:tcPr>
          <w:p w14:paraId="49748C09">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采购需求</w:t>
            </w:r>
          </w:p>
        </w:tc>
        <w:tc>
          <w:tcPr>
            <w:tcW w:w="5960" w:type="dxa"/>
            <w:vAlign w:val="center"/>
          </w:tcPr>
          <w:p w14:paraId="102ADE25">
            <w:pPr>
              <w:pStyle w:val="84"/>
              <w:keepNext w:val="0"/>
              <w:keepLines w:val="0"/>
              <w:pageBreakBefore w:val="0"/>
              <w:widowControl w:val="0"/>
              <w:kinsoku/>
              <w:wordWrap w:val="0"/>
              <w:overflowPunct/>
              <w:topLinePunct/>
              <w:autoSpaceDE/>
              <w:autoSpaceDN/>
              <w:bidi w:val="0"/>
              <w:jc w:val="both"/>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zh-CN"/>
              </w:rPr>
              <w:t>详见</w:t>
            </w:r>
            <w:r>
              <w:rPr>
                <w:rFonts w:hint="eastAsia" w:ascii="宋体" w:hAnsi="宋体" w:eastAsia="宋体" w:cs="宋体"/>
                <w:color w:val="auto"/>
                <w:spacing w:val="0"/>
                <w:kern w:val="2"/>
                <w:sz w:val="21"/>
                <w:szCs w:val="21"/>
                <w:highlight w:val="none"/>
                <w:lang w:val="en-US" w:eastAsia="zh-CN"/>
              </w:rPr>
              <w:t>采购</w:t>
            </w:r>
            <w:r>
              <w:rPr>
                <w:rFonts w:hint="eastAsia" w:ascii="宋体" w:hAnsi="宋体" w:eastAsia="宋体" w:cs="宋体"/>
                <w:color w:val="auto"/>
                <w:spacing w:val="0"/>
                <w:kern w:val="2"/>
                <w:sz w:val="21"/>
                <w:szCs w:val="21"/>
                <w:highlight w:val="none"/>
                <w:lang w:val="zh-CN"/>
              </w:rPr>
              <w:t>文件第</w:t>
            </w:r>
            <w:r>
              <w:rPr>
                <w:rFonts w:hint="eastAsia" w:ascii="宋体" w:hAnsi="宋体" w:eastAsia="宋体" w:cs="宋体"/>
                <w:color w:val="auto"/>
                <w:spacing w:val="0"/>
                <w:kern w:val="2"/>
                <w:sz w:val="21"/>
                <w:szCs w:val="21"/>
                <w:highlight w:val="none"/>
                <w:lang w:val="en-US" w:eastAsia="zh-CN"/>
              </w:rPr>
              <w:t>三</w:t>
            </w:r>
            <w:r>
              <w:rPr>
                <w:rFonts w:hint="eastAsia" w:ascii="宋体" w:hAnsi="宋体" w:eastAsia="宋体" w:cs="宋体"/>
                <w:color w:val="auto"/>
                <w:spacing w:val="0"/>
                <w:kern w:val="2"/>
                <w:sz w:val="21"/>
                <w:szCs w:val="21"/>
                <w:highlight w:val="none"/>
                <w:lang w:val="zh-CN"/>
              </w:rPr>
              <w:t>章</w:t>
            </w:r>
          </w:p>
        </w:tc>
      </w:tr>
      <w:tr w14:paraId="1DC78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jc w:val="center"/>
        </w:trPr>
        <w:tc>
          <w:tcPr>
            <w:tcW w:w="775" w:type="dxa"/>
            <w:vAlign w:val="center"/>
          </w:tcPr>
          <w:p w14:paraId="34E46D6A">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11</w:t>
            </w:r>
          </w:p>
        </w:tc>
        <w:tc>
          <w:tcPr>
            <w:tcW w:w="2007" w:type="dxa"/>
            <w:vAlign w:val="center"/>
          </w:tcPr>
          <w:p w14:paraId="560E3979">
            <w:pPr>
              <w:pStyle w:val="84"/>
              <w:keepNext w:val="0"/>
              <w:keepLines w:val="0"/>
              <w:pageBreakBefore w:val="0"/>
              <w:widowControl w:val="0"/>
              <w:kinsoku/>
              <w:wordWrap w:val="0"/>
              <w:overflowPunct/>
              <w:topLinePunct/>
              <w:autoSpaceDE/>
              <w:autoSpaceDN/>
              <w:bidi w:val="0"/>
              <w:ind w:left="38" w:leftChars="0"/>
              <w:jc w:val="center"/>
              <w:rPr>
                <w:rFonts w:hint="eastAsia" w:ascii="宋体" w:hAnsi="宋体" w:eastAsia="宋体" w:cs="宋体"/>
                <w:color w:val="auto"/>
                <w:spacing w:val="0"/>
                <w:kern w:val="2"/>
                <w:sz w:val="21"/>
                <w:szCs w:val="21"/>
                <w:highlight w:val="none"/>
                <w:lang w:val="zh-CN" w:eastAsia="zh-CN" w:bidi="ar-SA"/>
              </w:rPr>
            </w:pPr>
            <w:r>
              <w:rPr>
                <w:rFonts w:hint="eastAsia" w:ascii="宋体" w:hAnsi="宋体" w:eastAsia="宋体" w:cs="宋体"/>
                <w:color w:val="auto"/>
                <w:spacing w:val="0"/>
                <w:kern w:val="2"/>
                <w:sz w:val="21"/>
                <w:szCs w:val="21"/>
                <w:highlight w:val="none"/>
                <w:lang w:val="zh-CN"/>
              </w:rPr>
              <w:t>合同价格形式</w:t>
            </w:r>
          </w:p>
        </w:tc>
        <w:tc>
          <w:tcPr>
            <w:tcW w:w="5960" w:type="dxa"/>
            <w:vAlign w:val="center"/>
          </w:tcPr>
          <w:p w14:paraId="42A8C4C3">
            <w:pPr>
              <w:keepNext w:val="0"/>
              <w:keepLines w:val="0"/>
              <w:pageBreakBefore w:val="0"/>
              <w:widowControl w:val="0"/>
              <w:suppressLineNumbers w:val="0"/>
              <w:kinsoku/>
              <w:wordWrap w:val="0"/>
              <w:overflowPunct/>
              <w:topLinePunct/>
              <w:autoSpaceDE/>
              <w:autoSpaceDN/>
              <w:bidi w:val="0"/>
              <w:ind w:left="0" w:leftChars="0" w:firstLine="0" w:firstLineChars="0"/>
              <w:jc w:val="left"/>
              <w:rPr>
                <w:rFonts w:hint="eastAsia" w:ascii="宋体" w:hAnsi="宋体" w:eastAsia="宋体" w:cs="宋体"/>
                <w:spacing w:val="0"/>
                <w:kern w:val="2"/>
                <w:sz w:val="21"/>
                <w:szCs w:val="21"/>
                <w:highlight w:val="none"/>
              </w:rPr>
            </w:pPr>
            <w:r>
              <w:rPr>
                <w:rFonts w:hint="eastAsia" w:ascii="宋体" w:hAnsi="宋体" w:eastAsia="宋体" w:cs="宋体"/>
                <w:color w:val="000000"/>
                <w:spacing w:val="0"/>
                <w:kern w:val="2"/>
                <w:sz w:val="21"/>
                <w:szCs w:val="21"/>
                <w:highlight w:val="none"/>
                <w:lang w:val="en-US" w:eastAsia="zh-CN" w:bidi="ar"/>
              </w:rPr>
              <w:sym w:font="Wingdings" w:char="00FE"/>
            </w:r>
            <w:r>
              <w:rPr>
                <w:rFonts w:hint="eastAsia" w:ascii="宋体" w:hAnsi="宋体" w:eastAsia="宋体" w:cs="宋体"/>
                <w:color w:val="000000"/>
                <w:spacing w:val="0"/>
                <w:kern w:val="2"/>
                <w:sz w:val="21"/>
                <w:szCs w:val="21"/>
                <w:highlight w:val="none"/>
                <w:lang w:val="en-US" w:eastAsia="zh-CN" w:bidi="ar"/>
              </w:rPr>
              <w:t xml:space="preserve">固定总价合同 </w:t>
            </w:r>
          </w:p>
          <w:p w14:paraId="47B8F2D9">
            <w:pPr>
              <w:keepNext w:val="0"/>
              <w:keepLines w:val="0"/>
              <w:pageBreakBefore w:val="0"/>
              <w:widowControl w:val="0"/>
              <w:suppressLineNumbers w:val="0"/>
              <w:kinsoku/>
              <w:wordWrap w:val="0"/>
              <w:overflowPunct/>
              <w:topLinePunct/>
              <w:autoSpaceDE/>
              <w:autoSpaceDN/>
              <w:bidi w:val="0"/>
              <w:ind w:left="0" w:leftChars="0" w:firstLine="0" w:firstLineChars="0"/>
              <w:jc w:val="lef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000000"/>
                <w:spacing w:val="0"/>
                <w:kern w:val="2"/>
                <w:sz w:val="21"/>
                <w:szCs w:val="21"/>
                <w:highlight w:val="none"/>
                <w:lang w:val="en-US" w:eastAsia="zh-CN" w:bidi="ar"/>
              </w:rPr>
              <w:t>□固定综合单价合同</w:t>
            </w:r>
          </w:p>
        </w:tc>
      </w:tr>
      <w:tr w14:paraId="52069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775" w:type="dxa"/>
            <w:vAlign w:val="center"/>
          </w:tcPr>
          <w:p w14:paraId="5369C384">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t>12</w:t>
            </w:r>
          </w:p>
        </w:tc>
        <w:tc>
          <w:tcPr>
            <w:tcW w:w="2007" w:type="dxa"/>
            <w:vAlign w:val="center"/>
          </w:tcPr>
          <w:p w14:paraId="531CCA81">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t>合同履行期限</w:t>
            </w:r>
          </w:p>
        </w:tc>
        <w:tc>
          <w:tcPr>
            <w:tcW w:w="5960" w:type="dxa"/>
            <w:vAlign w:val="center"/>
          </w:tcPr>
          <w:p w14:paraId="1E8E52F6">
            <w:pPr>
              <w:keepNext w:val="0"/>
              <w:keepLines w:val="0"/>
              <w:pageBreakBefore w:val="0"/>
              <w:widowControl w:val="0"/>
              <w:kinsoku/>
              <w:wordWrap w:val="0"/>
              <w:overflowPunct/>
              <w:topLinePunct/>
              <w:autoSpaceDE/>
              <w:autoSpaceDN/>
              <w:bidi w:val="0"/>
              <w:adjustRightInd/>
              <w:snapToGrid/>
              <w:spacing w:line="240" w:lineRule="auto"/>
              <w:ind w:firstLine="0" w:firstLineChars="0"/>
              <w:jc w:val="both"/>
              <w:textAlignment w:val="auto"/>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t>2026年9月1日—2027年8月31日</w:t>
            </w:r>
          </w:p>
        </w:tc>
      </w:tr>
      <w:tr w14:paraId="5E3B3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775" w:type="dxa"/>
            <w:vAlign w:val="center"/>
          </w:tcPr>
          <w:p w14:paraId="77BD069F">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13</w:t>
            </w:r>
          </w:p>
        </w:tc>
        <w:tc>
          <w:tcPr>
            <w:tcW w:w="2007" w:type="dxa"/>
            <w:vAlign w:val="center"/>
          </w:tcPr>
          <w:p w14:paraId="5BBD8D52">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服务地点</w:t>
            </w:r>
          </w:p>
        </w:tc>
        <w:tc>
          <w:tcPr>
            <w:tcW w:w="5960" w:type="dxa"/>
            <w:vAlign w:val="center"/>
          </w:tcPr>
          <w:p w14:paraId="0CE46B9D">
            <w:pPr>
              <w:keepNext w:val="0"/>
              <w:keepLines w:val="0"/>
              <w:pageBreakBefore w:val="0"/>
              <w:widowControl w:val="0"/>
              <w:kinsoku/>
              <w:wordWrap w:val="0"/>
              <w:overflowPunct/>
              <w:topLinePunct/>
              <w:autoSpaceDE/>
              <w:autoSpaceDN/>
              <w:bidi w:val="0"/>
              <w:adjustRightInd/>
              <w:snapToGrid/>
              <w:spacing w:line="240" w:lineRule="auto"/>
              <w:ind w:firstLine="0" w:firstLineChars="0"/>
              <w:jc w:val="both"/>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太白县咀头镇初级中学</w:t>
            </w:r>
          </w:p>
        </w:tc>
      </w:tr>
      <w:tr w14:paraId="231BC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775" w:type="dxa"/>
            <w:vAlign w:val="center"/>
          </w:tcPr>
          <w:p w14:paraId="356620CD">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14</w:t>
            </w:r>
          </w:p>
        </w:tc>
        <w:tc>
          <w:tcPr>
            <w:tcW w:w="2007" w:type="dxa"/>
            <w:vAlign w:val="center"/>
          </w:tcPr>
          <w:p w14:paraId="046210C9">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质量标准</w:t>
            </w:r>
          </w:p>
        </w:tc>
        <w:tc>
          <w:tcPr>
            <w:tcW w:w="5960" w:type="dxa"/>
            <w:vAlign w:val="center"/>
          </w:tcPr>
          <w:p w14:paraId="0E00240E">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both"/>
              <w:textAlignment w:val="auto"/>
              <w:rPr>
                <w:rFonts w:hint="eastAsia" w:ascii="宋体" w:hAnsi="宋体" w:eastAsia="宋体" w:cs="宋体"/>
                <w:b/>
                <w:bCs/>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合格</w:t>
            </w:r>
          </w:p>
        </w:tc>
      </w:tr>
      <w:tr w14:paraId="236A8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775" w:type="dxa"/>
            <w:vAlign w:val="center"/>
          </w:tcPr>
          <w:p w14:paraId="2F0D37C6">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15</w:t>
            </w:r>
          </w:p>
        </w:tc>
        <w:tc>
          <w:tcPr>
            <w:tcW w:w="2007" w:type="dxa"/>
            <w:vAlign w:val="center"/>
          </w:tcPr>
          <w:p w14:paraId="4E5FAEE8">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val="zh-CN"/>
              </w:rPr>
              <w:t>联合体投标</w:t>
            </w:r>
          </w:p>
        </w:tc>
        <w:tc>
          <w:tcPr>
            <w:tcW w:w="5960" w:type="dxa"/>
            <w:vAlign w:val="center"/>
          </w:tcPr>
          <w:p w14:paraId="391034AD">
            <w:pPr>
              <w:keepNext w:val="0"/>
              <w:keepLines w:val="0"/>
              <w:pageBreakBefore w:val="0"/>
              <w:widowControl w:val="0"/>
              <w:kinsoku/>
              <w:wordWrap w:val="0"/>
              <w:overflowPunct/>
              <w:topLinePunct/>
              <w:autoSpaceDE/>
              <w:autoSpaceDN/>
              <w:bidi w:val="0"/>
              <w:adjustRightInd/>
              <w:snapToGrid/>
              <w:spacing w:line="240" w:lineRule="auto"/>
              <w:ind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val="en-US" w:eastAsia="zh-CN"/>
              </w:rPr>
              <w:t>不接受</w:t>
            </w:r>
          </w:p>
        </w:tc>
      </w:tr>
      <w:tr w14:paraId="21BBB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775" w:type="dxa"/>
            <w:vAlign w:val="center"/>
          </w:tcPr>
          <w:p w14:paraId="77F8BE96">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16</w:t>
            </w:r>
          </w:p>
        </w:tc>
        <w:tc>
          <w:tcPr>
            <w:tcW w:w="2007" w:type="dxa"/>
            <w:vAlign w:val="center"/>
          </w:tcPr>
          <w:p w14:paraId="5A204200">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现场勘查、标前答疑会</w:t>
            </w:r>
          </w:p>
        </w:tc>
        <w:tc>
          <w:tcPr>
            <w:tcW w:w="5960" w:type="dxa"/>
            <w:vAlign w:val="center"/>
          </w:tcPr>
          <w:p w14:paraId="2923A405">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不组织。采购人认为有必要，另行书面通知。</w:t>
            </w:r>
          </w:p>
        </w:tc>
      </w:tr>
      <w:tr w14:paraId="652EB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5" w:type="dxa"/>
            <w:vAlign w:val="center"/>
          </w:tcPr>
          <w:p w14:paraId="09D9A03F">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17</w:t>
            </w:r>
          </w:p>
        </w:tc>
        <w:tc>
          <w:tcPr>
            <w:tcW w:w="2007" w:type="dxa"/>
            <w:vAlign w:val="center"/>
          </w:tcPr>
          <w:p w14:paraId="601E66BE">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构成谈判文件的其他文件</w:t>
            </w:r>
          </w:p>
        </w:tc>
        <w:tc>
          <w:tcPr>
            <w:tcW w:w="5960" w:type="dxa"/>
            <w:vAlign w:val="center"/>
          </w:tcPr>
          <w:p w14:paraId="29EA2B0C">
            <w:pPr>
              <w:keepNext w:val="0"/>
              <w:keepLines w:val="0"/>
              <w:pageBreakBefore w:val="0"/>
              <w:widowControl w:val="0"/>
              <w:kinsoku/>
              <w:wordWrap w:val="0"/>
              <w:overflowPunct/>
              <w:topLinePunct/>
              <w:autoSpaceDE/>
              <w:autoSpaceDN/>
              <w:bidi w:val="0"/>
              <w:adjustRightInd/>
              <w:snapToGrid/>
              <w:spacing w:line="240" w:lineRule="auto"/>
              <w:ind w:firstLine="0" w:firstLineChars="0"/>
              <w:jc w:val="left"/>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谈判文件的澄清、修改书及有关补充通知为谈判文件的有效组成部分。</w:t>
            </w:r>
          </w:p>
        </w:tc>
      </w:tr>
      <w:tr w14:paraId="7F8F5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775" w:type="dxa"/>
            <w:vAlign w:val="center"/>
          </w:tcPr>
          <w:p w14:paraId="6DA02D2E">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18</w:t>
            </w:r>
          </w:p>
        </w:tc>
        <w:tc>
          <w:tcPr>
            <w:tcW w:w="2007" w:type="dxa"/>
            <w:vAlign w:val="center"/>
          </w:tcPr>
          <w:p w14:paraId="5D81A3E5">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投标人对招标文件</w:t>
            </w:r>
          </w:p>
          <w:p w14:paraId="5D39B966">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val="zh-CN"/>
              </w:rPr>
              <w:t>提出质疑的时间、形式</w:t>
            </w:r>
          </w:p>
        </w:tc>
        <w:tc>
          <w:tcPr>
            <w:tcW w:w="5960" w:type="dxa"/>
            <w:vAlign w:val="center"/>
          </w:tcPr>
          <w:p w14:paraId="5B188C6A">
            <w:pPr>
              <w:pStyle w:val="84"/>
              <w:keepNext w:val="0"/>
              <w:keepLines w:val="0"/>
              <w:pageBreakBefore w:val="0"/>
              <w:widowControl w:val="0"/>
              <w:kinsoku/>
              <w:wordWrap w:val="0"/>
              <w:overflowPunct/>
              <w:topLinePunct/>
              <w:autoSpaceDE/>
              <w:autoSpaceDN/>
              <w:bidi w:val="0"/>
              <w:spacing w:line="320" w:lineRule="exact"/>
              <w:ind w:left="840" w:leftChars="100" w:hanging="630" w:hangingChars="30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时间：自投标人下载招标文件之日起7个工作日内，超过期限的采购人或采购代理机构不再受理</w:t>
            </w:r>
          </w:p>
          <w:p w14:paraId="2ACD0E74">
            <w:pPr>
              <w:pStyle w:val="84"/>
              <w:keepNext w:val="0"/>
              <w:keepLines w:val="0"/>
              <w:pageBreakBefore w:val="0"/>
              <w:widowControl w:val="0"/>
              <w:kinsoku/>
              <w:wordWrap w:val="0"/>
              <w:overflowPunct/>
              <w:topLinePunct/>
              <w:autoSpaceDE/>
              <w:autoSpaceDN/>
              <w:bidi w:val="0"/>
              <w:spacing w:line="320" w:lineRule="exact"/>
              <w:ind w:firstLine="210" w:firstLineChars="10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形式：☑书面</w:t>
            </w:r>
          </w:p>
          <w:p w14:paraId="6538BECB">
            <w:pPr>
              <w:pStyle w:val="84"/>
              <w:keepNext w:val="0"/>
              <w:keepLines w:val="0"/>
              <w:pageBreakBefore w:val="0"/>
              <w:widowControl w:val="0"/>
              <w:kinsoku/>
              <w:wordWrap w:val="0"/>
              <w:overflowPunct/>
              <w:topLinePunct/>
              <w:autoSpaceDE/>
              <w:autoSpaceDN/>
              <w:bidi w:val="0"/>
              <w:spacing w:line="320" w:lineRule="exact"/>
              <w:ind w:firstLine="210" w:firstLineChars="10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 xml:space="preserve">      □在线（电子文件）</w:t>
            </w:r>
          </w:p>
          <w:p w14:paraId="338C7718">
            <w:pPr>
              <w:pStyle w:val="84"/>
              <w:keepNext w:val="0"/>
              <w:keepLines w:val="0"/>
              <w:pageBreakBefore w:val="0"/>
              <w:widowControl w:val="0"/>
              <w:kinsoku/>
              <w:wordWrap w:val="0"/>
              <w:overflowPunct/>
              <w:topLinePunct/>
              <w:autoSpaceDE/>
              <w:autoSpaceDN/>
              <w:bidi w:val="0"/>
              <w:spacing w:line="320" w:lineRule="exact"/>
              <w:ind w:firstLine="210" w:firstLineChars="10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zh-CN"/>
              </w:rPr>
              <w:t>投标人认为采购过程、成交结果使自己的权益受到损害的，可以在知道或应知其权益受到损害之日起7个工作日内提出质疑，形式同上</w:t>
            </w:r>
          </w:p>
        </w:tc>
      </w:tr>
      <w:tr w14:paraId="07349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75" w:type="dxa"/>
            <w:vAlign w:val="center"/>
          </w:tcPr>
          <w:p w14:paraId="00ECDA9F">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19</w:t>
            </w:r>
          </w:p>
        </w:tc>
        <w:tc>
          <w:tcPr>
            <w:tcW w:w="2007" w:type="dxa"/>
            <w:vAlign w:val="center"/>
          </w:tcPr>
          <w:p w14:paraId="6F08AF8A">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对投标人提出质疑</w:t>
            </w:r>
          </w:p>
          <w:p w14:paraId="45BBBDD4">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val="zh-CN"/>
              </w:rPr>
              <w:t>答复时间、形式</w:t>
            </w:r>
          </w:p>
        </w:tc>
        <w:tc>
          <w:tcPr>
            <w:tcW w:w="5960" w:type="dxa"/>
            <w:vAlign w:val="center"/>
          </w:tcPr>
          <w:p w14:paraId="1F17EB1A">
            <w:pPr>
              <w:pStyle w:val="84"/>
              <w:keepNext w:val="0"/>
              <w:keepLines w:val="0"/>
              <w:pageBreakBefore w:val="0"/>
              <w:widowControl w:val="0"/>
              <w:kinsoku/>
              <w:wordWrap w:val="0"/>
              <w:overflowPunct/>
              <w:topLinePunct/>
              <w:autoSpaceDE/>
              <w:autoSpaceDN/>
              <w:bidi w:val="0"/>
              <w:ind w:firstLine="210" w:firstLineChars="10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时间：自收到投标人质疑函之日起7个工作日内</w:t>
            </w:r>
          </w:p>
          <w:p w14:paraId="4EB2B24B">
            <w:pPr>
              <w:pStyle w:val="84"/>
              <w:keepNext w:val="0"/>
              <w:keepLines w:val="0"/>
              <w:pageBreakBefore w:val="0"/>
              <w:widowControl w:val="0"/>
              <w:kinsoku/>
              <w:wordWrap w:val="0"/>
              <w:overflowPunct/>
              <w:topLinePunct/>
              <w:autoSpaceDE/>
              <w:autoSpaceDN/>
              <w:bidi w:val="0"/>
              <w:ind w:firstLine="210" w:firstLineChars="10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zh-CN"/>
              </w:rPr>
              <w:t>形式：书面形式</w:t>
            </w:r>
          </w:p>
        </w:tc>
      </w:tr>
      <w:tr w14:paraId="1B98F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775" w:type="dxa"/>
            <w:vAlign w:val="center"/>
          </w:tcPr>
          <w:p w14:paraId="1DBC0B49">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20</w:t>
            </w:r>
          </w:p>
        </w:tc>
        <w:tc>
          <w:tcPr>
            <w:tcW w:w="2007" w:type="dxa"/>
            <w:vAlign w:val="center"/>
          </w:tcPr>
          <w:p w14:paraId="2FD1E68F">
            <w:pPr>
              <w:pStyle w:val="84"/>
              <w:keepNext w:val="0"/>
              <w:keepLines w:val="0"/>
              <w:pageBreakBefore w:val="0"/>
              <w:widowControl w:val="0"/>
              <w:kinsoku/>
              <w:wordWrap w:val="0"/>
              <w:overflowPunct/>
              <w:topLinePunct/>
              <w:autoSpaceDE/>
              <w:autoSpaceDN/>
              <w:bidi w:val="0"/>
              <w:ind w:left="33" w:leftChars="0"/>
              <w:jc w:val="center"/>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val="en-US" w:eastAsia="zh-CN"/>
              </w:rPr>
              <w:t>谈判</w:t>
            </w:r>
            <w:r>
              <w:rPr>
                <w:rFonts w:hint="eastAsia" w:ascii="宋体" w:hAnsi="宋体" w:eastAsia="宋体" w:cs="宋体"/>
                <w:color w:val="auto"/>
                <w:spacing w:val="0"/>
                <w:kern w:val="2"/>
                <w:sz w:val="21"/>
                <w:szCs w:val="21"/>
                <w:highlight w:val="none"/>
                <w:lang w:val="zh-CN"/>
              </w:rPr>
              <w:t>有效期</w:t>
            </w:r>
          </w:p>
        </w:tc>
        <w:tc>
          <w:tcPr>
            <w:tcW w:w="5960" w:type="dxa"/>
            <w:vAlign w:val="center"/>
          </w:tcPr>
          <w:p w14:paraId="512B985C">
            <w:pPr>
              <w:pStyle w:val="84"/>
              <w:keepNext w:val="0"/>
              <w:keepLines w:val="0"/>
              <w:pageBreakBefore w:val="0"/>
              <w:widowControl w:val="0"/>
              <w:kinsoku/>
              <w:wordWrap w:val="0"/>
              <w:overflowPunct/>
              <w:topLinePunct/>
              <w:autoSpaceDE/>
              <w:autoSpaceDN/>
              <w:bidi w:val="0"/>
              <w:ind w:firstLine="210" w:firstLineChars="100"/>
              <w:jc w:val="both"/>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zh-CN"/>
              </w:rPr>
              <w:t>从投标截止日起90日历</w:t>
            </w:r>
            <w:r>
              <w:rPr>
                <w:rFonts w:hint="eastAsia" w:ascii="宋体" w:hAnsi="宋体" w:eastAsia="宋体" w:cs="宋体"/>
                <w:color w:val="auto"/>
                <w:spacing w:val="0"/>
                <w:kern w:val="2"/>
                <w:sz w:val="21"/>
                <w:szCs w:val="21"/>
                <w:highlight w:val="none"/>
              </w:rPr>
              <w:t>天</w:t>
            </w:r>
          </w:p>
        </w:tc>
      </w:tr>
      <w:tr w14:paraId="5957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5" w:type="dxa"/>
            <w:vAlign w:val="center"/>
          </w:tcPr>
          <w:p w14:paraId="6330B295">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21</w:t>
            </w:r>
          </w:p>
        </w:tc>
        <w:tc>
          <w:tcPr>
            <w:tcW w:w="2007" w:type="dxa"/>
            <w:vAlign w:val="center"/>
          </w:tcPr>
          <w:p w14:paraId="277A0615">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eastAsia="zh-CN"/>
              </w:rPr>
              <w:t>谈判</w:t>
            </w:r>
          </w:p>
          <w:p w14:paraId="11DD47C1">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eastAsia="zh-CN"/>
              </w:rPr>
              <w:t>保证金</w:t>
            </w:r>
          </w:p>
        </w:tc>
        <w:tc>
          <w:tcPr>
            <w:tcW w:w="5960" w:type="dxa"/>
            <w:vAlign w:val="top"/>
          </w:tcPr>
          <w:p w14:paraId="116CE7F8">
            <w:pPr>
              <w:keepNext w:val="0"/>
              <w:keepLines w:val="0"/>
              <w:pageBreakBefore w:val="0"/>
              <w:widowControl w:val="0"/>
              <w:kinsoku/>
              <w:wordWrap w:val="0"/>
              <w:overflowPunct/>
              <w:topLinePunct/>
              <w:autoSpaceDE/>
              <w:autoSpaceDN/>
              <w:bidi w:val="0"/>
              <w:adjustRightInd/>
              <w:snapToGrid/>
              <w:spacing w:line="340" w:lineRule="exact"/>
              <w:ind w:left="0" w:leftChars="0" w:firstLine="0" w:firstLineChars="0"/>
              <w:textAlignment w:val="auto"/>
              <w:rPr>
                <w:rFonts w:hint="eastAsia" w:ascii="宋体" w:hAnsi="宋体" w:eastAsia="宋体" w:cs="宋体"/>
                <w:color w:val="auto"/>
                <w:spacing w:val="0"/>
                <w:kern w:val="2"/>
                <w:szCs w:val="21"/>
                <w:highlight w:val="none"/>
              </w:rPr>
            </w:pPr>
            <w:r>
              <w:rPr>
                <w:rFonts w:hint="eastAsia" w:ascii="宋体" w:hAnsi="宋体" w:eastAsia="宋体" w:cs="宋体"/>
                <w:color w:val="auto"/>
                <w:spacing w:val="0"/>
                <w:kern w:val="2"/>
                <w:szCs w:val="21"/>
                <w:highlight w:val="none"/>
                <w:lang w:val="en-US" w:eastAsia="zh-CN"/>
              </w:rPr>
              <w:t>谈判保证金</w:t>
            </w:r>
            <w:r>
              <w:rPr>
                <w:rFonts w:hint="eastAsia" w:ascii="宋体" w:hAnsi="宋体" w:eastAsia="宋体" w:cs="宋体"/>
                <w:color w:val="auto"/>
                <w:spacing w:val="0"/>
                <w:kern w:val="2"/>
                <w:szCs w:val="21"/>
                <w:highlight w:val="none"/>
              </w:rPr>
              <w:t>的金额：￥</w:t>
            </w:r>
            <w:r>
              <w:rPr>
                <w:rFonts w:hint="eastAsia" w:ascii="宋体" w:hAnsi="宋体" w:eastAsia="宋体" w:cs="宋体"/>
                <w:color w:val="auto"/>
                <w:spacing w:val="0"/>
                <w:kern w:val="2"/>
                <w:szCs w:val="21"/>
                <w:highlight w:val="none"/>
                <w:u w:val="single"/>
              </w:rPr>
              <w:t xml:space="preserve"> </w:t>
            </w:r>
            <w:r>
              <w:rPr>
                <w:rFonts w:hint="eastAsia" w:ascii="宋体" w:hAnsi="宋体" w:eastAsia="宋体" w:cs="宋体"/>
                <w:color w:val="auto"/>
                <w:spacing w:val="0"/>
                <w:kern w:val="2"/>
                <w:szCs w:val="21"/>
                <w:highlight w:val="none"/>
                <w:u w:val="single"/>
                <w:lang w:val="en-US" w:eastAsia="zh-CN"/>
              </w:rPr>
              <w:t>7200.00</w:t>
            </w:r>
            <w:r>
              <w:rPr>
                <w:rFonts w:hint="eastAsia" w:ascii="宋体" w:hAnsi="宋体" w:eastAsia="宋体" w:cs="宋体"/>
                <w:color w:val="auto"/>
                <w:spacing w:val="0"/>
                <w:kern w:val="2"/>
                <w:szCs w:val="21"/>
                <w:highlight w:val="none"/>
                <w:u w:val="single"/>
              </w:rPr>
              <w:t xml:space="preserve">元 </w:t>
            </w:r>
          </w:p>
          <w:p w14:paraId="48AB009D">
            <w:pPr>
              <w:pStyle w:val="89"/>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auto"/>
              <w:rPr>
                <w:rFonts w:hint="eastAsia" w:ascii="宋体" w:hAnsi="宋体" w:eastAsia="宋体" w:cs="宋体"/>
                <w:color w:val="auto"/>
                <w:spacing w:val="0"/>
                <w:kern w:val="2"/>
                <w:sz w:val="21"/>
                <w:szCs w:val="24"/>
                <w:lang w:val="zh-CN" w:eastAsia="zh-CN" w:bidi="ar-SA"/>
              </w:rPr>
            </w:pPr>
            <w:r>
              <w:rPr>
                <w:rFonts w:hint="eastAsia" w:ascii="宋体" w:hAnsi="宋体" w:eastAsia="宋体" w:cs="宋体"/>
                <w:color w:val="auto"/>
                <w:spacing w:val="0"/>
                <w:kern w:val="2"/>
                <w:sz w:val="21"/>
                <w:szCs w:val="24"/>
                <w:lang w:val="en-US" w:eastAsia="zh-CN" w:bidi="ar-SA"/>
              </w:rPr>
              <w:t>谈判保证金的形式：支付形式：银行转账，金融机构、工程担保公司、保险机构的电子保函（保单）或纸质保函（保单）</w:t>
            </w:r>
            <w:r>
              <w:rPr>
                <w:rFonts w:hint="eastAsia" w:ascii="宋体" w:hAnsi="宋体" w:eastAsia="宋体" w:cs="宋体"/>
                <w:color w:val="auto"/>
                <w:spacing w:val="0"/>
                <w:kern w:val="2"/>
                <w:sz w:val="21"/>
                <w:szCs w:val="21"/>
                <w:highlight w:val="none"/>
                <w:lang w:val="en-US" w:eastAsia="zh-CN"/>
              </w:rPr>
              <w:t>或</w:t>
            </w:r>
            <w:r>
              <w:rPr>
                <w:rFonts w:hint="eastAsia" w:ascii="宋体" w:hAnsi="宋体" w:eastAsia="宋体" w:cs="宋体"/>
                <w:b/>
                <w:bCs/>
                <w:color w:val="auto"/>
                <w:spacing w:val="0"/>
                <w:kern w:val="2"/>
                <w:sz w:val="21"/>
                <w:szCs w:val="21"/>
                <w:highlight w:val="none"/>
                <w:lang w:val="en-US" w:eastAsia="zh-CN"/>
              </w:rPr>
              <w:t>“信用承诺书”代替投标保证金（详见相关投标格式，</w:t>
            </w:r>
            <w:r>
              <w:rPr>
                <w:rFonts w:hint="eastAsia" w:ascii="宋体" w:hAnsi="宋体" w:eastAsia="宋体" w:cs="宋体"/>
                <w:b/>
                <w:bCs/>
                <w:color w:val="auto"/>
                <w:spacing w:val="0"/>
                <w:kern w:val="2"/>
                <w:sz w:val="24"/>
                <w:szCs w:val="24"/>
                <w:highlight w:val="none"/>
              </w:rPr>
              <w:t>投标人在递交投标文件的同时，</w:t>
            </w:r>
            <w:r>
              <w:rPr>
                <w:rFonts w:hint="eastAsia" w:ascii="宋体" w:hAnsi="宋体" w:eastAsia="宋体" w:cs="宋体"/>
                <w:b/>
                <w:bCs/>
                <w:color w:val="auto"/>
                <w:spacing w:val="0"/>
                <w:kern w:val="2"/>
                <w:sz w:val="24"/>
                <w:szCs w:val="24"/>
                <w:highlight w:val="none"/>
                <w:lang w:eastAsia="zh-CN"/>
              </w:rPr>
              <w:t>应在</w:t>
            </w:r>
            <w:r>
              <w:rPr>
                <w:rFonts w:hint="eastAsia" w:ascii="宋体" w:hAnsi="宋体" w:eastAsia="宋体" w:cs="宋体"/>
                <w:b/>
                <w:bCs/>
                <w:color w:val="auto"/>
                <w:spacing w:val="0"/>
                <w:kern w:val="2"/>
                <w:sz w:val="21"/>
                <w:szCs w:val="21"/>
                <w:highlight w:val="none"/>
                <w:lang w:val="en-US" w:eastAsia="zh-CN"/>
              </w:rPr>
              <w:t>开标现场</w:t>
            </w:r>
            <w:r>
              <w:rPr>
                <w:rFonts w:hint="eastAsia" w:ascii="宋体" w:hAnsi="宋体" w:eastAsia="宋体" w:cs="宋体"/>
                <w:b/>
                <w:bCs/>
                <w:color w:val="auto"/>
                <w:spacing w:val="0"/>
                <w:kern w:val="2"/>
                <w:sz w:val="24"/>
                <w:szCs w:val="24"/>
                <w:highlight w:val="none"/>
              </w:rPr>
              <w:t>手持“投标信用承诺书”</w:t>
            </w:r>
            <w:r>
              <w:rPr>
                <w:rFonts w:hint="eastAsia" w:ascii="宋体" w:hAnsi="宋体" w:eastAsia="宋体" w:cs="宋体"/>
                <w:b/>
                <w:bCs/>
                <w:color w:val="auto"/>
                <w:spacing w:val="0"/>
                <w:kern w:val="2"/>
                <w:sz w:val="24"/>
                <w:szCs w:val="24"/>
                <w:highlight w:val="none"/>
                <w:lang w:eastAsia="zh-CN"/>
              </w:rPr>
              <w:t>交予</w:t>
            </w:r>
            <w:r>
              <w:rPr>
                <w:rFonts w:hint="eastAsia" w:ascii="宋体" w:hAnsi="宋体" w:eastAsia="宋体" w:cs="宋体"/>
                <w:b/>
                <w:bCs/>
                <w:color w:val="auto"/>
                <w:spacing w:val="0"/>
                <w:kern w:val="2"/>
                <w:sz w:val="24"/>
                <w:szCs w:val="24"/>
                <w:highlight w:val="none"/>
              </w:rPr>
              <w:t>招标人</w:t>
            </w:r>
            <w:r>
              <w:rPr>
                <w:rFonts w:hint="eastAsia" w:ascii="宋体" w:hAnsi="宋体" w:eastAsia="宋体" w:cs="宋体"/>
                <w:color w:val="auto"/>
                <w:spacing w:val="0"/>
                <w:kern w:val="2"/>
                <w:sz w:val="21"/>
                <w:szCs w:val="21"/>
                <w:highlight w:val="none"/>
                <w:lang w:val="en-US" w:eastAsia="zh-CN"/>
              </w:rPr>
              <w:t>）</w:t>
            </w:r>
            <w:r>
              <w:rPr>
                <w:rFonts w:hint="eastAsia" w:ascii="宋体" w:hAnsi="宋体" w:eastAsia="宋体" w:cs="宋体"/>
                <w:color w:val="auto"/>
                <w:spacing w:val="0"/>
                <w:kern w:val="2"/>
                <w:sz w:val="21"/>
                <w:szCs w:val="21"/>
                <w:highlight w:val="none"/>
              </w:rPr>
              <w:t>形式缴纳，具体</w:t>
            </w:r>
            <w:r>
              <w:rPr>
                <w:rFonts w:hint="eastAsia" w:ascii="宋体" w:hAnsi="宋体" w:eastAsia="宋体" w:cs="宋体"/>
                <w:color w:val="auto"/>
                <w:spacing w:val="0"/>
                <w:kern w:val="2"/>
                <w:sz w:val="21"/>
                <w:szCs w:val="24"/>
                <w:lang w:val="en-US" w:eastAsia="zh-CN" w:bidi="ar-SA"/>
              </w:rPr>
              <w:t>要求按照宝鸡市公共资源交易中心工程交易平台要求进行。</w:t>
            </w:r>
          </w:p>
          <w:p w14:paraId="4A364E1C">
            <w:pPr>
              <w:pStyle w:val="89"/>
              <w:keepNext w:val="0"/>
              <w:keepLines w:val="0"/>
              <w:pageBreakBefore w:val="0"/>
              <w:widowControl w:val="0"/>
              <w:kinsoku/>
              <w:wordWrap w:val="0"/>
              <w:overflowPunct/>
              <w:topLinePunct/>
              <w:autoSpaceDE/>
              <w:autoSpaceDN/>
              <w:bidi w:val="0"/>
              <w:adjustRightInd/>
              <w:snapToGrid/>
              <w:spacing w:line="400" w:lineRule="exact"/>
              <w:ind w:firstLine="442" w:firstLineChars="200"/>
              <w:textAlignment w:val="auto"/>
              <w:rPr>
                <w:rFonts w:hint="eastAsia" w:ascii="宋体" w:hAnsi="宋体" w:eastAsia="宋体" w:cs="宋体"/>
                <w:b/>
                <w:bCs/>
                <w:color w:val="auto"/>
                <w:spacing w:val="0"/>
                <w:kern w:val="2"/>
                <w:sz w:val="22"/>
                <w:szCs w:val="28"/>
                <w:lang w:val="en-US" w:eastAsia="zh-CN" w:bidi="ar-SA"/>
              </w:rPr>
            </w:pPr>
            <w:r>
              <w:rPr>
                <w:rFonts w:hint="eastAsia" w:ascii="宋体" w:hAnsi="宋体" w:eastAsia="宋体" w:cs="宋体"/>
                <w:b/>
                <w:bCs/>
                <w:color w:val="auto"/>
                <w:spacing w:val="0"/>
                <w:kern w:val="2"/>
                <w:sz w:val="22"/>
                <w:szCs w:val="28"/>
                <w:lang w:val="en-US" w:eastAsia="zh-CN" w:bidi="ar-SA"/>
              </w:rPr>
              <w:t>保证金账号详见宝鸡市公共资源交易中心交易平台</w:t>
            </w:r>
          </w:p>
          <w:p w14:paraId="5DEBEB52">
            <w:pPr>
              <w:pStyle w:val="89"/>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auto"/>
              <w:rPr>
                <w:rFonts w:hint="eastAsia" w:ascii="宋体" w:hAnsi="宋体" w:eastAsia="宋体" w:cs="宋体"/>
                <w:color w:val="auto"/>
                <w:spacing w:val="0"/>
                <w:kern w:val="2"/>
                <w:sz w:val="21"/>
                <w:szCs w:val="24"/>
                <w:lang w:val="en-US" w:eastAsia="zh-CN" w:bidi="ar-SA"/>
              </w:rPr>
            </w:pPr>
            <w:r>
              <w:rPr>
                <w:rFonts w:hint="eastAsia" w:ascii="宋体" w:hAnsi="宋体" w:eastAsia="宋体" w:cs="宋体"/>
                <w:color w:val="auto"/>
                <w:spacing w:val="0"/>
                <w:kern w:val="2"/>
                <w:sz w:val="21"/>
                <w:szCs w:val="24"/>
                <w:lang w:val="en-US" w:eastAsia="zh-CN" w:bidi="ar-SA"/>
              </w:rPr>
              <w:t>注：请各投标人按照要求及时缴纳谈判保证金，如因自身原因发生错误，产生的不利后果均由投标人自行承担。</w:t>
            </w:r>
          </w:p>
          <w:p w14:paraId="1910FAF8">
            <w:pPr>
              <w:pStyle w:val="89"/>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auto"/>
              <w:rPr>
                <w:rFonts w:hint="eastAsia" w:ascii="宋体" w:hAnsi="宋体" w:eastAsia="宋体" w:cs="宋体"/>
                <w:color w:val="auto"/>
                <w:spacing w:val="0"/>
                <w:kern w:val="2"/>
                <w:sz w:val="21"/>
                <w:szCs w:val="24"/>
                <w:lang w:val="zh-CN" w:eastAsia="zh-CN" w:bidi="ar-SA"/>
              </w:rPr>
            </w:pPr>
            <w:r>
              <w:rPr>
                <w:rFonts w:hint="eastAsia" w:ascii="宋体" w:hAnsi="宋体" w:eastAsia="宋体" w:cs="宋体"/>
                <w:color w:val="auto"/>
                <w:spacing w:val="0"/>
                <w:kern w:val="2"/>
                <w:sz w:val="21"/>
                <w:szCs w:val="24"/>
                <w:lang w:val="en-US" w:eastAsia="zh-CN" w:bidi="ar-SA"/>
              </w:rPr>
              <w:t>转账时应注明：账号后5位数字。</w:t>
            </w:r>
          </w:p>
          <w:p w14:paraId="1D134A89">
            <w:pPr>
              <w:pStyle w:val="89"/>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auto"/>
              <w:rPr>
                <w:rFonts w:hint="eastAsia" w:ascii="宋体" w:hAnsi="宋体" w:eastAsia="宋体" w:cs="宋体"/>
                <w:color w:val="auto"/>
                <w:spacing w:val="0"/>
                <w:kern w:val="2"/>
                <w:sz w:val="21"/>
                <w:szCs w:val="24"/>
                <w:lang w:val="en-US" w:eastAsia="zh-CN" w:bidi="ar-SA"/>
              </w:rPr>
            </w:pPr>
            <w:r>
              <w:rPr>
                <w:rFonts w:hint="eastAsia" w:ascii="宋体" w:hAnsi="宋体" w:eastAsia="宋体" w:cs="宋体"/>
                <w:color w:val="auto"/>
                <w:spacing w:val="0"/>
                <w:kern w:val="2"/>
                <w:sz w:val="21"/>
                <w:szCs w:val="24"/>
                <w:lang w:val="en-US" w:eastAsia="zh-CN" w:bidi="ar-SA"/>
              </w:rPr>
              <w:t xml:space="preserve">银行保函：必须为投标人基本账户开户银行出具的银行保函；                                       </w:t>
            </w:r>
          </w:p>
          <w:p w14:paraId="4E576448">
            <w:pPr>
              <w:pStyle w:val="89"/>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auto"/>
              <w:rPr>
                <w:rFonts w:hint="eastAsia" w:ascii="宋体" w:hAnsi="宋体" w:eastAsia="宋体" w:cs="宋体"/>
                <w:color w:val="auto"/>
                <w:spacing w:val="0"/>
                <w:kern w:val="2"/>
                <w:sz w:val="21"/>
                <w:szCs w:val="24"/>
                <w:lang w:val="en-US" w:eastAsia="zh-CN" w:bidi="ar-SA"/>
              </w:rPr>
            </w:pPr>
            <w:r>
              <w:rPr>
                <w:rFonts w:hint="eastAsia" w:ascii="宋体" w:hAnsi="宋体" w:eastAsia="宋体" w:cs="宋体"/>
                <w:color w:val="auto"/>
                <w:spacing w:val="0"/>
                <w:kern w:val="2"/>
                <w:sz w:val="21"/>
                <w:szCs w:val="24"/>
                <w:lang w:val="en-US" w:eastAsia="zh-CN" w:bidi="ar-SA"/>
              </w:rPr>
              <w:t>银行转账(电汇)缴纳：必须自投标人基本账户转入投标保证金接收账户</w:t>
            </w:r>
          </w:p>
          <w:p w14:paraId="6F2CC70F">
            <w:pPr>
              <w:pStyle w:val="89"/>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4"/>
                <w:lang w:val="en-US" w:eastAsia="zh-CN" w:bidi="ar-SA"/>
              </w:rPr>
              <w:t>注：投标人必须将投标保证金的银行电汇回单(或银行汇票、转帐支票)或银行保函的复印件或扫描件装订在投标文件中。</w:t>
            </w:r>
          </w:p>
          <w:p w14:paraId="5EA13EC5">
            <w:pPr>
              <w:keepNext w:val="0"/>
              <w:keepLines w:val="0"/>
              <w:pageBreakBefore w:val="0"/>
              <w:widowControl w:val="0"/>
              <w:kinsoku/>
              <w:wordWrap w:val="0"/>
              <w:overflowPunct/>
              <w:topLinePunct/>
              <w:autoSpaceDE/>
              <w:autoSpaceDN/>
              <w:bidi w:val="0"/>
              <w:adjustRightInd/>
              <w:snapToGrid/>
              <w:spacing w:line="340" w:lineRule="exact"/>
              <w:ind w:left="0" w:leftChars="0" w:firstLine="0" w:firstLineChars="0"/>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color w:val="auto"/>
                <w:spacing w:val="0"/>
                <w:kern w:val="2"/>
                <w:sz w:val="21"/>
                <w:szCs w:val="21"/>
                <w:highlight w:val="none"/>
                <w:lang w:val="en-US" w:eastAsia="zh-CN" w:bidi="ar-SA"/>
              </w:rPr>
              <w:t>采用</w:t>
            </w:r>
            <w:r>
              <w:rPr>
                <w:rFonts w:hint="eastAsia" w:ascii="宋体" w:hAnsi="宋体" w:eastAsia="宋体" w:cs="宋体"/>
                <w:b/>
                <w:bCs/>
                <w:color w:val="auto"/>
                <w:spacing w:val="0"/>
                <w:kern w:val="2"/>
                <w:sz w:val="21"/>
                <w:szCs w:val="21"/>
                <w:highlight w:val="none"/>
                <w:lang w:val="en-US" w:eastAsia="zh-CN" w:bidi="ar-SA"/>
              </w:rPr>
              <w:t>银行保函</w:t>
            </w:r>
            <w:r>
              <w:rPr>
                <w:rFonts w:hint="eastAsia" w:ascii="宋体" w:hAnsi="宋体" w:eastAsia="宋体" w:cs="宋体"/>
                <w:color w:val="auto"/>
                <w:spacing w:val="0"/>
                <w:kern w:val="2"/>
                <w:sz w:val="21"/>
                <w:szCs w:val="21"/>
                <w:highlight w:val="none"/>
                <w:lang w:val="en-US" w:eastAsia="zh-CN" w:bidi="ar-SA"/>
              </w:rPr>
              <w:t>或</w:t>
            </w:r>
            <w:r>
              <w:rPr>
                <w:rFonts w:hint="eastAsia" w:ascii="宋体" w:hAnsi="宋体" w:eastAsia="宋体" w:cs="宋体"/>
                <w:b/>
                <w:bCs/>
                <w:color w:val="auto"/>
                <w:spacing w:val="0"/>
                <w:kern w:val="2"/>
                <w:sz w:val="21"/>
                <w:szCs w:val="21"/>
                <w:highlight w:val="none"/>
                <w:lang w:val="en-US" w:eastAsia="zh-CN"/>
              </w:rPr>
              <w:t>信用承诺书</w:t>
            </w:r>
            <w:r>
              <w:rPr>
                <w:rFonts w:hint="eastAsia" w:ascii="宋体" w:hAnsi="宋体" w:eastAsia="宋体" w:cs="宋体"/>
                <w:color w:val="auto"/>
                <w:spacing w:val="0"/>
                <w:kern w:val="2"/>
                <w:sz w:val="21"/>
                <w:szCs w:val="21"/>
                <w:highlight w:val="none"/>
                <w:lang w:val="en-US" w:eastAsia="zh-CN" w:bidi="ar-SA"/>
              </w:rPr>
              <w:t>的投标人在开标前两个工作日前</w:t>
            </w:r>
            <w:r>
              <w:rPr>
                <w:rFonts w:hint="eastAsia" w:ascii="宋体" w:hAnsi="宋体" w:eastAsia="宋体" w:cs="宋体"/>
                <w:color w:val="000000"/>
                <w:spacing w:val="0"/>
                <w:kern w:val="2"/>
                <w:sz w:val="21"/>
                <w:szCs w:val="21"/>
                <w:highlight w:val="none"/>
                <w:lang w:val="en-US" w:eastAsia="zh-CN" w:bidi="ar-SA"/>
              </w:rPr>
              <w:t>，</w:t>
            </w:r>
            <w:r>
              <w:rPr>
                <w:rFonts w:hint="eastAsia" w:ascii="宋体" w:hAnsi="宋体" w:eastAsia="宋体" w:cs="宋体"/>
                <w:b/>
                <w:bCs/>
                <w:color w:val="000000"/>
                <w:spacing w:val="0"/>
                <w:kern w:val="2"/>
                <w:sz w:val="21"/>
                <w:szCs w:val="21"/>
                <w:highlight w:val="none"/>
                <w:lang w:val="en-US" w:eastAsia="zh-CN" w:bidi="ar-SA"/>
              </w:rPr>
              <w:t>持银行保函原件或信用承诺书原件前来招标代理机构递交，逾期未提供视为放弃投标。</w:t>
            </w:r>
            <w:r>
              <w:rPr>
                <w:rFonts w:hint="eastAsia" w:ascii="宋体" w:hAnsi="宋体" w:eastAsia="宋体" w:cs="宋体"/>
                <w:color w:val="auto"/>
                <w:spacing w:val="0"/>
                <w:kern w:val="2"/>
                <w:szCs w:val="21"/>
                <w:highlight w:val="none"/>
              </w:rPr>
              <w:t>。</w:t>
            </w:r>
          </w:p>
        </w:tc>
      </w:tr>
      <w:tr w14:paraId="44AB8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775" w:type="dxa"/>
            <w:vAlign w:val="center"/>
          </w:tcPr>
          <w:p w14:paraId="7B9C279E">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22</w:t>
            </w:r>
          </w:p>
        </w:tc>
        <w:tc>
          <w:tcPr>
            <w:tcW w:w="2007" w:type="dxa"/>
            <w:vAlign w:val="center"/>
          </w:tcPr>
          <w:p w14:paraId="70BB30D7">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备选谈判方案</w:t>
            </w:r>
          </w:p>
          <w:p w14:paraId="06492EEA">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和 报 价</w:t>
            </w:r>
          </w:p>
        </w:tc>
        <w:tc>
          <w:tcPr>
            <w:tcW w:w="5960" w:type="dxa"/>
            <w:vAlign w:val="center"/>
          </w:tcPr>
          <w:p w14:paraId="33A5DCAD">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不接受备选谈判方案和多个报价。</w:t>
            </w:r>
          </w:p>
        </w:tc>
      </w:tr>
      <w:tr w14:paraId="69B5D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775" w:type="dxa"/>
            <w:vAlign w:val="center"/>
          </w:tcPr>
          <w:p w14:paraId="1A15FBB1">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23</w:t>
            </w:r>
          </w:p>
        </w:tc>
        <w:tc>
          <w:tcPr>
            <w:tcW w:w="2007" w:type="dxa"/>
            <w:vAlign w:val="center"/>
          </w:tcPr>
          <w:p w14:paraId="50C110B1">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eastAsia="zh-CN"/>
              </w:rPr>
              <w:t>盖章签字</w:t>
            </w:r>
          </w:p>
        </w:tc>
        <w:tc>
          <w:tcPr>
            <w:tcW w:w="5960" w:type="dxa"/>
            <w:vAlign w:val="center"/>
          </w:tcPr>
          <w:p w14:paraId="143F50B3">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both"/>
              <w:textAlignment w:val="auto"/>
              <w:outlineLvl w:val="9"/>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eastAsia="zh-CN"/>
              </w:rPr>
              <w:t>供应商</w:t>
            </w:r>
            <w:r>
              <w:rPr>
                <w:rFonts w:hint="eastAsia" w:ascii="宋体" w:hAnsi="宋体" w:eastAsia="宋体" w:cs="宋体"/>
                <w:color w:val="auto"/>
                <w:spacing w:val="0"/>
                <w:kern w:val="2"/>
                <w:sz w:val="21"/>
                <w:szCs w:val="21"/>
                <w:highlight w:val="none"/>
              </w:rPr>
              <w:t>必须按照</w:t>
            </w:r>
            <w:r>
              <w:rPr>
                <w:rFonts w:hint="eastAsia" w:ascii="宋体" w:hAnsi="宋体" w:eastAsia="宋体" w:cs="宋体"/>
                <w:color w:val="auto"/>
                <w:spacing w:val="0"/>
                <w:kern w:val="2"/>
                <w:sz w:val="21"/>
                <w:szCs w:val="21"/>
                <w:highlight w:val="none"/>
                <w:lang w:eastAsia="zh-CN"/>
              </w:rPr>
              <w:t>谈判文件</w:t>
            </w:r>
            <w:r>
              <w:rPr>
                <w:rFonts w:hint="eastAsia" w:ascii="宋体" w:hAnsi="宋体" w:eastAsia="宋体" w:cs="宋体"/>
                <w:color w:val="auto"/>
                <w:spacing w:val="0"/>
                <w:kern w:val="2"/>
                <w:sz w:val="21"/>
                <w:szCs w:val="21"/>
                <w:highlight w:val="none"/>
              </w:rPr>
              <w:t>的规定和要求盖章、签字。</w:t>
            </w:r>
          </w:p>
        </w:tc>
      </w:tr>
      <w:tr w14:paraId="0306A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8" w:hRule="atLeast"/>
          <w:jc w:val="center"/>
        </w:trPr>
        <w:tc>
          <w:tcPr>
            <w:tcW w:w="775" w:type="dxa"/>
            <w:vAlign w:val="center"/>
          </w:tcPr>
          <w:p w14:paraId="2532FA32">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24</w:t>
            </w:r>
          </w:p>
        </w:tc>
        <w:tc>
          <w:tcPr>
            <w:tcW w:w="2007" w:type="dxa"/>
            <w:vAlign w:val="center"/>
          </w:tcPr>
          <w:p w14:paraId="43DADDE6">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eastAsia="zh-CN"/>
              </w:rPr>
              <w:t>谈判响应文件</w:t>
            </w:r>
          </w:p>
          <w:p w14:paraId="77C6CDDD">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eastAsia="zh-CN"/>
              </w:rPr>
              <w:t>数量、装订</w:t>
            </w:r>
          </w:p>
        </w:tc>
        <w:tc>
          <w:tcPr>
            <w:tcW w:w="5960" w:type="dxa"/>
            <w:vAlign w:val="center"/>
          </w:tcPr>
          <w:p w14:paraId="59E2010B">
            <w:pPr>
              <w:pStyle w:val="84"/>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rPr>
              <w:t>投标人在投标时无需提供纸质</w:t>
            </w:r>
            <w:r>
              <w:rPr>
                <w:rFonts w:hint="eastAsia" w:ascii="宋体" w:hAnsi="宋体" w:eastAsia="宋体" w:cs="宋体"/>
                <w:color w:val="auto"/>
                <w:spacing w:val="0"/>
                <w:kern w:val="2"/>
                <w:sz w:val="21"/>
                <w:szCs w:val="21"/>
                <w:highlight w:val="none"/>
                <w:lang w:val="en-US" w:eastAsia="zh-CN"/>
              </w:rPr>
              <w:t>响应</w:t>
            </w:r>
            <w:r>
              <w:rPr>
                <w:rFonts w:hint="eastAsia" w:ascii="宋体" w:hAnsi="宋体" w:eastAsia="宋体" w:cs="宋体"/>
                <w:color w:val="auto"/>
                <w:spacing w:val="0"/>
                <w:kern w:val="2"/>
                <w:sz w:val="21"/>
                <w:szCs w:val="21"/>
                <w:highlight w:val="none"/>
              </w:rPr>
              <w:t>文件</w:t>
            </w:r>
            <w:r>
              <w:rPr>
                <w:rFonts w:hint="eastAsia" w:ascii="宋体" w:hAnsi="宋体" w:eastAsia="宋体" w:cs="宋体"/>
                <w:color w:val="auto"/>
                <w:spacing w:val="0"/>
                <w:kern w:val="2"/>
                <w:sz w:val="21"/>
                <w:szCs w:val="21"/>
                <w:highlight w:val="none"/>
                <w:lang w:eastAsia="zh-CN"/>
              </w:rPr>
              <w:t>。</w:t>
            </w:r>
          </w:p>
          <w:p w14:paraId="35C04005">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val="en-US" w:eastAsia="zh-CN"/>
              </w:rPr>
              <w:t>若投标供应商为中标（成交）单位，需在领取中标（成交）通知书时提供纸质版响应文件一正二副，并按要求胶装、并签字盖章，以备留存。</w:t>
            </w:r>
          </w:p>
        </w:tc>
      </w:tr>
      <w:tr w14:paraId="4A2F0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775" w:type="dxa"/>
            <w:vAlign w:val="center"/>
          </w:tcPr>
          <w:p w14:paraId="3522C5BC">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1"/>
                <w:szCs w:val="21"/>
                <w:highlight w:val="none"/>
                <w:lang w:val="en-US" w:eastAsia="zh-CN"/>
                <w14:textFill>
                  <w14:solidFill>
                    <w14:schemeClr w14:val="tx1"/>
                  </w14:solidFill>
                </w14:textFill>
              </w:rPr>
              <w:t>25</w:t>
            </w:r>
          </w:p>
        </w:tc>
        <w:tc>
          <w:tcPr>
            <w:tcW w:w="2007" w:type="dxa"/>
            <w:vAlign w:val="center"/>
          </w:tcPr>
          <w:p w14:paraId="516B6B6E">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000000" w:themeColor="text1"/>
                <w:spacing w:val="0"/>
                <w:kern w:val="2"/>
                <w:sz w:val="21"/>
                <w:szCs w:val="21"/>
                <w:highlight w:val="none"/>
                <w:lang w:val="zh-CN"/>
                <w14:textFill>
                  <w14:solidFill>
                    <w14:schemeClr w14:val="tx1"/>
                  </w14:solidFill>
                </w14:textFill>
              </w:rPr>
            </w:pPr>
            <w:r>
              <w:rPr>
                <w:rFonts w:hint="eastAsia" w:ascii="宋体" w:hAnsi="宋体" w:eastAsia="宋体" w:cs="宋体"/>
                <w:color w:val="000000" w:themeColor="text1"/>
                <w:spacing w:val="0"/>
                <w:kern w:val="2"/>
                <w:sz w:val="21"/>
                <w:szCs w:val="21"/>
                <w:highlight w:val="none"/>
                <w:lang w:val="zh-CN"/>
                <w14:textFill>
                  <w14:solidFill>
                    <w14:schemeClr w14:val="tx1"/>
                  </w14:solidFill>
                </w14:textFill>
              </w:rPr>
              <w:t>提交首次响应文件</w:t>
            </w:r>
          </w:p>
          <w:p w14:paraId="759A6BD2">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000000" w:themeColor="text1"/>
                <w:spacing w:val="0"/>
                <w:kern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kern w:val="2"/>
                <w:sz w:val="21"/>
                <w:szCs w:val="21"/>
                <w:highlight w:val="none"/>
                <w:lang w:val="zh-CN"/>
                <w14:textFill>
                  <w14:solidFill>
                    <w14:schemeClr w14:val="tx1"/>
                  </w14:solidFill>
                </w14:textFill>
              </w:rPr>
              <w:t>截止时间</w:t>
            </w:r>
          </w:p>
        </w:tc>
        <w:tc>
          <w:tcPr>
            <w:tcW w:w="5960" w:type="dxa"/>
            <w:vAlign w:val="center"/>
          </w:tcPr>
          <w:p w14:paraId="516955CC">
            <w:pPr>
              <w:pStyle w:val="84"/>
              <w:keepNext w:val="0"/>
              <w:keepLines w:val="0"/>
              <w:pageBreakBefore w:val="0"/>
              <w:widowControl w:val="0"/>
              <w:kinsoku/>
              <w:wordWrap w:val="0"/>
              <w:overflowPunct/>
              <w:topLinePunct/>
              <w:autoSpaceDE/>
              <w:autoSpaceDN/>
              <w:bidi w:val="0"/>
              <w:ind w:firstLine="210" w:firstLineChars="100"/>
              <w:rPr>
                <w:rFonts w:hint="eastAsia" w:ascii="宋体" w:hAnsi="宋体" w:eastAsia="宋体" w:cs="宋体"/>
                <w:b/>
                <w:bCs/>
                <w:color w:val="000000" w:themeColor="text1"/>
                <w:spacing w:val="0"/>
                <w:kern w:val="2"/>
                <w:sz w:val="21"/>
                <w:szCs w:val="21"/>
                <w:highlight w:val="none"/>
                <w:lang w:val="en-US" w:eastAsia="zh-CN"/>
                <w14:textFill>
                  <w14:solidFill>
                    <w14:schemeClr w14:val="tx1"/>
                  </w14:solidFill>
                </w14:textFill>
              </w:rPr>
            </w:pPr>
            <w:bookmarkStart w:id="88" w:name="_GoBack"/>
            <w:bookmarkEnd w:id="88"/>
            <w:r>
              <w:rPr>
                <w:rFonts w:hint="eastAsia" w:cs="宋体"/>
                <w:color w:val="000000" w:themeColor="text1"/>
                <w:spacing w:val="0"/>
                <w:kern w:val="2"/>
                <w:sz w:val="21"/>
                <w:szCs w:val="21"/>
                <w:highlight w:val="none"/>
                <w:lang w:val="zh-CN" w:eastAsia="zh-CN"/>
                <w14:textFill>
                  <w14:solidFill>
                    <w14:schemeClr w14:val="tx1"/>
                  </w14:solidFill>
                </w14:textFill>
              </w:rPr>
              <w:t>2026年09月02日 14时00分00秒 （北京时间）</w:t>
            </w:r>
          </w:p>
        </w:tc>
      </w:tr>
      <w:tr w14:paraId="3CC0C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jc w:val="center"/>
        </w:trPr>
        <w:tc>
          <w:tcPr>
            <w:tcW w:w="775" w:type="dxa"/>
            <w:vAlign w:val="center"/>
          </w:tcPr>
          <w:p w14:paraId="34689EFD">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26</w:t>
            </w:r>
          </w:p>
        </w:tc>
        <w:tc>
          <w:tcPr>
            <w:tcW w:w="2007" w:type="dxa"/>
            <w:vAlign w:val="center"/>
          </w:tcPr>
          <w:p w14:paraId="50320E43">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val="zh-CN"/>
              </w:rPr>
              <w:t>提交首次响应文件地点</w:t>
            </w:r>
          </w:p>
        </w:tc>
        <w:tc>
          <w:tcPr>
            <w:tcW w:w="5960" w:type="dxa"/>
            <w:vAlign w:val="center"/>
          </w:tcPr>
          <w:p w14:paraId="3A775F4A">
            <w:pPr>
              <w:pStyle w:val="84"/>
              <w:keepNext w:val="0"/>
              <w:keepLines w:val="0"/>
              <w:pageBreakBefore w:val="0"/>
              <w:widowControl w:val="0"/>
              <w:kinsoku/>
              <w:wordWrap w:val="0"/>
              <w:overflowPunct/>
              <w:topLinePunct/>
              <w:autoSpaceDE/>
              <w:autoSpaceDN/>
              <w:bidi w:val="0"/>
              <w:rPr>
                <w:rFonts w:hint="eastAsia" w:ascii="宋体" w:hAnsi="宋体" w:eastAsia="宋体" w:cs="宋体"/>
                <w:i w:val="0"/>
                <w:iCs w:val="0"/>
                <w:caps w:val="0"/>
                <w:color w:val="auto"/>
                <w:spacing w:val="0"/>
                <w:kern w:val="2"/>
                <w:sz w:val="21"/>
                <w:szCs w:val="21"/>
                <w:highlight w:val="none"/>
                <w:shd w:val="clear" w:color="auto" w:fill="FFFFFF"/>
                <w:lang w:val="en-US" w:eastAsia="zh-CN"/>
              </w:rPr>
            </w:pPr>
            <w:r>
              <w:rPr>
                <w:rFonts w:hint="eastAsia" w:ascii="宋体" w:hAnsi="宋体" w:eastAsia="宋体" w:cs="宋体"/>
                <w:i w:val="0"/>
                <w:iCs w:val="0"/>
                <w:caps w:val="0"/>
                <w:color w:val="auto"/>
                <w:spacing w:val="0"/>
                <w:kern w:val="2"/>
                <w:sz w:val="21"/>
                <w:szCs w:val="21"/>
                <w:highlight w:val="none"/>
                <w:shd w:val="clear" w:color="auto" w:fill="FFFFFF"/>
                <w:lang w:val="zh-CN"/>
              </w:rPr>
              <w:t xml:space="preserve">   </w:t>
            </w:r>
            <w:r>
              <w:rPr>
                <w:rFonts w:hint="eastAsia" w:ascii="宋体" w:hAnsi="宋体" w:eastAsia="宋体" w:cs="宋体"/>
                <w:i w:val="0"/>
                <w:iCs w:val="0"/>
                <w:caps w:val="0"/>
                <w:color w:val="auto"/>
                <w:spacing w:val="0"/>
                <w:kern w:val="2"/>
                <w:sz w:val="21"/>
                <w:szCs w:val="21"/>
                <w:highlight w:val="none"/>
                <w:shd w:val="clear" w:color="auto" w:fill="FFFFFF"/>
                <w:lang w:val="en-US" w:eastAsia="zh-CN"/>
              </w:rPr>
              <w:t>【全国公共资源交易平台（陕西省·宝鸡市）】平台</w:t>
            </w:r>
          </w:p>
        </w:tc>
      </w:tr>
      <w:tr w14:paraId="6F6F8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jc w:val="center"/>
        </w:trPr>
        <w:tc>
          <w:tcPr>
            <w:tcW w:w="775" w:type="dxa"/>
            <w:vAlign w:val="center"/>
          </w:tcPr>
          <w:p w14:paraId="64281942">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27</w:t>
            </w:r>
          </w:p>
        </w:tc>
        <w:tc>
          <w:tcPr>
            <w:tcW w:w="2007" w:type="dxa"/>
            <w:vAlign w:val="center"/>
          </w:tcPr>
          <w:p w14:paraId="15030C03">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开启响应文件</w:t>
            </w:r>
          </w:p>
          <w:p w14:paraId="5681E4EE">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zh-CN"/>
              </w:rPr>
              <w:t>时间和地点</w:t>
            </w:r>
          </w:p>
        </w:tc>
        <w:tc>
          <w:tcPr>
            <w:tcW w:w="5960" w:type="dxa"/>
            <w:vAlign w:val="center"/>
          </w:tcPr>
          <w:p w14:paraId="5009F9C8">
            <w:pPr>
              <w:pStyle w:val="84"/>
              <w:keepNext w:val="0"/>
              <w:keepLines w:val="0"/>
              <w:pageBreakBefore w:val="0"/>
              <w:widowControl w:val="0"/>
              <w:kinsoku/>
              <w:wordWrap w:val="0"/>
              <w:overflowPunct/>
              <w:topLinePunct/>
              <w:autoSpaceDE/>
              <w:autoSpaceDN/>
              <w:bidi w:val="0"/>
              <w:ind w:firstLine="210" w:firstLineChars="100"/>
              <w:rPr>
                <w:rFonts w:hint="eastAsia" w:ascii="宋体" w:hAnsi="宋体" w:eastAsia="宋体" w:cs="宋体"/>
                <w:i w:val="0"/>
                <w:iCs w:val="0"/>
                <w:caps w:val="0"/>
                <w:color w:val="auto"/>
                <w:spacing w:val="0"/>
                <w:kern w:val="2"/>
                <w:sz w:val="21"/>
                <w:szCs w:val="21"/>
                <w:highlight w:val="none"/>
                <w:shd w:val="clear" w:color="auto" w:fill="FFFFFF"/>
                <w:lang w:val="zh-CN"/>
              </w:rPr>
            </w:pPr>
            <w:r>
              <w:rPr>
                <w:rFonts w:hint="eastAsia" w:ascii="宋体" w:hAnsi="宋体" w:eastAsia="宋体" w:cs="宋体"/>
                <w:i w:val="0"/>
                <w:iCs w:val="0"/>
                <w:caps w:val="0"/>
                <w:color w:val="auto"/>
                <w:spacing w:val="0"/>
                <w:kern w:val="2"/>
                <w:sz w:val="21"/>
                <w:szCs w:val="21"/>
                <w:highlight w:val="none"/>
                <w:shd w:val="clear" w:color="auto" w:fill="FFFFFF"/>
                <w:lang w:val="en-US" w:eastAsia="zh-CN"/>
              </w:rPr>
              <w:t>开启</w:t>
            </w:r>
            <w:r>
              <w:rPr>
                <w:rFonts w:hint="eastAsia" w:ascii="宋体" w:hAnsi="宋体" w:eastAsia="宋体" w:cs="宋体"/>
                <w:i w:val="0"/>
                <w:iCs w:val="0"/>
                <w:caps w:val="0"/>
                <w:color w:val="auto"/>
                <w:spacing w:val="0"/>
                <w:kern w:val="2"/>
                <w:sz w:val="21"/>
                <w:szCs w:val="21"/>
                <w:highlight w:val="none"/>
                <w:shd w:val="clear" w:color="auto" w:fill="FFFFFF"/>
                <w:lang w:val="zh-CN"/>
              </w:rPr>
              <w:t>时间：同投标截止时间</w:t>
            </w:r>
          </w:p>
          <w:p w14:paraId="231086AC">
            <w:pPr>
              <w:pStyle w:val="84"/>
              <w:keepNext w:val="0"/>
              <w:keepLines w:val="0"/>
              <w:pageBreakBefore w:val="0"/>
              <w:widowControl w:val="0"/>
              <w:kinsoku/>
              <w:wordWrap w:val="0"/>
              <w:overflowPunct/>
              <w:topLinePunct/>
              <w:autoSpaceDE/>
              <w:autoSpaceDN/>
              <w:bidi w:val="0"/>
              <w:rPr>
                <w:rFonts w:hint="eastAsia" w:ascii="宋体" w:hAnsi="宋体" w:eastAsia="宋体" w:cs="宋体"/>
                <w:i w:val="0"/>
                <w:iCs w:val="0"/>
                <w:caps w:val="0"/>
                <w:color w:val="auto"/>
                <w:spacing w:val="0"/>
                <w:kern w:val="2"/>
                <w:sz w:val="21"/>
                <w:szCs w:val="21"/>
                <w:highlight w:val="none"/>
                <w:shd w:val="clear" w:color="auto" w:fill="FFFFFF"/>
                <w:lang w:val="en-US" w:eastAsia="zh-CN"/>
              </w:rPr>
            </w:pPr>
            <w:r>
              <w:rPr>
                <w:rFonts w:hint="eastAsia" w:ascii="宋体" w:hAnsi="宋体" w:eastAsia="宋体" w:cs="宋体"/>
                <w:i w:val="0"/>
                <w:iCs w:val="0"/>
                <w:caps w:val="0"/>
                <w:color w:val="auto"/>
                <w:spacing w:val="0"/>
                <w:kern w:val="2"/>
                <w:sz w:val="21"/>
                <w:szCs w:val="21"/>
                <w:highlight w:val="none"/>
                <w:shd w:val="clear" w:color="auto" w:fill="FFFFFF"/>
                <w:lang w:val="en-US" w:eastAsia="zh-CN"/>
              </w:rPr>
              <w:t>开启</w:t>
            </w:r>
            <w:r>
              <w:rPr>
                <w:rFonts w:hint="eastAsia" w:ascii="宋体" w:hAnsi="宋体" w:eastAsia="宋体" w:cs="宋体"/>
                <w:i w:val="0"/>
                <w:iCs w:val="0"/>
                <w:caps w:val="0"/>
                <w:color w:val="auto"/>
                <w:spacing w:val="0"/>
                <w:kern w:val="2"/>
                <w:sz w:val="21"/>
                <w:szCs w:val="21"/>
                <w:highlight w:val="none"/>
                <w:shd w:val="clear" w:color="auto" w:fill="FFFFFF"/>
                <w:lang w:val="zh-CN"/>
              </w:rPr>
              <w:t>地点：</w:t>
            </w:r>
            <w:r>
              <w:rPr>
                <w:rFonts w:hint="eastAsia" w:ascii="宋体" w:hAnsi="宋体" w:eastAsia="宋体" w:cs="宋体"/>
                <w:color w:val="000000"/>
                <w:spacing w:val="0"/>
                <w:kern w:val="2"/>
                <w:sz w:val="21"/>
                <w:szCs w:val="21"/>
                <w:highlight w:val="none"/>
                <w:lang w:val="en-US" w:eastAsia="zh-CN"/>
              </w:rPr>
              <w:t>全国公共资源交易平台(陕西省·宝鸡市)不见面开标大厅系统</w:t>
            </w:r>
          </w:p>
        </w:tc>
      </w:tr>
      <w:tr w14:paraId="2F573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775" w:type="dxa"/>
            <w:vAlign w:val="center"/>
          </w:tcPr>
          <w:p w14:paraId="6F4BDAA1">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28</w:t>
            </w:r>
          </w:p>
        </w:tc>
        <w:tc>
          <w:tcPr>
            <w:tcW w:w="2007" w:type="dxa"/>
            <w:vAlign w:val="center"/>
          </w:tcPr>
          <w:p w14:paraId="31C808A7">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zh-CN"/>
              </w:rPr>
              <w:t>开启顺序</w:t>
            </w:r>
          </w:p>
        </w:tc>
        <w:tc>
          <w:tcPr>
            <w:tcW w:w="5960" w:type="dxa"/>
            <w:vAlign w:val="center"/>
          </w:tcPr>
          <w:p w14:paraId="34A17F87">
            <w:pPr>
              <w:pStyle w:val="84"/>
              <w:keepNext w:val="0"/>
              <w:keepLines w:val="0"/>
              <w:pageBreakBefore w:val="0"/>
              <w:widowControl w:val="0"/>
              <w:kinsoku/>
              <w:wordWrap w:val="0"/>
              <w:overflowPunct/>
              <w:topLinePunct/>
              <w:autoSpaceDE/>
              <w:autoSpaceDN/>
              <w:bidi w:val="0"/>
              <w:ind w:firstLine="210" w:firstLineChars="100"/>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zh-CN"/>
              </w:rPr>
              <w:t>响应文件的</w:t>
            </w:r>
            <w:r>
              <w:rPr>
                <w:rFonts w:hint="eastAsia" w:ascii="宋体" w:hAnsi="宋体" w:eastAsia="宋体" w:cs="宋体"/>
                <w:color w:val="auto"/>
                <w:spacing w:val="0"/>
                <w:kern w:val="2"/>
                <w:sz w:val="21"/>
                <w:szCs w:val="21"/>
                <w:highlight w:val="none"/>
              </w:rPr>
              <w:t>资格证明文件、商务和技术文件同时开启</w:t>
            </w:r>
          </w:p>
        </w:tc>
      </w:tr>
      <w:tr w14:paraId="622B8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775" w:type="dxa"/>
            <w:vAlign w:val="center"/>
          </w:tcPr>
          <w:p w14:paraId="73EBD574">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29</w:t>
            </w:r>
          </w:p>
        </w:tc>
        <w:tc>
          <w:tcPr>
            <w:tcW w:w="2007" w:type="dxa"/>
            <w:vAlign w:val="center"/>
          </w:tcPr>
          <w:p w14:paraId="3AEC4146">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val="zh-CN"/>
              </w:rPr>
              <w:t>谈判小组的组建</w:t>
            </w:r>
          </w:p>
        </w:tc>
        <w:tc>
          <w:tcPr>
            <w:tcW w:w="5960" w:type="dxa"/>
            <w:vAlign w:val="center"/>
          </w:tcPr>
          <w:p w14:paraId="564C26E6">
            <w:pPr>
              <w:pStyle w:val="84"/>
              <w:keepNext w:val="0"/>
              <w:keepLines w:val="0"/>
              <w:pageBreakBefore w:val="0"/>
              <w:widowControl w:val="0"/>
              <w:kinsoku/>
              <w:wordWrap w:val="0"/>
              <w:overflowPunct/>
              <w:topLinePunct/>
              <w:autoSpaceDE/>
              <w:autoSpaceDN/>
              <w:bidi w:val="0"/>
              <w:spacing w:line="320" w:lineRule="exact"/>
              <w:ind w:left="634" w:leftChars="102" w:hanging="420" w:hangingChars="20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谈判小组构成形式、人数，评审专家确定方式：</w:t>
            </w:r>
          </w:p>
          <w:p w14:paraId="60283FE2">
            <w:pPr>
              <w:pStyle w:val="84"/>
              <w:keepNext w:val="0"/>
              <w:keepLines w:val="0"/>
              <w:pageBreakBefore w:val="0"/>
              <w:widowControl w:val="0"/>
              <w:kinsoku/>
              <w:wordWrap w:val="0"/>
              <w:overflowPunct/>
              <w:topLinePunct/>
              <w:autoSpaceDE/>
              <w:autoSpaceDN/>
              <w:bidi w:val="0"/>
              <w:ind w:firstLine="210" w:firstLineChars="100"/>
              <w:rPr>
                <w:rFonts w:hint="eastAsia" w:ascii="宋体" w:hAnsi="宋体" w:eastAsia="宋体" w:cs="宋体"/>
                <w:b/>
                <w:bCs/>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zh-CN"/>
              </w:rPr>
              <w:t>详见供应商须知第7.1.1条款</w:t>
            </w:r>
          </w:p>
        </w:tc>
      </w:tr>
      <w:tr w14:paraId="07560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75" w:type="dxa"/>
            <w:vAlign w:val="center"/>
          </w:tcPr>
          <w:p w14:paraId="204E96BD">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30</w:t>
            </w:r>
          </w:p>
        </w:tc>
        <w:tc>
          <w:tcPr>
            <w:tcW w:w="2007" w:type="dxa"/>
            <w:vAlign w:val="center"/>
          </w:tcPr>
          <w:p w14:paraId="3EFFE86C">
            <w:pPr>
              <w:pStyle w:val="84"/>
              <w:keepNext w:val="0"/>
              <w:keepLines w:val="0"/>
              <w:pageBreakBefore w:val="0"/>
              <w:widowControl w:val="0"/>
              <w:kinsoku/>
              <w:wordWrap w:val="0"/>
              <w:overflowPunct/>
              <w:topLinePunct/>
              <w:autoSpaceDE/>
              <w:autoSpaceDN/>
              <w:bidi w:val="0"/>
              <w:ind w:left="96" w:leftChars="0"/>
              <w:jc w:val="center"/>
              <w:rPr>
                <w:rFonts w:hint="eastAsia" w:ascii="宋体" w:hAnsi="宋体" w:eastAsia="宋体" w:cs="宋体"/>
                <w:color w:val="auto"/>
                <w:spacing w:val="0"/>
                <w:kern w:val="2"/>
                <w:sz w:val="21"/>
                <w:szCs w:val="21"/>
                <w:highlight w:val="none"/>
                <w:lang w:eastAsia="zh-CN"/>
              </w:rPr>
            </w:pPr>
            <w:r>
              <w:rPr>
                <w:rFonts w:hint="eastAsia" w:ascii="宋体" w:hAnsi="宋体" w:eastAsia="宋体" w:cs="宋体"/>
                <w:color w:val="auto"/>
                <w:spacing w:val="0"/>
                <w:kern w:val="2"/>
                <w:sz w:val="21"/>
                <w:szCs w:val="21"/>
                <w:highlight w:val="none"/>
                <w:lang w:val="zh-CN"/>
              </w:rPr>
              <w:t>评审方法</w:t>
            </w:r>
          </w:p>
        </w:tc>
        <w:tc>
          <w:tcPr>
            <w:tcW w:w="5960" w:type="dxa"/>
            <w:vAlign w:val="center"/>
          </w:tcPr>
          <w:p w14:paraId="54D5BE38">
            <w:pPr>
              <w:pStyle w:val="84"/>
              <w:keepNext w:val="0"/>
              <w:keepLines w:val="0"/>
              <w:pageBreakBefore w:val="0"/>
              <w:widowControl w:val="0"/>
              <w:kinsoku/>
              <w:wordWrap w:val="0"/>
              <w:overflowPunct/>
              <w:topLinePunct/>
              <w:autoSpaceDE/>
              <w:autoSpaceDN/>
              <w:bidi w:val="0"/>
              <w:ind w:left="634" w:leftChars="102" w:hanging="420" w:hangingChars="200"/>
              <w:rPr>
                <w:rFonts w:hint="eastAsia" w:ascii="宋体" w:hAnsi="宋体" w:eastAsia="宋体" w:cs="宋体"/>
                <w:b/>
                <w:bCs/>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zh-CN"/>
              </w:rPr>
              <w:t>最低评标价法</w:t>
            </w:r>
          </w:p>
        </w:tc>
      </w:tr>
      <w:tr w14:paraId="6C94F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775" w:type="dxa"/>
            <w:vAlign w:val="center"/>
          </w:tcPr>
          <w:p w14:paraId="20C391D8">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31</w:t>
            </w:r>
          </w:p>
        </w:tc>
        <w:tc>
          <w:tcPr>
            <w:tcW w:w="2007" w:type="dxa"/>
            <w:vAlign w:val="center"/>
          </w:tcPr>
          <w:p w14:paraId="24CFD1CB">
            <w:pPr>
              <w:pStyle w:val="84"/>
              <w:keepNext w:val="0"/>
              <w:keepLines w:val="0"/>
              <w:pageBreakBefore w:val="0"/>
              <w:widowControl w:val="0"/>
              <w:kinsoku/>
              <w:wordWrap w:val="0"/>
              <w:overflowPunct/>
              <w:topLinePunct/>
              <w:autoSpaceDE/>
              <w:autoSpaceDN/>
              <w:bidi w:val="0"/>
              <w:ind w:left="96"/>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en-US" w:eastAsia="zh-CN"/>
              </w:rPr>
              <w:t>谈判</w:t>
            </w:r>
            <w:r>
              <w:rPr>
                <w:rFonts w:hint="eastAsia" w:ascii="宋体" w:hAnsi="宋体" w:eastAsia="宋体" w:cs="宋体"/>
                <w:color w:val="auto"/>
                <w:spacing w:val="0"/>
                <w:kern w:val="2"/>
                <w:sz w:val="21"/>
                <w:szCs w:val="21"/>
                <w:highlight w:val="none"/>
                <w:lang w:val="zh-CN"/>
              </w:rPr>
              <w:t>小组推荐成交</w:t>
            </w:r>
          </w:p>
          <w:p w14:paraId="1EBC5A2C">
            <w:pPr>
              <w:pStyle w:val="84"/>
              <w:keepNext w:val="0"/>
              <w:keepLines w:val="0"/>
              <w:pageBreakBefore w:val="0"/>
              <w:widowControl w:val="0"/>
              <w:kinsoku/>
              <w:wordWrap w:val="0"/>
              <w:overflowPunct/>
              <w:topLinePunct/>
              <w:autoSpaceDE/>
              <w:autoSpaceDN/>
              <w:bidi w:val="0"/>
              <w:ind w:left="96" w:leftChars="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候选供应商的家数</w:t>
            </w:r>
          </w:p>
        </w:tc>
        <w:tc>
          <w:tcPr>
            <w:tcW w:w="5960" w:type="dxa"/>
            <w:vAlign w:val="center"/>
          </w:tcPr>
          <w:p w14:paraId="7E00157D">
            <w:pPr>
              <w:pStyle w:val="84"/>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 xml:space="preserve">  3 </w:t>
            </w:r>
          </w:p>
        </w:tc>
      </w:tr>
      <w:tr w14:paraId="24FE8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jc w:val="center"/>
        </w:trPr>
        <w:tc>
          <w:tcPr>
            <w:tcW w:w="775" w:type="dxa"/>
            <w:vAlign w:val="center"/>
          </w:tcPr>
          <w:p w14:paraId="271DF4D2">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32</w:t>
            </w:r>
          </w:p>
        </w:tc>
        <w:tc>
          <w:tcPr>
            <w:tcW w:w="2007" w:type="dxa"/>
            <w:vAlign w:val="center"/>
          </w:tcPr>
          <w:p w14:paraId="7E085CF0">
            <w:pPr>
              <w:pStyle w:val="84"/>
              <w:keepNext w:val="0"/>
              <w:keepLines w:val="0"/>
              <w:pageBreakBefore w:val="0"/>
              <w:widowControl w:val="0"/>
              <w:kinsoku/>
              <w:wordWrap w:val="0"/>
              <w:overflowPunct/>
              <w:topLinePunct/>
              <w:autoSpaceDE/>
              <w:autoSpaceDN/>
              <w:bidi w:val="0"/>
              <w:ind w:left="96"/>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发布成交公告的</w:t>
            </w:r>
          </w:p>
          <w:p w14:paraId="5B89FC7A">
            <w:pPr>
              <w:pStyle w:val="84"/>
              <w:keepNext w:val="0"/>
              <w:keepLines w:val="0"/>
              <w:pageBreakBefore w:val="0"/>
              <w:widowControl w:val="0"/>
              <w:kinsoku/>
              <w:wordWrap w:val="0"/>
              <w:overflowPunct/>
              <w:topLinePunct/>
              <w:autoSpaceDE/>
              <w:autoSpaceDN/>
              <w:bidi w:val="0"/>
              <w:ind w:left="96" w:leftChars="0"/>
              <w:jc w:val="center"/>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时间、媒介和期限</w:t>
            </w:r>
          </w:p>
        </w:tc>
        <w:tc>
          <w:tcPr>
            <w:tcW w:w="5960" w:type="dxa"/>
            <w:vAlign w:val="center"/>
          </w:tcPr>
          <w:p w14:paraId="6B46F1E4">
            <w:pPr>
              <w:pStyle w:val="84"/>
              <w:keepNext w:val="0"/>
              <w:keepLines w:val="0"/>
              <w:pageBreakBefore w:val="0"/>
              <w:widowControl w:val="0"/>
              <w:kinsoku/>
              <w:wordWrap w:val="0"/>
              <w:overflowPunct/>
              <w:topLinePunct/>
              <w:autoSpaceDE/>
              <w:autoSpaceDN/>
              <w:bidi w:val="0"/>
              <w:ind w:left="21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公告时间：在确定成交供应商之日起2个工作日内</w:t>
            </w:r>
          </w:p>
          <w:p w14:paraId="506CBE71">
            <w:pPr>
              <w:pStyle w:val="84"/>
              <w:keepNext w:val="0"/>
              <w:keepLines w:val="0"/>
              <w:pageBreakBefore w:val="0"/>
              <w:widowControl w:val="0"/>
              <w:kinsoku/>
              <w:wordWrap w:val="0"/>
              <w:overflowPunct/>
              <w:topLinePunct/>
              <w:autoSpaceDE/>
              <w:autoSpaceDN/>
              <w:bidi w:val="0"/>
              <w:ind w:left="210"/>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zh-CN"/>
              </w:rPr>
              <w:t>公告媒介：陕西省政府采购网、</w:t>
            </w:r>
            <w:r>
              <w:rPr>
                <w:rFonts w:hint="eastAsia" w:ascii="宋体" w:hAnsi="宋体" w:eastAsia="宋体" w:cs="宋体"/>
                <w:color w:val="auto"/>
                <w:spacing w:val="0"/>
                <w:kern w:val="2"/>
                <w:sz w:val="21"/>
                <w:szCs w:val="21"/>
                <w:highlight w:val="none"/>
                <w:lang w:val="en-US" w:eastAsia="zh-CN"/>
              </w:rPr>
              <w:t>【全国公共资源交易平台（陕西省·宝鸡市）】平台</w:t>
            </w:r>
          </w:p>
          <w:p w14:paraId="66E5D343">
            <w:pPr>
              <w:pStyle w:val="84"/>
              <w:keepNext w:val="0"/>
              <w:keepLines w:val="0"/>
              <w:pageBreakBefore w:val="0"/>
              <w:widowControl w:val="0"/>
              <w:kinsoku/>
              <w:wordWrap w:val="0"/>
              <w:overflowPunct/>
              <w:topLinePunct/>
              <w:autoSpaceDE/>
              <w:autoSpaceDN/>
              <w:bidi w:val="0"/>
              <w:ind w:left="210" w:leftChars="0"/>
              <w:rPr>
                <w:rFonts w:hint="eastAsia" w:ascii="宋体" w:hAnsi="宋体" w:eastAsia="宋体" w:cs="宋体"/>
                <w:color w:val="auto"/>
                <w:spacing w:val="0"/>
                <w:kern w:val="2"/>
                <w:sz w:val="21"/>
                <w:szCs w:val="21"/>
                <w:highlight w:val="none"/>
                <w:lang w:val="zh-CN"/>
              </w:rPr>
            </w:pPr>
            <w:r>
              <w:rPr>
                <w:rFonts w:hint="eastAsia" w:ascii="宋体" w:hAnsi="宋体" w:eastAsia="宋体" w:cs="宋体"/>
                <w:color w:val="auto"/>
                <w:spacing w:val="0"/>
                <w:kern w:val="2"/>
                <w:sz w:val="21"/>
                <w:szCs w:val="21"/>
                <w:highlight w:val="none"/>
                <w:lang w:val="zh-CN"/>
              </w:rPr>
              <w:t>公告期限：1个工作日</w:t>
            </w:r>
          </w:p>
        </w:tc>
      </w:tr>
      <w:tr w14:paraId="2D299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8" w:hRule="atLeast"/>
          <w:jc w:val="center"/>
        </w:trPr>
        <w:tc>
          <w:tcPr>
            <w:tcW w:w="775" w:type="dxa"/>
            <w:vAlign w:val="center"/>
          </w:tcPr>
          <w:p w14:paraId="4E7BCA57">
            <w:pPr>
              <w:keepNext w:val="0"/>
              <w:keepLines w:val="0"/>
              <w:pageBreakBefore w:val="0"/>
              <w:widowControl w:val="0"/>
              <w:kinsoku/>
              <w:wordWrap w:val="0"/>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val="en-US" w:eastAsia="zh-CN"/>
              </w:rPr>
              <w:t>33</w:t>
            </w:r>
          </w:p>
        </w:tc>
        <w:tc>
          <w:tcPr>
            <w:tcW w:w="2007" w:type="dxa"/>
            <w:vAlign w:val="center"/>
          </w:tcPr>
          <w:p w14:paraId="5CA111DD">
            <w:pPr>
              <w:keepNext w:val="0"/>
              <w:keepLines w:val="0"/>
              <w:pageBreakBefore w:val="0"/>
              <w:widowControl w:val="0"/>
              <w:suppressLineNumbers w:val="0"/>
              <w:kinsoku/>
              <w:wordWrap w:val="0"/>
              <w:overflowPunct/>
              <w:topLinePunct/>
              <w:autoSpaceDE/>
              <w:autoSpaceDN/>
              <w:bidi w:val="0"/>
              <w:ind w:left="0" w:leftChars="0" w:firstLine="0" w:firstLineChars="0"/>
              <w:jc w:val="left"/>
              <w:rPr>
                <w:rFonts w:hint="eastAsia" w:ascii="宋体" w:hAnsi="宋体" w:eastAsia="宋体" w:cs="宋体"/>
                <w:color w:val="auto"/>
                <w:spacing w:val="0"/>
                <w:kern w:val="2"/>
                <w:sz w:val="21"/>
                <w:szCs w:val="21"/>
                <w:highlight w:val="none"/>
                <w:lang w:val="zh-CN" w:eastAsia="zh-CN" w:bidi="ar-SA"/>
              </w:rPr>
            </w:pPr>
            <w:r>
              <w:rPr>
                <w:rFonts w:hint="eastAsia" w:ascii="宋体" w:hAnsi="宋体" w:eastAsia="宋体" w:cs="宋体"/>
                <w:color w:val="auto"/>
                <w:spacing w:val="0"/>
                <w:kern w:val="2"/>
                <w:sz w:val="21"/>
                <w:szCs w:val="21"/>
                <w:highlight w:val="none"/>
                <w:lang w:val="en-US" w:eastAsia="zh-CN" w:bidi="ar-SA"/>
              </w:rPr>
              <w:t>中小企业划分标准</w:t>
            </w:r>
          </w:p>
          <w:p w14:paraId="5665A38E">
            <w:pPr>
              <w:pStyle w:val="8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1"/>
                <w:szCs w:val="21"/>
                <w:highlight w:val="none"/>
                <w:lang w:val="en-US" w:eastAsia="zh-CN"/>
              </w:rPr>
            </w:pPr>
          </w:p>
        </w:tc>
        <w:tc>
          <w:tcPr>
            <w:tcW w:w="5960" w:type="dxa"/>
            <w:vAlign w:val="center"/>
          </w:tcPr>
          <w:p w14:paraId="48529B65">
            <w:pPr>
              <w:pStyle w:val="84"/>
              <w:keepNext w:val="0"/>
              <w:keepLines w:val="0"/>
              <w:pageBreakBefore w:val="0"/>
              <w:widowControl w:val="0"/>
              <w:kinsoku/>
              <w:wordWrap w:val="0"/>
              <w:overflowPunct/>
              <w:topLinePunct/>
              <w:autoSpaceDE/>
              <w:autoSpaceDN/>
              <w:bidi w:val="0"/>
              <w:spacing w:line="360" w:lineRule="exact"/>
              <w:ind w:right="105" w:rightChars="50" w:firstLine="420" w:firstLineChars="200"/>
              <w:rPr>
                <w:rFonts w:hint="eastAsia" w:ascii="宋体" w:hAnsi="宋体" w:eastAsia="宋体" w:cs="宋体"/>
                <w:color w:val="auto"/>
                <w:spacing w:val="0"/>
                <w:kern w:val="2"/>
                <w:sz w:val="21"/>
                <w:szCs w:val="21"/>
                <w:highlight w:val="none"/>
                <w:lang w:val="en-US"/>
              </w:rPr>
            </w:pPr>
            <w:r>
              <w:rPr>
                <w:rFonts w:hint="eastAsia" w:ascii="宋体" w:hAnsi="宋体" w:eastAsia="宋体" w:cs="宋体"/>
                <w:color w:val="auto"/>
                <w:spacing w:val="0"/>
                <w:kern w:val="2"/>
                <w:sz w:val="21"/>
                <w:szCs w:val="21"/>
                <w:highlight w:val="none"/>
                <w:lang w:val="en-US" w:eastAsia="zh-CN" w:bidi="ar-SA"/>
              </w:rPr>
              <w:t>本项目所属行业为：其他未列明行业。从业人员300人以下的为中小微型企业。其中，从业人员100人及以上的为中型企业;从业人员10人及以上的为小型企业;从业人员10人以下的为微型企业。</w:t>
            </w:r>
          </w:p>
        </w:tc>
      </w:tr>
      <w:bookmarkEnd w:id="10"/>
      <w:bookmarkEnd w:id="11"/>
      <w:bookmarkEnd w:id="12"/>
      <w:bookmarkEnd w:id="13"/>
    </w:tbl>
    <w:p w14:paraId="01E6656F">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8"/>
          <w:szCs w:val="28"/>
          <w:highlight w:val="none"/>
          <w:lang w:eastAsia="zh-CN"/>
        </w:rPr>
      </w:pPr>
      <w:r>
        <w:rPr>
          <w:rFonts w:hint="eastAsia" w:ascii="宋体" w:hAnsi="宋体" w:eastAsia="宋体" w:cs="宋体"/>
          <w:b/>
          <w:bCs/>
          <w:color w:val="auto"/>
          <w:spacing w:val="0"/>
          <w:kern w:val="2"/>
          <w:sz w:val="28"/>
          <w:szCs w:val="28"/>
          <w:highlight w:val="none"/>
          <w:lang w:eastAsia="zh-CN"/>
        </w:rPr>
        <w:br w:type="page"/>
      </w:r>
    </w:p>
    <w:p w14:paraId="08A21ED7">
      <w:pPr>
        <w:keepNext w:val="0"/>
        <w:keepLines w:val="0"/>
        <w:pageBreakBefore w:val="0"/>
        <w:widowControl w:val="0"/>
        <w:kinsoku/>
        <w:wordWrap w:val="0"/>
        <w:overflowPunct/>
        <w:topLinePunct/>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spacing w:val="0"/>
          <w:kern w:val="2"/>
          <w:sz w:val="28"/>
          <w:szCs w:val="28"/>
          <w:highlight w:val="none"/>
          <w:lang w:eastAsia="zh-CN"/>
        </w:rPr>
      </w:pPr>
      <w:r>
        <w:rPr>
          <w:rFonts w:hint="eastAsia" w:ascii="宋体" w:hAnsi="宋体" w:eastAsia="宋体" w:cs="宋体"/>
          <w:b/>
          <w:bCs/>
          <w:color w:val="auto"/>
          <w:spacing w:val="0"/>
          <w:kern w:val="2"/>
          <w:sz w:val="28"/>
          <w:szCs w:val="28"/>
          <w:highlight w:val="none"/>
          <w:lang w:eastAsia="zh-CN"/>
        </w:rPr>
        <w:t>总</w:t>
      </w:r>
      <w:r>
        <w:rPr>
          <w:rFonts w:hint="eastAsia" w:ascii="宋体" w:hAnsi="宋体" w:eastAsia="宋体" w:cs="宋体"/>
          <w:b/>
          <w:bCs/>
          <w:color w:val="auto"/>
          <w:spacing w:val="0"/>
          <w:kern w:val="2"/>
          <w:sz w:val="28"/>
          <w:szCs w:val="28"/>
          <w:highlight w:val="none"/>
          <w:lang w:val="en-US" w:eastAsia="zh-CN"/>
        </w:rPr>
        <w:t xml:space="preserve">  </w:t>
      </w:r>
      <w:r>
        <w:rPr>
          <w:rFonts w:hint="eastAsia" w:ascii="宋体" w:hAnsi="宋体" w:eastAsia="宋体" w:cs="宋体"/>
          <w:b/>
          <w:bCs/>
          <w:color w:val="auto"/>
          <w:spacing w:val="0"/>
          <w:kern w:val="2"/>
          <w:sz w:val="28"/>
          <w:szCs w:val="28"/>
          <w:highlight w:val="none"/>
          <w:lang w:eastAsia="zh-CN"/>
        </w:rPr>
        <w:t>则</w:t>
      </w:r>
    </w:p>
    <w:p w14:paraId="0666C9FE">
      <w:pPr>
        <w:keepNext w:val="0"/>
        <w:keepLines w:val="0"/>
        <w:pageBreakBefore w:val="0"/>
        <w:widowControl w:val="0"/>
        <w:tabs>
          <w:tab w:val="left" w:pos="7665"/>
        </w:tabs>
        <w:kinsoku/>
        <w:wordWrap w:val="0"/>
        <w:overflowPunct/>
        <w:topLinePunct/>
        <w:autoSpaceDE/>
        <w:autoSpaceDN/>
        <w:bidi w:val="0"/>
        <w:spacing w:line="360" w:lineRule="auto"/>
        <w:ind w:firstLine="1"/>
        <w:textAlignment w:val="auto"/>
        <w:rPr>
          <w:rFonts w:hint="eastAsia" w:ascii="宋体" w:hAnsi="宋体" w:eastAsia="宋体" w:cs="宋体"/>
          <w:b/>
          <w:color w:val="auto"/>
          <w:spacing w:val="0"/>
          <w:kern w:val="2"/>
          <w:sz w:val="24"/>
          <w:szCs w:val="24"/>
          <w:highlight w:val="none"/>
        </w:rPr>
      </w:pPr>
      <w:bookmarkStart w:id="14" w:name="_Toc183682341"/>
      <w:bookmarkStart w:id="15" w:name="_Toc89075873"/>
      <w:bookmarkStart w:id="16" w:name="_Toc183582204"/>
      <w:bookmarkStart w:id="17" w:name="_Toc217446033"/>
      <w:bookmarkStart w:id="18" w:name="_Toc77400778"/>
      <w:r>
        <w:rPr>
          <w:rFonts w:hint="eastAsia" w:ascii="宋体" w:hAnsi="宋体" w:eastAsia="宋体" w:cs="宋体"/>
          <w:b/>
          <w:color w:val="auto"/>
          <w:spacing w:val="0"/>
          <w:kern w:val="2"/>
          <w:sz w:val="24"/>
          <w:szCs w:val="24"/>
          <w:highlight w:val="none"/>
        </w:rPr>
        <w:t>1.总  则</w:t>
      </w:r>
    </w:p>
    <w:p w14:paraId="74FEF846">
      <w:pPr>
        <w:keepNext w:val="0"/>
        <w:keepLines w:val="0"/>
        <w:pageBreakBefore w:val="0"/>
        <w:widowControl w:val="0"/>
        <w:tabs>
          <w:tab w:val="left" w:pos="7665"/>
        </w:tabs>
        <w:kinsoku/>
        <w:wordWrap w:val="0"/>
        <w:overflowPunct/>
        <w:topLinePunct/>
        <w:autoSpaceDE/>
        <w:autoSpaceDN/>
        <w:bidi w:val="0"/>
        <w:spacing w:line="360" w:lineRule="auto"/>
        <w:ind w:firstLine="1"/>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1.1适用范围</w:t>
      </w:r>
    </w:p>
    <w:p w14:paraId="71F1EE7D">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1.1.1本竞争性谈判文件仅适用于本次竞争性谈判（以下简称谈判）所叙述的相关服务项目的采购活动。</w:t>
      </w:r>
    </w:p>
    <w:p w14:paraId="46BC733A">
      <w:pPr>
        <w:keepNext w:val="0"/>
        <w:keepLines w:val="0"/>
        <w:pageBreakBefore w:val="0"/>
        <w:widowControl w:val="0"/>
        <w:tabs>
          <w:tab w:val="left" w:pos="7665"/>
        </w:tabs>
        <w:kinsoku/>
        <w:wordWrap w:val="0"/>
        <w:overflowPunct/>
        <w:topLinePunct/>
        <w:autoSpaceDE/>
        <w:autoSpaceDN/>
        <w:bidi w:val="0"/>
        <w:spacing w:line="360" w:lineRule="auto"/>
        <w:ind w:firstLine="1"/>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1.2名词解释</w:t>
      </w:r>
    </w:p>
    <w:p w14:paraId="5D59B388">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1.2.1</w:t>
      </w:r>
      <w:r>
        <w:rPr>
          <w:rFonts w:hint="eastAsia" w:ascii="宋体" w:hAnsi="宋体" w:eastAsia="宋体" w:cs="宋体"/>
          <w:b/>
          <w:color w:val="auto"/>
          <w:spacing w:val="0"/>
          <w:kern w:val="2"/>
          <w:sz w:val="24"/>
          <w:szCs w:val="24"/>
          <w:highlight w:val="none"/>
        </w:rPr>
        <w:t>采购人</w:t>
      </w:r>
      <w:r>
        <w:rPr>
          <w:rFonts w:hint="eastAsia" w:ascii="宋体" w:hAnsi="宋体" w:eastAsia="宋体" w:cs="宋体"/>
          <w:color w:val="auto"/>
          <w:spacing w:val="0"/>
          <w:kern w:val="2"/>
          <w:sz w:val="24"/>
          <w:szCs w:val="24"/>
          <w:highlight w:val="none"/>
        </w:rPr>
        <w:t>系指依法进行政府采购的国家机关、事业单位、团体组织。本次采购的采购人名称、地址、电话、联系人见供应商须知前附表。</w:t>
      </w:r>
    </w:p>
    <w:p w14:paraId="673FFDE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spacing w:val="0"/>
          <w:kern w:val="2"/>
          <w:sz w:val="24"/>
          <w:szCs w:val="24"/>
          <w:highlight w:val="none"/>
          <w:u w:val="single"/>
        </w:rPr>
      </w:pPr>
      <w:r>
        <w:rPr>
          <w:rFonts w:hint="eastAsia" w:ascii="宋体" w:hAnsi="宋体" w:eastAsia="宋体" w:cs="宋体"/>
          <w:color w:val="auto"/>
          <w:spacing w:val="0"/>
          <w:kern w:val="2"/>
          <w:sz w:val="24"/>
          <w:szCs w:val="24"/>
          <w:highlight w:val="none"/>
        </w:rPr>
        <w:t>1.2.2</w:t>
      </w:r>
      <w:r>
        <w:rPr>
          <w:rFonts w:hint="eastAsia" w:ascii="宋体" w:hAnsi="宋体" w:eastAsia="宋体" w:cs="宋体"/>
          <w:b/>
          <w:color w:val="auto"/>
          <w:spacing w:val="0"/>
          <w:kern w:val="2"/>
          <w:sz w:val="24"/>
          <w:szCs w:val="24"/>
          <w:highlight w:val="none"/>
        </w:rPr>
        <w:t>监督机构</w:t>
      </w:r>
      <w:r>
        <w:rPr>
          <w:rFonts w:hint="eastAsia" w:ascii="宋体" w:hAnsi="宋体" w:eastAsia="宋体" w:cs="宋体"/>
          <w:color w:val="auto"/>
          <w:spacing w:val="0"/>
          <w:kern w:val="2"/>
          <w:sz w:val="24"/>
          <w:szCs w:val="24"/>
          <w:highlight w:val="none"/>
        </w:rPr>
        <w:t>系指政府采购行政监督管理部门。本次采购的监督机构：</w:t>
      </w:r>
      <w:r>
        <w:rPr>
          <w:rFonts w:hint="eastAsia" w:ascii="宋体" w:hAnsi="宋体" w:eastAsia="宋体" w:cs="宋体"/>
          <w:color w:val="auto"/>
          <w:spacing w:val="0"/>
          <w:kern w:val="2"/>
          <w:sz w:val="24"/>
          <w:szCs w:val="24"/>
          <w:highlight w:val="none"/>
          <w:u w:val="single"/>
          <w:lang w:val="en-US" w:eastAsia="zh-CN"/>
        </w:rPr>
        <w:t xml:space="preserve">太白县财政局 </w:t>
      </w:r>
    </w:p>
    <w:p w14:paraId="0A4FF507">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1.2.3</w:t>
      </w:r>
      <w:r>
        <w:rPr>
          <w:rFonts w:hint="eastAsia" w:ascii="宋体" w:hAnsi="宋体" w:eastAsia="宋体" w:cs="宋体"/>
          <w:b/>
          <w:color w:val="auto"/>
          <w:spacing w:val="0"/>
          <w:kern w:val="2"/>
          <w:sz w:val="24"/>
          <w:szCs w:val="24"/>
          <w:highlight w:val="none"/>
        </w:rPr>
        <w:t>采购代理机构</w:t>
      </w:r>
      <w:r>
        <w:rPr>
          <w:rFonts w:hint="eastAsia" w:ascii="宋体" w:hAnsi="宋体" w:eastAsia="宋体" w:cs="宋体"/>
          <w:color w:val="auto"/>
          <w:spacing w:val="0"/>
          <w:kern w:val="2"/>
          <w:sz w:val="24"/>
          <w:szCs w:val="24"/>
          <w:highlight w:val="none"/>
        </w:rPr>
        <w:t>系指接受采购人委托，代理采购项目的依法经财政部门认定资格的采购代理机构。本次采购的采购代理机构名称、地址、电话、联系人见供应商须知前附表。</w:t>
      </w:r>
    </w:p>
    <w:p w14:paraId="62CBE146">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1.2.4 </w:t>
      </w:r>
      <w:r>
        <w:rPr>
          <w:rFonts w:hint="eastAsia" w:ascii="宋体" w:hAnsi="宋体" w:eastAsia="宋体" w:cs="宋体"/>
          <w:b/>
          <w:color w:val="auto"/>
          <w:spacing w:val="0"/>
          <w:kern w:val="2"/>
          <w:sz w:val="24"/>
          <w:szCs w:val="24"/>
          <w:highlight w:val="none"/>
        </w:rPr>
        <w:t>供应商</w:t>
      </w:r>
      <w:r>
        <w:rPr>
          <w:rFonts w:hint="eastAsia" w:ascii="宋体" w:hAnsi="宋体" w:eastAsia="宋体" w:cs="宋体"/>
          <w:color w:val="auto"/>
          <w:spacing w:val="0"/>
          <w:kern w:val="2"/>
          <w:sz w:val="24"/>
          <w:szCs w:val="24"/>
          <w:highlight w:val="none"/>
        </w:rPr>
        <w:t>是指响应和符合竞争性谈判文件（以下简称谈判文件）规定资格条件且参与谈判竞争的法人。</w:t>
      </w:r>
    </w:p>
    <w:p w14:paraId="4F9158DB">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5</w:t>
      </w:r>
      <w:r>
        <w:rPr>
          <w:rFonts w:hint="eastAsia" w:ascii="宋体" w:hAnsi="宋体" w:eastAsia="宋体" w:cs="宋体"/>
          <w:b/>
          <w:color w:val="auto"/>
          <w:spacing w:val="0"/>
          <w:kern w:val="2"/>
          <w:sz w:val="24"/>
          <w:szCs w:val="24"/>
          <w:highlight w:val="none"/>
        </w:rPr>
        <w:t xml:space="preserve"> 服务</w:t>
      </w:r>
      <w:r>
        <w:rPr>
          <w:rFonts w:hint="eastAsia" w:ascii="宋体" w:hAnsi="宋体" w:eastAsia="宋体" w:cs="宋体"/>
          <w:color w:val="auto"/>
          <w:spacing w:val="0"/>
          <w:kern w:val="2"/>
          <w:sz w:val="24"/>
          <w:szCs w:val="24"/>
          <w:highlight w:val="none"/>
        </w:rPr>
        <w:t>是指为满足谈判文件要求和工程配套所提供的服务。</w:t>
      </w:r>
    </w:p>
    <w:p w14:paraId="2541EA5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b/>
          <w:color w:val="auto"/>
          <w:spacing w:val="0"/>
          <w:kern w:val="2"/>
          <w:sz w:val="24"/>
          <w:szCs w:val="24"/>
          <w:highlight w:val="none"/>
        </w:rPr>
        <w:t>中小企业</w:t>
      </w:r>
      <w:r>
        <w:rPr>
          <w:rFonts w:hint="eastAsia" w:ascii="宋体" w:hAnsi="宋体" w:eastAsia="宋体" w:cs="宋体"/>
          <w:color w:val="auto"/>
          <w:spacing w:val="0"/>
          <w:kern w:val="2"/>
          <w:sz w:val="24"/>
          <w:szCs w:val="24"/>
          <w:highlight w:val="none"/>
        </w:rPr>
        <w:t>是指在中华人民共和国境内依法设立，依据国务院批准的中小企业划分标准确定的中型企业、小型企业和微型企业，但与大企业的负责人为同一人，或者与大企业存在直接控股、管理关系的除外。</w:t>
      </w:r>
    </w:p>
    <w:p w14:paraId="01672A3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7</w:t>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b/>
          <w:color w:val="auto"/>
          <w:spacing w:val="0"/>
          <w:kern w:val="2"/>
          <w:sz w:val="24"/>
          <w:szCs w:val="24"/>
          <w:highlight w:val="none"/>
        </w:rPr>
        <w:t>监狱企业</w:t>
      </w:r>
      <w:r>
        <w:rPr>
          <w:rFonts w:hint="eastAsia" w:ascii="宋体" w:hAnsi="宋体" w:eastAsia="宋体" w:cs="宋体"/>
          <w:color w:val="auto"/>
          <w:spacing w:val="0"/>
          <w:kern w:val="2"/>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3A01CC">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8</w:t>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b/>
          <w:color w:val="auto"/>
          <w:spacing w:val="0"/>
          <w:kern w:val="2"/>
          <w:sz w:val="24"/>
          <w:szCs w:val="24"/>
          <w:highlight w:val="none"/>
        </w:rPr>
        <w:t>残疾人福利性单位</w:t>
      </w:r>
      <w:r>
        <w:rPr>
          <w:rFonts w:hint="eastAsia" w:ascii="宋体" w:hAnsi="宋体" w:eastAsia="宋体" w:cs="宋体"/>
          <w:color w:val="auto"/>
          <w:spacing w:val="0"/>
          <w:kern w:val="2"/>
          <w:sz w:val="24"/>
          <w:szCs w:val="24"/>
          <w:highlight w:val="none"/>
        </w:rPr>
        <w:t>是指符合《财政部、民政部、中国残疾人联合会关于促进残疾人就业政府采购政策的通知》（财库[2017]141号）规定条件的单位。</w:t>
      </w:r>
    </w:p>
    <w:p w14:paraId="551ACE25">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9</w:t>
      </w:r>
      <w:r>
        <w:rPr>
          <w:rFonts w:hint="eastAsia" w:ascii="宋体" w:hAnsi="宋体" w:eastAsia="宋体" w:cs="宋体"/>
          <w:b/>
          <w:color w:val="auto"/>
          <w:spacing w:val="0"/>
          <w:kern w:val="2"/>
          <w:sz w:val="24"/>
          <w:szCs w:val="24"/>
          <w:highlight w:val="none"/>
        </w:rPr>
        <w:t>签名</w:t>
      </w:r>
      <w:r>
        <w:rPr>
          <w:rFonts w:hint="eastAsia" w:ascii="宋体" w:hAnsi="宋体" w:eastAsia="宋体" w:cs="宋体"/>
          <w:color w:val="auto"/>
          <w:spacing w:val="0"/>
          <w:kern w:val="2"/>
          <w:sz w:val="24"/>
          <w:szCs w:val="24"/>
          <w:highlight w:val="none"/>
        </w:rPr>
        <w:t>是指手写签名或者加盖名章，</w:t>
      </w:r>
      <w:r>
        <w:rPr>
          <w:rFonts w:hint="eastAsia" w:ascii="宋体" w:hAnsi="宋体" w:eastAsia="宋体" w:cs="宋体"/>
          <w:b/>
          <w:color w:val="auto"/>
          <w:spacing w:val="0"/>
          <w:kern w:val="2"/>
          <w:sz w:val="24"/>
          <w:szCs w:val="24"/>
          <w:highlight w:val="none"/>
        </w:rPr>
        <w:t>盖章</w:t>
      </w:r>
      <w:r>
        <w:rPr>
          <w:rFonts w:hint="eastAsia" w:ascii="宋体" w:hAnsi="宋体" w:eastAsia="宋体" w:cs="宋体"/>
          <w:color w:val="auto"/>
          <w:spacing w:val="0"/>
          <w:kern w:val="2"/>
          <w:sz w:val="24"/>
          <w:szCs w:val="24"/>
          <w:highlight w:val="none"/>
        </w:rPr>
        <w:t>是指加盖单位印章。</w:t>
      </w:r>
    </w:p>
    <w:p w14:paraId="28102E4A">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1.2.1</w:t>
      </w:r>
      <w:r>
        <w:rPr>
          <w:rFonts w:hint="eastAsia" w:ascii="宋体" w:hAnsi="宋体" w:eastAsia="宋体" w:cs="宋体"/>
          <w:color w:val="auto"/>
          <w:spacing w:val="0"/>
          <w:kern w:val="2"/>
          <w:sz w:val="24"/>
          <w:szCs w:val="24"/>
          <w:highlight w:val="none"/>
          <w:lang w:val="en-US" w:eastAsia="zh-CN"/>
        </w:rPr>
        <w:t>0</w:t>
      </w:r>
      <w:r>
        <w:rPr>
          <w:rFonts w:hint="eastAsia" w:ascii="宋体" w:hAnsi="宋体" w:eastAsia="宋体" w:cs="宋体"/>
          <w:b/>
          <w:color w:val="auto"/>
          <w:spacing w:val="0"/>
          <w:kern w:val="2"/>
          <w:sz w:val="24"/>
          <w:szCs w:val="24"/>
          <w:highlight w:val="none"/>
        </w:rPr>
        <w:t>较大数额罚款</w:t>
      </w:r>
      <w:r>
        <w:rPr>
          <w:rFonts w:hint="eastAsia" w:ascii="宋体" w:hAnsi="宋体" w:eastAsia="宋体" w:cs="宋体"/>
          <w:color w:val="auto"/>
          <w:spacing w:val="0"/>
          <w:kern w:val="2"/>
          <w:sz w:val="24"/>
          <w:szCs w:val="24"/>
          <w:highlight w:val="none"/>
        </w:rPr>
        <w:t>是指200万元以上罚款，法律、行政法规以及国务院有关部门明确规定相关领域“较大数额罚款”标准高于200万元的，从其规定。</w:t>
      </w:r>
    </w:p>
    <w:p w14:paraId="0526D212">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1.3 合格的供应商</w:t>
      </w:r>
    </w:p>
    <w:p w14:paraId="045224D2">
      <w:pPr>
        <w:keepNext w:val="0"/>
        <w:keepLines w:val="0"/>
        <w:pageBreakBefore w:val="0"/>
        <w:widowControl w:val="0"/>
        <w:tabs>
          <w:tab w:val="left" w:pos="7665"/>
        </w:tabs>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1.3.1 合格的供应商应具备以下条件：</w:t>
      </w:r>
    </w:p>
    <w:p w14:paraId="727DEE2A">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（1）具备且满足谈判文件规定的供应商资格条件；</w:t>
      </w:r>
    </w:p>
    <w:p w14:paraId="5C94F256">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（2）从采购代理机构获取了谈判文件；</w:t>
      </w:r>
    </w:p>
    <w:p w14:paraId="04AA21B7">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（3）交纳了谈判保证金（仅限供应商须知前附表要求供应商提交保证金的）；</w:t>
      </w:r>
    </w:p>
    <w:p w14:paraId="4F628F73">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（4）遵守国家和地方有关的法律法规、规章和规范性文件要求。</w:t>
      </w:r>
    </w:p>
    <w:p w14:paraId="52887A7D">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1.3.2 供应商不得存在下列情形之一：</w:t>
      </w:r>
    </w:p>
    <w:p w14:paraId="38331A3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（l）与采购人、采购代理机构存在</w:t>
      </w:r>
      <w:r>
        <w:rPr>
          <w:rFonts w:hint="eastAsia" w:ascii="宋体" w:hAnsi="宋体" w:eastAsia="宋体" w:cs="宋体"/>
          <w:bCs/>
          <w:color w:val="auto"/>
          <w:spacing w:val="0"/>
          <w:kern w:val="2"/>
          <w:sz w:val="24"/>
          <w:szCs w:val="24"/>
          <w:highlight w:val="none"/>
        </w:rPr>
        <w:t>隶属关系或者其他利害关系，且可能影响谈判公正性；</w:t>
      </w:r>
    </w:p>
    <w:p w14:paraId="4FDF4AA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（2）与本采购项目其他供应商的法定代表人（或者负责人）为同一人；</w:t>
      </w:r>
    </w:p>
    <w:p w14:paraId="2C099E23">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（3）与本采购项目其他供应商存在控股、管理关系；</w:t>
      </w:r>
    </w:p>
    <w:p w14:paraId="0D5EF96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（4）为本项目采购代理机构；</w:t>
      </w:r>
    </w:p>
    <w:p w14:paraId="458F215D">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（5）为本项目代理谈判的为其采购代理机构；</w:t>
      </w:r>
    </w:p>
    <w:p w14:paraId="6491A0C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（6）为本项目提供整体设计、规范编制或者项目管理、监理、检测、咨询服务；</w:t>
      </w:r>
    </w:p>
    <w:p w14:paraId="2FF7F8E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Cs/>
          <w:color w:val="auto"/>
          <w:spacing w:val="0"/>
          <w:kern w:val="2"/>
          <w:sz w:val="24"/>
          <w:szCs w:val="24"/>
          <w:highlight w:val="none"/>
        </w:rPr>
      </w:pPr>
      <w:r>
        <w:rPr>
          <w:rFonts w:hint="eastAsia" w:ascii="宋体" w:hAnsi="宋体" w:eastAsia="宋体" w:cs="宋体"/>
          <w:color w:val="auto"/>
          <w:spacing w:val="0"/>
          <w:kern w:val="2"/>
          <w:sz w:val="24"/>
          <w:szCs w:val="24"/>
          <w:highlight w:val="none"/>
        </w:rPr>
        <w:t>（7）</w:t>
      </w:r>
      <w:r>
        <w:rPr>
          <w:rFonts w:hint="eastAsia" w:ascii="宋体" w:hAnsi="宋体" w:eastAsia="宋体" w:cs="宋体"/>
          <w:bCs/>
          <w:color w:val="auto"/>
          <w:spacing w:val="0"/>
          <w:kern w:val="2"/>
          <w:sz w:val="24"/>
          <w:szCs w:val="24"/>
          <w:highlight w:val="none"/>
        </w:rPr>
        <w:t>受到刑事处罚；</w:t>
      </w:r>
    </w:p>
    <w:p w14:paraId="4FA71CB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Cs/>
          <w:color w:val="auto"/>
          <w:spacing w:val="0"/>
          <w:kern w:val="2"/>
          <w:sz w:val="24"/>
          <w:szCs w:val="24"/>
          <w:highlight w:val="none"/>
        </w:rPr>
      </w:pPr>
      <w:r>
        <w:rPr>
          <w:rFonts w:hint="eastAsia" w:ascii="宋体" w:hAnsi="宋体" w:eastAsia="宋体" w:cs="宋体"/>
          <w:bCs/>
          <w:color w:val="auto"/>
          <w:spacing w:val="0"/>
          <w:kern w:val="2"/>
          <w:sz w:val="24"/>
          <w:szCs w:val="24"/>
          <w:highlight w:val="none"/>
        </w:rPr>
        <w:t>（8）受到“较大数额罚款”的行政处罚；</w:t>
      </w:r>
    </w:p>
    <w:p w14:paraId="59296641">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bCs/>
          <w:color w:val="auto"/>
          <w:spacing w:val="0"/>
          <w:kern w:val="2"/>
          <w:sz w:val="24"/>
          <w:szCs w:val="24"/>
          <w:highlight w:val="none"/>
        </w:rPr>
      </w:pPr>
      <w:r>
        <w:rPr>
          <w:rFonts w:hint="eastAsia" w:ascii="宋体" w:hAnsi="宋体" w:eastAsia="宋体" w:cs="宋体"/>
          <w:bCs/>
          <w:color w:val="auto"/>
          <w:spacing w:val="0"/>
          <w:kern w:val="2"/>
          <w:sz w:val="24"/>
          <w:szCs w:val="24"/>
          <w:highlight w:val="none"/>
        </w:rPr>
        <w:t>（9）被责令停产停业、暂扣或者吊销许可证、暂扣或者吊销执照的行政处罚；</w:t>
      </w:r>
    </w:p>
    <w:p w14:paraId="5F557C7B">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bCs/>
          <w:color w:val="auto"/>
          <w:spacing w:val="0"/>
          <w:kern w:val="2"/>
          <w:sz w:val="24"/>
          <w:szCs w:val="24"/>
          <w:highlight w:val="none"/>
        </w:rPr>
        <w:t>（10）</w:t>
      </w:r>
      <w:r>
        <w:rPr>
          <w:rFonts w:hint="eastAsia" w:ascii="宋体" w:hAnsi="宋体" w:eastAsia="宋体" w:cs="宋体"/>
          <w:color w:val="auto"/>
          <w:spacing w:val="0"/>
          <w:kern w:val="2"/>
          <w:sz w:val="24"/>
          <w:szCs w:val="24"/>
          <w:highlight w:val="none"/>
        </w:rPr>
        <w:t>被列入失信被执行人名单；</w:t>
      </w:r>
    </w:p>
    <w:p w14:paraId="6BA1523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Cs/>
          <w:color w:val="auto"/>
          <w:spacing w:val="0"/>
          <w:kern w:val="2"/>
          <w:sz w:val="24"/>
          <w:szCs w:val="24"/>
          <w:highlight w:val="none"/>
        </w:rPr>
      </w:pPr>
      <w:r>
        <w:rPr>
          <w:rFonts w:hint="eastAsia" w:ascii="宋体" w:hAnsi="宋体" w:eastAsia="宋体" w:cs="宋体"/>
          <w:color w:val="auto"/>
          <w:spacing w:val="0"/>
          <w:kern w:val="2"/>
          <w:sz w:val="24"/>
          <w:szCs w:val="24"/>
          <w:highlight w:val="none"/>
        </w:rPr>
        <w:t>（11）被列入重大税收违法案件当事人名单；</w:t>
      </w:r>
    </w:p>
    <w:p w14:paraId="20A8112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bCs/>
          <w:color w:val="auto"/>
          <w:spacing w:val="0"/>
          <w:kern w:val="2"/>
          <w:sz w:val="24"/>
          <w:szCs w:val="24"/>
          <w:highlight w:val="none"/>
        </w:rPr>
        <w:t>（12）被禁止在一至三年内参加政府采购活动或存在</w:t>
      </w:r>
      <w:r>
        <w:rPr>
          <w:rFonts w:hint="eastAsia" w:ascii="宋体" w:hAnsi="宋体" w:eastAsia="宋体" w:cs="宋体"/>
          <w:color w:val="auto"/>
          <w:spacing w:val="0"/>
          <w:kern w:val="2"/>
          <w:sz w:val="24"/>
          <w:szCs w:val="24"/>
          <w:highlight w:val="none"/>
        </w:rPr>
        <w:t>财政部门认定的其他重大违法记录；</w:t>
      </w:r>
    </w:p>
    <w:p w14:paraId="6670D16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（13）在最近三年内有严重违约或者重大工程质量问题；</w:t>
      </w:r>
    </w:p>
    <w:p w14:paraId="79488237">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（14）被行政主管部门暂停或取消投标资格；</w:t>
      </w:r>
    </w:p>
    <w:p w14:paraId="34AE9783">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（15）法律法规规定的其他情形。</w:t>
      </w:r>
    </w:p>
    <w:bookmarkEnd w:id="14"/>
    <w:bookmarkEnd w:id="15"/>
    <w:bookmarkEnd w:id="16"/>
    <w:bookmarkEnd w:id="17"/>
    <w:bookmarkEnd w:id="18"/>
    <w:p w14:paraId="1323FD85">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b/>
          <w:bCs/>
          <w:color w:val="auto"/>
          <w:spacing w:val="0"/>
          <w:kern w:val="2"/>
          <w:sz w:val="24"/>
          <w:szCs w:val="24"/>
          <w:highlight w:val="none"/>
          <w:lang w:eastAsia="zh-CN"/>
        </w:rPr>
      </w:pPr>
      <w:bookmarkStart w:id="19" w:name="_Toc183682345"/>
      <w:bookmarkStart w:id="20" w:name="_Toc217446037"/>
      <w:bookmarkStart w:id="21" w:name="_Toc183582208"/>
      <w:r>
        <w:rPr>
          <w:rFonts w:hint="eastAsia" w:ascii="宋体" w:hAnsi="宋体" w:eastAsia="宋体" w:cs="宋体"/>
          <w:b/>
          <w:bCs/>
          <w:color w:val="auto"/>
          <w:spacing w:val="0"/>
          <w:kern w:val="2"/>
          <w:sz w:val="24"/>
          <w:szCs w:val="24"/>
          <w:highlight w:val="none"/>
        </w:rPr>
        <w:t>1.4</w:t>
      </w:r>
      <w:r>
        <w:rPr>
          <w:rFonts w:hint="eastAsia" w:ascii="宋体" w:hAnsi="宋体" w:eastAsia="宋体" w:cs="宋体"/>
          <w:b/>
          <w:bCs/>
          <w:color w:val="auto"/>
          <w:spacing w:val="0"/>
          <w:kern w:val="2"/>
          <w:sz w:val="24"/>
          <w:szCs w:val="24"/>
          <w:highlight w:val="none"/>
          <w:lang w:eastAsia="zh-CN"/>
        </w:rPr>
        <w:t>合格的货物（产品）和服务</w:t>
      </w:r>
    </w:p>
    <w:p w14:paraId="5EC9F863">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1.4.1 </w:t>
      </w:r>
      <w:r>
        <w:rPr>
          <w:rFonts w:hint="eastAsia" w:ascii="宋体" w:hAnsi="宋体" w:eastAsia="宋体" w:cs="宋体"/>
          <w:color w:val="auto"/>
          <w:spacing w:val="0"/>
          <w:kern w:val="2"/>
          <w:sz w:val="24"/>
          <w:szCs w:val="24"/>
          <w:highlight w:val="none"/>
          <w:lang w:val="en-US" w:eastAsia="zh-CN"/>
        </w:rPr>
        <w:t>供应商</w:t>
      </w:r>
      <w:r>
        <w:rPr>
          <w:rFonts w:hint="eastAsia" w:ascii="宋体" w:hAnsi="宋体" w:eastAsia="宋体" w:cs="宋体"/>
          <w:color w:val="auto"/>
          <w:spacing w:val="0"/>
          <w:kern w:val="2"/>
          <w:sz w:val="24"/>
          <w:szCs w:val="24"/>
          <w:highlight w:val="none"/>
        </w:rPr>
        <w:t>提供的所有货物和服务，应当是合法生产、合法来源，符合国家有关标准、规范要求，并满足</w:t>
      </w:r>
      <w:r>
        <w:rPr>
          <w:rFonts w:hint="eastAsia" w:ascii="宋体" w:hAnsi="宋体" w:eastAsia="宋体" w:cs="宋体"/>
          <w:color w:val="auto"/>
          <w:spacing w:val="0"/>
          <w:kern w:val="2"/>
          <w:sz w:val="24"/>
          <w:szCs w:val="24"/>
          <w:highlight w:val="none"/>
          <w:lang w:val="en-US" w:eastAsia="zh-CN"/>
        </w:rPr>
        <w:t>采购</w:t>
      </w:r>
      <w:r>
        <w:rPr>
          <w:rFonts w:hint="eastAsia" w:ascii="宋体" w:hAnsi="宋体" w:eastAsia="宋体" w:cs="宋体"/>
          <w:color w:val="auto"/>
          <w:spacing w:val="0"/>
          <w:kern w:val="2"/>
          <w:sz w:val="24"/>
          <w:szCs w:val="24"/>
          <w:highlight w:val="none"/>
        </w:rPr>
        <w:t>文件规定的规格、参数、质量、价格、有效期、售后服务及投标人须承担的运输、安装、技术支持、培训和</w:t>
      </w:r>
      <w:r>
        <w:rPr>
          <w:rFonts w:hint="eastAsia" w:ascii="宋体" w:hAnsi="宋体" w:eastAsia="宋体" w:cs="宋体"/>
          <w:color w:val="auto"/>
          <w:spacing w:val="0"/>
          <w:kern w:val="2"/>
          <w:sz w:val="24"/>
          <w:szCs w:val="24"/>
          <w:highlight w:val="none"/>
          <w:lang w:val="en-US" w:eastAsia="zh-CN"/>
        </w:rPr>
        <w:t>采购</w:t>
      </w:r>
      <w:r>
        <w:rPr>
          <w:rFonts w:hint="eastAsia" w:ascii="宋体" w:hAnsi="宋体" w:eastAsia="宋体" w:cs="宋体"/>
          <w:color w:val="auto"/>
          <w:spacing w:val="0"/>
          <w:kern w:val="2"/>
          <w:sz w:val="24"/>
          <w:szCs w:val="24"/>
          <w:highlight w:val="none"/>
        </w:rPr>
        <w:t>文件规定的其它伴随服务等要求。</w:t>
      </w:r>
    </w:p>
    <w:p w14:paraId="6B2BB998">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1.4.2 采购人有权拒绝接受任何不合格的货物和服务，由此产生的费用及相关后果均由投标人自行承担。</w:t>
      </w:r>
    </w:p>
    <w:p w14:paraId="3A2B1AC2">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1.5 谈判费用</w:t>
      </w:r>
    </w:p>
    <w:p w14:paraId="4E5CFA72">
      <w:pPr>
        <w:keepNext w:val="0"/>
        <w:keepLines w:val="0"/>
        <w:pageBreakBefore w:val="0"/>
        <w:widowControl w:val="0"/>
        <w:tabs>
          <w:tab w:val="left" w:pos="7665"/>
        </w:tabs>
        <w:kinsoku/>
        <w:wordWrap w:val="0"/>
        <w:overflowPunct/>
        <w:topLinePunct/>
        <w:autoSpaceDE/>
        <w:autoSpaceDN/>
        <w:bidi w:val="0"/>
        <w:spacing w:line="360" w:lineRule="auto"/>
        <w:ind w:firstLine="491" w:firstLineChars="205"/>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不论谈判结果如何，供应商应自行承担所有与准备和参加谈判相关的全部费用。</w:t>
      </w:r>
    </w:p>
    <w:p w14:paraId="45357926">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1.6语言文字</w:t>
      </w:r>
    </w:p>
    <w:p w14:paraId="19B5CCA6">
      <w:pPr>
        <w:keepNext w:val="0"/>
        <w:keepLines w:val="0"/>
        <w:pageBreakBefore w:val="0"/>
        <w:widowControl w:val="0"/>
        <w:tabs>
          <w:tab w:val="left" w:pos="7665"/>
        </w:tabs>
        <w:kinsoku/>
        <w:wordWrap w:val="0"/>
        <w:overflowPunct/>
        <w:topLinePunct/>
        <w:autoSpaceDE/>
        <w:autoSpaceDN/>
        <w:bidi w:val="0"/>
        <w:spacing w:line="360" w:lineRule="auto"/>
        <w:ind w:firstLine="405"/>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1.6.1 谈判文件与响应文件使用的语言为中文。专用术语使用外文的，应附有中文注释。</w:t>
      </w:r>
    </w:p>
    <w:p w14:paraId="3A4519E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1.6.2 响应文件中如附有外文资料，必须逐一对应翻译成中文并加盖供应商单位章后附在相关外文资料后面，否则，供应商的响应文件将作为无效响应文件处理。</w:t>
      </w:r>
    </w:p>
    <w:p w14:paraId="16D6FA64">
      <w:pPr>
        <w:pStyle w:val="16"/>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1.6.3 响应文件中翻译的中文资料与外文资料如果出现差异和矛盾时，以中文为准。但不能故意错误翻译，否则，供应商的响应文件将作为无效响应文件处理。必要时采购人可以要求供应商提供附有公证书的中文翻译文件或者与原版文件签章相一致的中文翻译文件。</w:t>
      </w:r>
    </w:p>
    <w:p w14:paraId="51C401E1">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lang w:val="zh-CN"/>
        </w:rPr>
      </w:pPr>
      <w:r>
        <w:rPr>
          <w:rFonts w:hint="eastAsia" w:ascii="宋体" w:hAnsi="宋体" w:eastAsia="宋体" w:cs="宋体"/>
          <w:b/>
          <w:color w:val="auto"/>
          <w:spacing w:val="0"/>
          <w:kern w:val="2"/>
          <w:sz w:val="24"/>
          <w:szCs w:val="24"/>
          <w:highlight w:val="none"/>
          <w:lang w:val="zh-CN"/>
        </w:rPr>
        <w:t>1.7 保密</w:t>
      </w:r>
    </w:p>
    <w:p w14:paraId="2847750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zh-CN"/>
        </w:rPr>
      </w:pPr>
      <w:r>
        <w:rPr>
          <w:rFonts w:hint="eastAsia" w:ascii="宋体" w:hAnsi="宋体" w:eastAsia="宋体" w:cs="宋体"/>
          <w:color w:val="auto"/>
          <w:spacing w:val="0"/>
          <w:kern w:val="2"/>
          <w:sz w:val="24"/>
          <w:szCs w:val="24"/>
          <w:highlight w:val="none"/>
          <w:lang w:val="zh-CN"/>
        </w:rPr>
        <w:t xml:space="preserve">参与采购活动的当事人应对谈判文件和响应文件中的商业秘密、技术秘密和个人隐私等保密，违者应对由此造成的后果承担法律责任。 </w:t>
      </w:r>
    </w:p>
    <w:p w14:paraId="07D5BD18">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1.8计量单位</w:t>
      </w:r>
    </w:p>
    <w:p w14:paraId="14300993">
      <w:pPr>
        <w:keepNext w:val="0"/>
        <w:keepLines w:val="0"/>
        <w:pageBreakBefore w:val="0"/>
        <w:widowControl w:val="0"/>
        <w:tabs>
          <w:tab w:val="left" w:pos="7665"/>
        </w:tabs>
        <w:kinsoku/>
        <w:wordWrap w:val="0"/>
        <w:overflowPunct/>
        <w:topLinePunct/>
        <w:autoSpaceDE/>
        <w:autoSpaceDN/>
        <w:bidi w:val="0"/>
        <w:spacing w:line="360" w:lineRule="auto"/>
        <w:ind w:firstLine="405"/>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所有计量单位均采用中华人民共和国法定计量单位。</w:t>
      </w:r>
    </w:p>
    <w:p w14:paraId="5C271FD9">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1.9 答疑会或踏勘现场</w:t>
      </w:r>
    </w:p>
    <w:p w14:paraId="5FFA3CDC">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1.9.1供应商须知前附表规定组织答疑会或踏勘现场的，采购人或者采购代理机构按供应商须知前附表规定的时间、地点组织供应商踏勘项目现场，澄清供应商提出的问题，供应商可按要求在规定的时间和地点参加。</w:t>
      </w:r>
    </w:p>
    <w:p w14:paraId="3A0A1635">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1.9.2 除采购人或采购代理机构的原因外，供应商自行负责在踏勘现场中所发生的人员伤亡和财产损失。</w:t>
      </w:r>
    </w:p>
    <w:p w14:paraId="50A916F9">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1.9.3 答疑会或踏勘现场后，采购人或采购代理机构对供应商所提问题的澄清，以书面形式通知所有获取了谈判文件的供应商。该澄清内容为谈判文件的组成部分。</w:t>
      </w:r>
    </w:p>
    <w:p w14:paraId="5F74DF80">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1.9.4 采购人或采购代理机构在踏勘现场中介绍的现场货物需求和相关的周边环境情况，供供应商在编制响应文件时参考，采购人或采购代理机构不对供应商据此作出的判断和决策负责。一旦成交，成交供应商不得以任何借口，提出额外补偿，或延长合同期限的要求。</w:t>
      </w:r>
    </w:p>
    <w:p w14:paraId="5380283C">
      <w:pPr>
        <w:keepNext w:val="0"/>
        <w:keepLines w:val="0"/>
        <w:pageBreakBefore w:val="0"/>
        <w:widowControl w:val="0"/>
        <w:tabs>
          <w:tab w:val="left" w:pos="747"/>
        </w:tabs>
        <w:kinsoku/>
        <w:wordWrap w:val="0"/>
        <w:overflowPunct/>
        <w:topLinePunct/>
        <w:autoSpaceDE/>
        <w:autoSpaceDN/>
        <w:bidi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1.9.5 由于未参加现场考察或谈判前答疑会而导致对项目实际情况不了解，影响响应文件编制、响应报价准确性、综合因素响应不全面等问题的，由供应商自行承担不利评审后果。</w:t>
      </w:r>
    </w:p>
    <w:p w14:paraId="13C06FC6">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1.10响应与偏离</w:t>
      </w:r>
    </w:p>
    <w:p w14:paraId="128053D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1.10.1响应文件应当对谈判文件实质性要求和条件作出满足性或有利于采购人的响应，否则，供应商的响应文件无效。</w:t>
      </w:r>
    </w:p>
    <w:p w14:paraId="1EA8D338">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1.10.2</w:t>
      </w:r>
      <w:r>
        <w:rPr>
          <w:rFonts w:hint="eastAsia" w:ascii="宋体" w:hAnsi="宋体" w:eastAsia="宋体" w:cs="宋体"/>
          <w:b/>
          <w:color w:val="auto"/>
          <w:spacing w:val="0"/>
          <w:kern w:val="2"/>
          <w:sz w:val="24"/>
          <w:szCs w:val="24"/>
          <w:highlight w:val="none"/>
        </w:rPr>
        <w:t>偏离</w:t>
      </w:r>
      <w:r>
        <w:rPr>
          <w:rFonts w:hint="eastAsia" w:ascii="宋体" w:hAnsi="宋体" w:eastAsia="宋体" w:cs="宋体"/>
          <w:color w:val="auto"/>
          <w:spacing w:val="0"/>
          <w:kern w:val="2"/>
          <w:sz w:val="24"/>
          <w:szCs w:val="24"/>
          <w:highlight w:val="none"/>
        </w:rPr>
        <w:t>是指响应文件不响应或者不满足谈判文件提出的要求和条件，分为实质性偏离和非实质性偏离。</w:t>
      </w:r>
    </w:p>
    <w:p w14:paraId="3A632F08">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1.10.3供应商须知前附表允许响应文件非实质性偏离谈判文件某些要求的，偏离应当符合供应商须知前附表规定的偏离范围和幅度。</w:t>
      </w:r>
    </w:p>
    <w:p w14:paraId="400808E5">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1.10.4 谈判过程中，谈判小组若根据谈判文件和谈判情况实质性变动采购需求中的技术、服务要求以及合同草案条款的，供应商据此重新提交的响应文件，也适用本条款。</w:t>
      </w:r>
    </w:p>
    <w:bookmarkEnd w:id="19"/>
    <w:bookmarkEnd w:id="20"/>
    <w:bookmarkEnd w:id="21"/>
    <w:p w14:paraId="192C9DE1">
      <w:pPr>
        <w:pStyle w:val="3"/>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b/>
          <w:color w:val="auto"/>
          <w:spacing w:val="0"/>
          <w:kern w:val="2"/>
          <w:sz w:val="24"/>
          <w:szCs w:val="24"/>
          <w:highlight w:val="none"/>
          <w:lang w:val="en-US" w:eastAsia="zh-CN" w:bidi="ar-SA"/>
        </w:rPr>
      </w:pPr>
      <w:bookmarkStart w:id="22" w:name="_Toc217446047"/>
      <w:bookmarkStart w:id="23" w:name="_Toc217446038"/>
      <w:bookmarkStart w:id="24" w:name="_Toc183682346"/>
      <w:bookmarkStart w:id="25" w:name="_Toc77400779"/>
      <w:bookmarkStart w:id="26" w:name="_Toc89075875"/>
      <w:bookmarkStart w:id="27" w:name="_Toc183582209"/>
      <w:r>
        <w:rPr>
          <w:rFonts w:hint="eastAsia" w:ascii="宋体" w:hAnsi="宋体" w:eastAsia="宋体" w:cs="宋体"/>
          <w:b/>
          <w:color w:val="auto"/>
          <w:spacing w:val="0"/>
          <w:kern w:val="2"/>
          <w:sz w:val="24"/>
          <w:szCs w:val="24"/>
          <w:highlight w:val="none"/>
          <w:lang w:val="en-US" w:eastAsia="zh-CN" w:bidi="ar-SA"/>
        </w:rPr>
        <w:t>1.11 知识产权</w:t>
      </w:r>
      <w:bookmarkEnd w:id="22"/>
    </w:p>
    <w:p w14:paraId="03947EBC">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1.11.1 供应商应保证在本项目使用的任何货物（包括部分使用）和服务时，不会产生因第三方提出侵犯其专利权、商标权或其它知识产权而引起的法律和经济纠纷，如因专利权、商标权或其它知识产权而引起法律和经济纠纷，由供应商承担所有相关责任。</w:t>
      </w:r>
    </w:p>
    <w:p w14:paraId="1628F434">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1.11.2 采购人享有本项目实施过程中产生的知识成果及知识产权。</w:t>
      </w:r>
    </w:p>
    <w:p w14:paraId="0D176FF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1.11.3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520C97F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1.11.4 如采用供应商所不拥有的知识产权，则在报价中必须包括合法获取该知识产权的相关费用。</w:t>
      </w:r>
    </w:p>
    <w:p w14:paraId="500EBBE6">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Cs/>
          <w:color w:val="auto"/>
          <w:spacing w:val="0"/>
          <w:kern w:val="2"/>
          <w:sz w:val="24"/>
          <w:szCs w:val="24"/>
          <w:highlight w:val="none"/>
        </w:rPr>
      </w:pPr>
      <w:r>
        <w:rPr>
          <w:rFonts w:hint="eastAsia" w:ascii="宋体" w:hAnsi="宋体" w:eastAsia="宋体" w:cs="宋体"/>
          <w:bCs/>
          <w:color w:val="auto"/>
          <w:spacing w:val="0"/>
          <w:kern w:val="2"/>
          <w:sz w:val="24"/>
          <w:szCs w:val="24"/>
          <w:highlight w:val="none"/>
        </w:rPr>
        <w:t>2.谈判文件</w:t>
      </w:r>
    </w:p>
    <w:p w14:paraId="75C4C32E">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2.1 谈判文件的组成</w:t>
      </w:r>
    </w:p>
    <w:p w14:paraId="2181FC75">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本谈判文件包括以下内容：</w:t>
      </w:r>
    </w:p>
    <w:p w14:paraId="42D3A0F5">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_Toc30408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竞争性谈判公告</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114BB778">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_Toc10088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供应商须知</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1CEE990B">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_Toc27407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资格审查办法</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7D426B11">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_Toc29621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谈判办法</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2FF99105">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_Toc8803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采购需求</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33571E21">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_Toc12836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政府采购合同格式</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573C5BD1">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instrText xml:space="preserve"> HYPERLINK \l _Toc3697 </w:instrTex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pacing w:val="0"/>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t>竞争性谈判响应文件格式</w:t>
      </w:r>
      <w:r>
        <w:rPr>
          <w:rFonts w:hint="eastAsia" w:ascii="宋体" w:hAnsi="宋体" w:eastAsia="宋体" w:cs="宋体"/>
          <w:b w:val="0"/>
          <w:bCs w:val="0"/>
          <w:color w:val="000000" w:themeColor="text1"/>
          <w:spacing w:val="0"/>
          <w:kern w:val="2"/>
          <w:sz w:val="24"/>
          <w:szCs w:val="24"/>
          <w:highlight w:val="none"/>
          <w14:textFill>
            <w14:solidFill>
              <w14:schemeClr w14:val="tx1"/>
            </w14:solidFill>
          </w14:textFill>
        </w:rPr>
        <w:fldChar w:fldCharType="end"/>
      </w:r>
    </w:p>
    <w:p w14:paraId="2990B532">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根据本章第1.9条款、第2.2条款款对谈判文件所作的澄清、修改，构成谈判文件的组成部分。</w:t>
      </w:r>
    </w:p>
    <w:p w14:paraId="6721EE4B">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2.2 谈判文件的澄清和修改</w:t>
      </w:r>
    </w:p>
    <w:p w14:paraId="36A92769">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2.2.1 在提交首次响应文件截止时间前，采购代理机构无论出于何种原因，可以对谈判文件进行澄清或者修改。</w:t>
      </w:r>
    </w:p>
    <w:p w14:paraId="3C4192A7">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2.2.2 采购人或采购代理机构可以对已发出的谈判文件进行必要的澄清或者修改，澄清或修改的内容可能影响响应文件编制的，应当在提交首次响应文件截止时间3个工作日前，以书面形式将澄清或者修改的内容通知所有获取谈判文件的供应商，同时在原信息发布媒体上发布更正公告；供应商在收到上述通知后，应立即以书面形式向采购代理机构确认；不足3个工作日的，将相应顺延提交首次响应文件截止时间。</w:t>
      </w:r>
    </w:p>
    <w:p w14:paraId="01FB87A2">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2.2.3 供应商应仔细阅读和检查谈判文件的全部内容。如发现缺页或附件不全，应及时向采购代理机构提出，以便补齐。如需对谈判文件（除质疑外）需要询问或澄清的，或认为有必要与采购代理机构进行技术交流的，均应在提交首次响应文件截止时间1个工作日前按谈判文件中的联系方式，以书面形式向采购代理机构提出，采购代理机构应当在1个工作日内，以书面形式予以答复（答复中不包括问题的来源），或认为有必要召开答疑会。超过该时间收到的询问或需要澄清的内容，采购代理机构有权不予答复。</w:t>
      </w:r>
    </w:p>
    <w:p w14:paraId="1CAB31F4">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2.2.4 在提交首次响应文件截止时间前，采购代理机构可以视采购具体情况，延长提交首次响应文件截止时间，并将变更时间以书面形式通知所有获取了谈判文件的供应商，同时在原信息发布媒体上发布更正公告。</w:t>
      </w:r>
    </w:p>
    <w:p w14:paraId="2A754DAE">
      <w:pPr>
        <w:pStyle w:val="3"/>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2.2.5采购代理机构将在发布变更（澄清）公告的同时，提醒供应商下载答疑文件（*.SXSCF，即更新后的电子谈判文件）。供应商应当及时从</w:t>
      </w:r>
      <w:r>
        <w:rPr>
          <w:rFonts w:hint="eastAsia" w:ascii="宋体" w:hAnsi="宋体" w:eastAsia="宋体" w:cs="宋体"/>
          <w:color w:val="auto"/>
          <w:spacing w:val="0"/>
          <w:kern w:val="2"/>
          <w:sz w:val="24"/>
          <w:szCs w:val="24"/>
          <w:highlight w:val="none"/>
          <w:lang w:val="zh-CN" w:eastAsia="zh-CN" w:bidi="ar-SA"/>
        </w:rPr>
        <w:t>【全国公共资源交易平台（陕西省·宝鸡市）】</w:t>
      </w:r>
      <w:r>
        <w:rPr>
          <w:rFonts w:hint="eastAsia" w:ascii="宋体" w:hAnsi="宋体" w:eastAsia="宋体" w:cs="宋体"/>
          <w:color w:val="auto"/>
          <w:spacing w:val="0"/>
          <w:kern w:val="2"/>
          <w:sz w:val="24"/>
          <w:szCs w:val="24"/>
          <w:highlight w:val="none"/>
          <w:lang w:val="en-US" w:eastAsia="zh-CN" w:bidi="ar-SA"/>
        </w:rPr>
        <w:t>〖首页·〉电子交易平台·〉陕西政府采购交易系统·〉企业端〗登录，登录后切换到〖我的项目〗模块，从〖项目流程·〉项目管理·〉答疑文件下载〗获取更新后的电子谈判文件（*.SXSCF），使用旧版电子谈判文件制作的电子响应文件（*.SXSTF），系统将拒绝接收。</w:t>
      </w:r>
    </w:p>
    <w:p w14:paraId="60E9987D">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2.2.</w:t>
      </w:r>
      <w:r>
        <w:rPr>
          <w:rFonts w:hint="eastAsia" w:ascii="宋体" w:hAnsi="宋体" w:eastAsia="宋体" w:cs="宋体"/>
          <w:b/>
          <w:color w:val="auto"/>
          <w:spacing w:val="0"/>
          <w:kern w:val="2"/>
          <w:sz w:val="24"/>
          <w:szCs w:val="24"/>
          <w:highlight w:val="none"/>
          <w:lang w:val="en-US" w:eastAsia="zh-CN"/>
        </w:rPr>
        <w:t>6</w:t>
      </w:r>
      <w:r>
        <w:rPr>
          <w:rFonts w:hint="eastAsia" w:ascii="宋体" w:hAnsi="宋体" w:eastAsia="宋体" w:cs="宋体"/>
          <w:b/>
          <w:color w:val="auto"/>
          <w:spacing w:val="0"/>
          <w:kern w:val="2"/>
          <w:sz w:val="24"/>
          <w:szCs w:val="24"/>
          <w:highlight w:val="none"/>
        </w:rPr>
        <w:t xml:space="preserve"> 请各</w:t>
      </w:r>
      <w:r>
        <w:rPr>
          <w:rFonts w:hint="eastAsia" w:ascii="宋体" w:hAnsi="宋体" w:eastAsia="宋体" w:cs="宋体"/>
          <w:b/>
          <w:color w:val="auto"/>
          <w:spacing w:val="0"/>
          <w:kern w:val="2"/>
          <w:sz w:val="24"/>
          <w:szCs w:val="24"/>
          <w:highlight w:val="none"/>
          <w:lang w:eastAsia="zh-CN"/>
        </w:rPr>
        <w:t>供应商</w:t>
      </w:r>
      <w:r>
        <w:rPr>
          <w:rFonts w:hint="eastAsia" w:ascii="宋体" w:hAnsi="宋体" w:eastAsia="宋体" w:cs="宋体"/>
          <w:b/>
          <w:color w:val="auto"/>
          <w:spacing w:val="0"/>
          <w:kern w:val="2"/>
          <w:sz w:val="24"/>
          <w:szCs w:val="24"/>
          <w:highlight w:val="none"/>
        </w:rPr>
        <w:t>在提交</w:t>
      </w:r>
      <w:r>
        <w:rPr>
          <w:rFonts w:hint="eastAsia" w:ascii="宋体" w:hAnsi="宋体" w:eastAsia="宋体" w:cs="宋体"/>
          <w:b/>
          <w:color w:val="auto"/>
          <w:spacing w:val="0"/>
          <w:kern w:val="2"/>
          <w:sz w:val="24"/>
          <w:szCs w:val="24"/>
          <w:highlight w:val="none"/>
          <w:lang w:eastAsia="zh-CN"/>
        </w:rPr>
        <w:t>响应文件</w:t>
      </w:r>
      <w:r>
        <w:rPr>
          <w:rFonts w:hint="eastAsia" w:ascii="宋体" w:hAnsi="宋体" w:eastAsia="宋体" w:cs="宋体"/>
          <w:b/>
          <w:color w:val="auto"/>
          <w:spacing w:val="0"/>
          <w:kern w:val="2"/>
          <w:sz w:val="24"/>
          <w:szCs w:val="24"/>
          <w:highlight w:val="none"/>
        </w:rPr>
        <w:t>截止时间之前，务必随时关注政府采购信息发布媒体上发布的变更公告，采购代理机构不再另行通知，因供应商未及时关注所造成的一切后果由</w:t>
      </w:r>
      <w:r>
        <w:rPr>
          <w:rFonts w:hint="eastAsia" w:ascii="宋体" w:hAnsi="宋体" w:eastAsia="宋体" w:cs="宋体"/>
          <w:b/>
          <w:color w:val="auto"/>
          <w:spacing w:val="0"/>
          <w:kern w:val="2"/>
          <w:sz w:val="24"/>
          <w:szCs w:val="24"/>
          <w:highlight w:val="none"/>
          <w:lang w:eastAsia="zh-CN"/>
        </w:rPr>
        <w:t>供应商</w:t>
      </w:r>
      <w:r>
        <w:rPr>
          <w:rFonts w:hint="eastAsia" w:ascii="宋体" w:hAnsi="宋体" w:eastAsia="宋体" w:cs="宋体"/>
          <w:b/>
          <w:color w:val="auto"/>
          <w:spacing w:val="0"/>
          <w:kern w:val="2"/>
          <w:sz w:val="24"/>
          <w:szCs w:val="24"/>
          <w:highlight w:val="none"/>
        </w:rPr>
        <w:t>自行承担：</w:t>
      </w:r>
    </w:p>
    <w:p w14:paraId="04587C9E">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（1）“</w:t>
      </w:r>
      <w:r>
        <w:rPr>
          <w:rFonts w:hint="eastAsia" w:ascii="宋体" w:hAnsi="宋体" w:eastAsia="宋体" w:cs="宋体"/>
          <w:b w:val="0"/>
          <w:bCs w:val="0"/>
          <w:color w:val="auto"/>
          <w:spacing w:val="0"/>
          <w:kern w:val="2"/>
          <w:sz w:val="24"/>
          <w:szCs w:val="24"/>
          <w:highlight w:val="none"/>
        </w:rPr>
        <w:fldChar w:fldCharType="begin"/>
      </w:r>
      <w:r>
        <w:rPr>
          <w:rFonts w:hint="eastAsia" w:ascii="宋体" w:hAnsi="宋体" w:eastAsia="宋体" w:cs="宋体"/>
          <w:b w:val="0"/>
          <w:bCs w:val="0"/>
          <w:color w:val="auto"/>
          <w:spacing w:val="0"/>
          <w:kern w:val="2"/>
          <w:sz w:val="24"/>
          <w:szCs w:val="24"/>
          <w:highlight w:val="none"/>
        </w:rPr>
        <w:instrText xml:space="preserve"> HYPERLINK "http://www.ccgp-shaanxi.gov.cn" </w:instrText>
      </w:r>
      <w:r>
        <w:rPr>
          <w:rFonts w:hint="eastAsia" w:ascii="宋体" w:hAnsi="宋体" w:eastAsia="宋体" w:cs="宋体"/>
          <w:b w:val="0"/>
          <w:bCs w:val="0"/>
          <w:color w:val="auto"/>
          <w:spacing w:val="0"/>
          <w:kern w:val="2"/>
          <w:sz w:val="24"/>
          <w:szCs w:val="24"/>
          <w:highlight w:val="none"/>
        </w:rPr>
        <w:fldChar w:fldCharType="separate"/>
      </w:r>
      <w:r>
        <w:rPr>
          <w:rFonts w:hint="eastAsia" w:ascii="宋体" w:hAnsi="宋体" w:eastAsia="宋体" w:cs="宋体"/>
          <w:b w:val="0"/>
          <w:bCs w:val="0"/>
          <w:color w:val="auto"/>
          <w:spacing w:val="0"/>
          <w:kern w:val="2"/>
          <w:sz w:val="24"/>
          <w:szCs w:val="24"/>
          <w:highlight w:val="none"/>
        </w:rPr>
        <w:t>陕西省政府采购网</w:t>
      </w:r>
      <w:r>
        <w:rPr>
          <w:rFonts w:hint="eastAsia" w:ascii="宋体" w:hAnsi="宋体" w:eastAsia="宋体" w:cs="宋体"/>
          <w:b w:val="0"/>
          <w:bCs w:val="0"/>
          <w:color w:val="auto"/>
          <w:spacing w:val="0"/>
          <w:kern w:val="2"/>
          <w:sz w:val="24"/>
          <w:szCs w:val="24"/>
          <w:highlight w:val="none"/>
        </w:rPr>
        <w:fldChar w:fldCharType="end"/>
      </w:r>
      <w:r>
        <w:rPr>
          <w:rFonts w:hint="eastAsia" w:ascii="宋体" w:hAnsi="宋体" w:eastAsia="宋体" w:cs="宋体"/>
          <w:b w:val="0"/>
          <w:bCs w:val="0"/>
          <w:color w:val="auto"/>
          <w:spacing w:val="0"/>
          <w:kern w:val="2"/>
          <w:sz w:val="24"/>
          <w:szCs w:val="24"/>
          <w:highlight w:val="none"/>
        </w:rPr>
        <w:t>”（</w:t>
      </w:r>
      <w:r>
        <w:rPr>
          <w:rFonts w:hint="eastAsia" w:ascii="宋体" w:hAnsi="宋体" w:eastAsia="宋体" w:cs="宋体"/>
          <w:b w:val="0"/>
          <w:bCs w:val="0"/>
          <w:color w:val="auto"/>
          <w:spacing w:val="0"/>
          <w:kern w:val="2"/>
          <w:sz w:val="24"/>
          <w:szCs w:val="24"/>
          <w:highlight w:val="none"/>
        </w:rPr>
        <w:fldChar w:fldCharType="begin"/>
      </w:r>
      <w:r>
        <w:rPr>
          <w:rFonts w:hint="eastAsia" w:ascii="宋体" w:hAnsi="宋体" w:eastAsia="宋体" w:cs="宋体"/>
          <w:b w:val="0"/>
          <w:bCs w:val="0"/>
          <w:color w:val="auto"/>
          <w:spacing w:val="0"/>
          <w:kern w:val="2"/>
          <w:sz w:val="24"/>
          <w:szCs w:val="24"/>
          <w:highlight w:val="none"/>
        </w:rPr>
        <w:instrText xml:space="preserve"> HYPERLINK "http://www.ccgp-shaanxi.gov.cn/" </w:instrText>
      </w:r>
      <w:r>
        <w:rPr>
          <w:rFonts w:hint="eastAsia" w:ascii="宋体" w:hAnsi="宋体" w:eastAsia="宋体" w:cs="宋体"/>
          <w:b w:val="0"/>
          <w:bCs w:val="0"/>
          <w:color w:val="auto"/>
          <w:spacing w:val="0"/>
          <w:kern w:val="2"/>
          <w:sz w:val="24"/>
          <w:szCs w:val="24"/>
          <w:highlight w:val="none"/>
        </w:rPr>
        <w:fldChar w:fldCharType="separate"/>
      </w:r>
      <w:r>
        <w:rPr>
          <w:rFonts w:hint="eastAsia" w:ascii="宋体" w:hAnsi="宋体" w:eastAsia="宋体" w:cs="宋体"/>
          <w:b w:val="0"/>
          <w:bCs w:val="0"/>
          <w:color w:val="auto"/>
          <w:spacing w:val="0"/>
          <w:kern w:val="2"/>
          <w:sz w:val="24"/>
          <w:szCs w:val="24"/>
          <w:highlight w:val="none"/>
        </w:rPr>
        <w:t>http://www.ccgp-shaanxi.gov.cn/</w:t>
      </w:r>
      <w:r>
        <w:rPr>
          <w:rFonts w:hint="eastAsia" w:ascii="宋体" w:hAnsi="宋体" w:eastAsia="宋体" w:cs="宋体"/>
          <w:b w:val="0"/>
          <w:bCs w:val="0"/>
          <w:color w:val="auto"/>
          <w:spacing w:val="0"/>
          <w:kern w:val="2"/>
          <w:sz w:val="24"/>
          <w:szCs w:val="24"/>
          <w:highlight w:val="none"/>
        </w:rPr>
        <w:fldChar w:fldCharType="end"/>
      </w:r>
      <w:r>
        <w:rPr>
          <w:rFonts w:hint="eastAsia" w:ascii="宋体" w:hAnsi="宋体" w:eastAsia="宋体" w:cs="宋体"/>
          <w:b w:val="0"/>
          <w:bCs w:val="0"/>
          <w:color w:val="auto"/>
          <w:spacing w:val="0"/>
          <w:kern w:val="2"/>
          <w:sz w:val="24"/>
          <w:szCs w:val="24"/>
          <w:highlight w:val="none"/>
        </w:rPr>
        <w:t>）中的</w:t>
      </w:r>
      <w:r>
        <w:rPr>
          <w:rFonts w:hint="eastAsia" w:ascii="宋体" w:hAnsi="宋体" w:eastAsia="宋体" w:cs="宋体"/>
          <w:b w:val="0"/>
          <w:bCs w:val="0"/>
          <w:color w:val="auto"/>
          <w:spacing w:val="0"/>
          <w:kern w:val="2"/>
          <w:sz w:val="24"/>
          <w:szCs w:val="24"/>
          <w:highlight w:val="none"/>
          <w:lang w:val="zh-CN"/>
        </w:rPr>
        <w:t>【</w:t>
      </w:r>
      <w:r>
        <w:rPr>
          <w:rFonts w:hint="eastAsia" w:ascii="宋体" w:hAnsi="宋体" w:eastAsia="宋体" w:cs="宋体"/>
          <w:b w:val="0"/>
          <w:bCs w:val="0"/>
          <w:color w:val="auto"/>
          <w:spacing w:val="0"/>
          <w:kern w:val="2"/>
          <w:sz w:val="24"/>
          <w:szCs w:val="24"/>
          <w:highlight w:val="none"/>
        </w:rPr>
        <w:t>首页·〉信息公告·〉市级·〉</w:t>
      </w:r>
      <w:r>
        <w:rPr>
          <w:rFonts w:hint="eastAsia" w:ascii="宋体" w:hAnsi="宋体" w:eastAsia="宋体" w:cs="宋体"/>
          <w:b w:val="0"/>
          <w:bCs w:val="0"/>
          <w:color w:val="auto"/>
          <w:spacing w:val="0"/>
          <w:kern w:val="2"/>
          <w:sz w:val="24"/>
          <w:szCs w:val="24"/>
          <w:highlight w:val="none"/>
          <w:lang w:val="zh-CN"/>
        </w:rPr>
        <w:t>宝鸡市）】</w:t>
      </w:r>
      <w:r>
        <w:rPr>
          <w:rFonts w:hint="eastAsia" w:ascii="宋体" w:hAnsi="宋体" w:eastAsia="宋体" w:cs="宋体"/>
          <w:b w:val="0"/>
          <w:bCs w:val="0"/>
          <w:color w:val="auto"/>
          <w:spacing w:val="0"/>
          <w:kern w:val="2"/>
          <w:sz w:val="24"/>
          <w:szCs w:val="24"/>
          <w:highlight w:val="none"/>
        </w:rPr>
        <w:t>；</w:t>
      </w:r>
    </w:p>
    <w:p w14:paraId="7BAB3E4F">
      <w:pPr>
        <w:pStyle w:val="84"/>
        <w:keepNext w:val="0"/>
        <w:keepLines w:val="0"/>
        <w:pageBreakBefore w:val="0"/>
        <w:widowControl w:val="0"/>
        <w:kinsoku/>
        <w:wordWrap w:val="0"/>
        <w:overflowPunct/>
        <w:topLinePunct/>
        <w:autoSpaceDE/>
        <w:autoSpaceDN/>
        <w:bidi w:val="0"/>
        <w:spacing w:line="360" w:lineRule="auto"/>
        <w:ind w:left="210" w:firstLine="240" w:firstLineChars="100"/>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（2）“</w:t>
      </w:r>
      <w:r>
        <w:rPr>
          <w:rFonts w:hint="eastAsia" w:ascii="宋体" w:hAnsi="宋体" w:eastAsia="宋体" w:cs="宋体"/>
          <w:b w:val="0"/>
          <w:bCs w:val="0"/>
          <w:color w:val="auto"/>
          <w:spacing w:val="0"/>
          <w:kern w:val="2"/>
          <w:sz w:val="24"/>
          <w:szCs w:val="24"/>
          <w:highlight w:val="none"/>
          <w:lang w:val="zh-CN"/>
        </w:rPr>
        <w:t>【全国公共资源交易平台（陕西省·宝鸡市）】</w:t>
      </w:r>
      <w:r>
        <w:rPr>
          <w:rFonts w:hint="eastAsia" w:ascii="宋体" w:hAnsi="宋体" w:eastAsia="宋体" w:cs="宋体"/>
          <w:b w:val="0"/>
          <w:bCs w:val="0"/>
          <w:color w:val="auto"/>
          <w:spacing w:val="0"/>
          <w:kern w:val="2"/>
          <w:sz w:val="24"/>
          <w:szCs w:val="24"/>
          <w:highlight w:val="none"/>
        </w:rPr>
        <w:t>”（</w:t>
      </w:r>
      <w:r>
        <w:rPr>
          <w:rFonts w:hint="eastAsia" w:ascii="宋体" w:hAnsi="宋体" w:eastAsia="宋体" w:cs="宋体"/>
          <w:b w:val="0"/>
          <w:bCs w:val="0"/>
          <w:color w:val="auto"/>
          <w:spacing w:val="0"/>
          <w:kern w:val="2"/>
          <w:sz w:val="24"/>
          <w:szCs w:val="24"/>
          <w:highlight w:val="none"/>
        </w:rPr>
        <w:fldChar w:fldCharType="begin"/>
      </w:r>
      <w:r>
        <w:rPr>
          <w:rFonts w:hint="eastAsia" w:ascii="宋体" w:hAnsi="宋体" w:eastAsia="宋体" w:cs="宋体"/>
          <w:b w:val="0"/>
          <w:bCs w:val="0"/>
          <w:color w:val="auto"/>
          <w:spacing w:val="0"/>
          <w:kern w:val="2"/>
          <w:sz w:val="24"/>
          <w:szCs w:val="24"/>
          <w:highlight w:val="none"/>
        </w:rPr>
        <w:instrText xml:space="preserve"> HYPERLINK "http://sxggzyjy.xa.gov.cn/" </w:instrText>
      </w:r>
      <w:r>
        <w:rPr>
          <w:rFonts w:hint="eastAsia" w:ascii="宋体" w:hAnsi="宋体" w:eastAsia="宋体" w:cs="宋体"/>
          <w:b w:val="0"/>
          <w:bCs w:val="0"/>
          <w:color w:val="auto"/>
          <w:spacing w:val="0"/>
          <w:kern w:val="2"/>
          <w:sz w:val="24"/>
          <w:szCs w:val="24"/>
          <w:highlight w:val="none"/>
        </w:rPr>
        <w:fldChar w:fldCharType="separate"/>
      </w:r>
      <w:r>
        <w:rPr>
          <w:rFonts w:hint="eastAsia" w:ascii="宋体" w:hAnsi="宋体" w:eastAsia="宋体" w:cs="宋体"/>
          <w:b w:val="0"/>
          <w:bCs w:val="0"/>
          <w:color w:val="auto"/>
          <w:spacing w:val="0"/>
          <w:kern w:val="2"/>
          <w:sz w:val="24"/>
          <w:szCs w:val="24"/>
          <w:highlight w:val="none"/>
        </w:rPr>
        <w:t>http://sxggzyjy.xa.gov.cn/</w:t>
      </w:r>
      <w:r>
        <w:rPr>
          <w:rFonts w:hint="eastAsia" w:ascii="宋体" w:hAnsi="宋体" w:eastAsia="宋体" w:cs="宋体"/>
          <w:b w:val="0"/>
          <w:bCs w:val="0"/>
          <w:color w:val="auto"/>
          <w:spacing w:val="0"/>
          <w:kern w:val="2"/>
          <w:sz w:val="24"/>
          <w:szCs w:val="24"/>
          <w:highlight w:val="none"/>
        </w:rPr>
        <w:fldChar w:fldCharType="end"/>
      </w:r>
      <w:r>
        <w:rPr>
          <w:rFonts w:hint="eastAsia" w:ascii="宋体" w:hAnsi="宋体" w:eastAsia="宋体" w:cs="宋体"/>
          <w:b w:val="0"/>
          <w:bCs w:val="0"/>
          <w:color w:val="auto"/>
          <w:spacing w:val="0"/>
          <w:kern w:val="2"/>
          <w:sz w:val="24"/>
          <w:szCs w:val="24"/>
          <w:highlight w:val="none"/>
        </w:rPr>
        <w:t>）中的〖首页·〉交易大厅·〉政府采购〗。</w:t>
      </w:r>
    </w:p>
    <w:p w14:paraId="2C79C43B">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2.3谈判文件的解释权</w:t>
      </w:r>
    </w:p>
    <w:p w14:paraId="3E993998">
      <w:pPr>
        <w:pStyle w:val="6"/>
        <w:keepNext w:val="0"/>
        <w:keepLines w:val="0"/>
        <w:pageBreakBefore w:val="0"/>
        <w:widowControl w:val="0"/>
        <w:kinsoku/>
        <w:wordWrap w:val="0"/>
        <w:overflowPunct/>
        <w:topLinePunct/>
        <w:autoSpaceDE/>
        <w:autoSpaceDN/>
        <w:bidi w:val="0"/>
        <w:spacing w:line="360" w:lineRule="auto"/>
        <w:ind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谈判文件的解释权归采购代理机构，如发现谈判文件内容与现行法律法规不相符的情况，以现行法律法规为准。</w:t>
      </w:r>
    </w:p>
    <w:p w14:paraId="6BB4345E">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color w:val="auto"/>
          <w:spacing w:val="0"/>
          <w:kern w:val="2"/>
          <w:sz w:val="24"/>
          <w:szCs w:val="24"/>
          <w:highlight w:val="none"/>
        </w:rPr>
      </w:pPr>
      <w:bookmarkStart w:id="28" w:name="_Toc77400780"/>
      <w:bookmarkStart w:id="29" w:name="_Toc183682351"/>
      <w:bookmarkStart w:id="30" w:name="_Toc89075876"/>
      <w:bookmarkStart w:id="31" w:name="_Toc183582214"/>
      <w:bookmarkStart w:id="32" w:name="_Toc217446042"/>
      <w:r>
        <w:rPr>
          <w:rFonts w:hint="eastAsia" w:ascii="宋体" w:hAnsi="宋体" w:eastAsia="宋体" w:cs="宋体"/>
          <w:bCs/>
          <w:color w:val="auto"/>
          <w:spacing w:val="0"/>
          <w:kern w:val="2"/>
          <w:sz w:val="24"/>
          <w:szCs w:val="24"/>
          <w:highlight w:val="none"/>
        </w:rPr>
        <w:t>3.供应商</w:t>
      </w:r>
    </w:p>
    <w:bookmarkEnd w:id="28"/>
    <w:bookmarkEnd w:id="29"/>
    <w:bookmarkEnd w:id="30"/>
    <w:bookmarkEnd w:id="31"/>
    <w:bookmarkEnd w:id="32"/>
    <w:p w14:paraId="547E8563">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b/>
          <w:color w:val="auto"/>
          <w:spacing w:val="0"/>
          <w:kern w:val="2"/>
          <w:sz w:val="24"/>
          <w:szCs w:val="24"/>
          <w:highlight w:val="none"/>
          <w:lang w:eastAsia="zh-CN"/>
        </w:rPr>
      </w:pPr>
      <w:r>
        <w:rPr>
          <w:rFonts w:hint="eastAsia" w:ascii="宋体" w:hAnsi="宋体" w:eastAsia="宋体" w:cs="宋体"/>
          <w:b/>
          <w:color w:val="auto"/>
          <w:spacing w:val="0"/>
          <w:kern w:val="2"/>
          <w:sz w:val="24"/>
          <w:szCs w:val="24"/>
          <w:highlight w:val="none"/>
        </w:rPr>
        <w:t>3.1供应商资格要求</w:t>
      </w:r>
      <w:r>
        <w:rPr>
          <w:rFonts w:hint="eastAsia" w:ascii="宋体" w:hAnsi="宋体" w:eastAsia="宋体" w:cs="宋体"/>
          <w:b/>
          <w:color w:val="auto"/>
          <w:spacing w:val="0"/>
          <w:kern w:val="2"/>
          <w:sz w:val="24"/>
          <w:szCs w:val="24"/>
          <w:highlight w:val="none"/>
          <w:lang w:eastAsia="zh-CN"/>
        </w:rPr>
        <w:t>：</w:t>
      </w:r>
    </w:p>
    <w:p w14:paraId="6D645839">
      <w:pPr>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jc w:val="left"/>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b/>
          <w:color w:val="auto"/>
          <w:spacing w:val="0"/>
          <w:kern w:val="2"/>
          <w:sz w:val="24"/>
          <w:szCs w:val="24"/>
          <w:highlight w:val="none"/>
        </w:rPr>
        <w:t>3.1.1</w:t>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b/>
          <w:color w:val="auto"/>
          <w:spacing w:val="0"/>
          <w:kern w:val="2"/>
          <w:sz w:val="24"/>
          <w:szCs w:val="24"/>
          <w:highlight w:val="none"/>
        </w:rPr>
        <w:t>基本资格条件</w:t>
      </w:r>
      <w:r>
        <w:rPr>
          <w:rFonts w:hint="eastAsia" w:ascii="宋体" w:hAnsi="宋体" w:eastAsia="宋体" w:cs="宋体"/>
          <w:color w:val="auto"/>
          <w:spacing w:val="0"/>
          <w:kern w:val="2"/>
          <w:sz w:val="24"/>
          <w:szCs w:val="24"/>
          <w:highlight w:val="none"/>
        </w:rPr>
        <w:t>。 供应商应符合《中华人民共和国政府采购法》第二十二条规定</w:t>
      </w:r>
      <w:r>
        <w:rPr>
          <w:rFonts w:hint="eastAsia" w:ascii="宋体" w:hAnsi="宋体" w:eastAsia="宋体" w:cs="宋体"/>
          <w:color w:val="auto"/>
          <w:spacing w:val="0"/>
          <w:kern w:val="2"/>
          <w:sz w:val="24"/>
          <w:szCs w:val="24"/>
          <w:highlight w:val="none"/>
          <w:lang w:eastAsia="zh-CN"/>
        </w:rPr>
        <w:t>：</w:t>
      </w:r>
    </w:p>
    <w:p w14:paraId="0B3B962E">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b/>
          <w:color w:val="auto"/>
          <w:spacing w:val="0"/>
          <w:kern w:val="2"/>
          <w:sz w:val="24"/>
          <w:szCs w:val="24"/>
          <w:highlight w:val="none"/>
        </w:rPr>
        <w:t>3.1.2 落实政府采购政策资格条件</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本项目专门面向中小企业采购，供应商应当为中小企业（含残疾人福利性单位、监狱企业）。</w:t>
      </w:r>
    </w:p>
    <w:p w14:paraId="015884A1">
      <w:pPr>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spacing w:val="0"/>
          <w:kern w:val="2"/>
          <w:sz w:val="24"/>
          <w:szCs w:val="24"/>
          <w:highlight w:val="none"/>
          <w:lang w:val="zh-CN" w:eastAsia="zh-CN" w:bidi="ar-SA"/>
        </w:rPr>
      </w:pPr>
      <w:r>
        <w:rPr>
          <w:rFonts w:hint="eastAsia" w:ascii="宋体" w:hAnsi="宋体" w:eastAsia="宋体" w:cs="宋体"/>
          <w:b/>
          <w:color w:val="auto"/>
          <w:spacing w:val="0"/>
          <w:kern w:val="2"/>
          <w:sz w:val="24"/>
          <w:szCs w:val="24"/>
          <w:highlight w:val="none"/>
        </w:rPr>
        <w:t>3.1.3 特定资格条件。</w:t>
      </w:r>
      <w:r>
        <w:rPr>
          <w:rFonts w:hint="eastAsia" w:ascii="宋体" w:hAnsi="宋体" w:eastAsia="宋体" w:cs="宋体"/>
          <w:color w:val="auto"/>
          <w:spacing w:val="0"/>
          <w:kern w:val="2"/>
          <w:sz w:val="24"/>
          <w:szCs w:val="24"/>
          <w:highlight w:val="none"/>
        </w:rPr>
        <w:t>供应商应满足《中华人民共和国政府采购法》</w:t>
      </w:r>
      <w:r>
        <w:rPr>
          <w:rFonts w:hint="eastAsia" w:ascii="宋体" w:hAnsi="宋体" w:eastAsia="宋体" w:cs="宋体"/>
          <w:color w:val="auto"/>
          <w:spacing w:val="0"/>
          <w:kern w:val="2"/>
          <w:sz w:val="24"/>
          <w:szCs w:val="24"/>
          <w:highlight w:val="none"/>
          <w:lang w:val="en-US" w:eastAsia="zh-CN" w:bidi="ar-SA"/>
        </w:rPr>
        <w:t>第二十二条第二款规定，</w:t>
      </w:r>
      <w:r>
        <w:rPr>
          <w:rFonts w:hint="eastAsia" w:ascii="宋体" w:hAnsi="宋体" w:eastAsia="宋体" w:cs="宋体"/>
          <w:color w:val="auto"/>
          <w:spacing w:val="0"/>
          <w:kern w:val="2"/>
          <w:sz w:val="24"/>
          <w:szCs w:val="24"/>
          <w:highlight w:val="none"/>
          <w:lang w:val="zh-CN" w:eastAsia="zh-CN" w:bidi="ar-SA"/>
        </w:rPr>
        <w:t>并根据《政府采购法实施条例》第十七条规定提供证明材料。</w:t>
      </w:r>
    </w:p>
    <w:p w14:paraId="6D14A2EC">
      <w:pPr>
        <w:pStyle w:val="90"/>
        <w:keepNext w:val="0"/>
        <w:keepLines w:val="0"/>
        <w:pageBreakBefore w:val="0"/>
        <w:kinsoku/>
        <w:overflowPunct/>
        <w:autoSpaceDE/>
        <w:autoSpaceDN/>
        <w:bidi w:val="0"/>
        <w:spacing w:line="360" w:lineRule="auto"/>
        <w:textAlignment w:val="auto"/>
        <w:rPr>
          <w:rFonts w:hint="eastAsia" w:ascii="宋体" w:hAnsi="宋体" w:eastAsia="宋体" w:cs="宋体"/>
          <w:color w:val="auto"/>
          <w:spacing w:val="0"/>
          <w:kern w:val="2"/>
          <w:sz w:val="24"/>
          <w:szCs w:val="24"/>
          <w:highlight w:val="none"/>
          <w:lang w:val="zh-CN" w:eastAsia="zh-CN" w:bidi="ar-SA"/>
        </w:rPr>
      </w:pPr>
      <w:r>
        <w:rPr>
          <w:rFonts w:hint="eastAsia" w:ascii="宋体" w:hAnsi="宋体" w:eastAsia="宋体" w:cs="宋体"/>
          <w:color w:val="auto"/>
          <w:spacing w:val="0"/>
          <w:kern w:val="2"/>
          <w:sz w:val="24"/>
          <w:szCs w:val="24"/>
          <w:highlight w:val="none"/>
          <w:lang w:val="zh-CN" w:eastAsia="zh-CN" w:bidi="ar-SA"/>
        </w:rPr>
        <w:t>3-1 具有独立承担民事责任能力的法人、其他组织或自然人，并出具</w:t>
      </w:r>
    </w:p>
    <w:p w14:paraId="533BDE90">
      <w:pPr>
        <w:pStyle w:val="90"/>
        <w:keepNext w:val="0"/>
        <w:keepLines w:val="0"/>
        <w:pageBreakBefore w:val="0"/>
        <w:kinsoku/>
        <w:overflowPunct/>
        <w:autoSpaceDE/>
        <w:autoSpaceDN/>
        <w:bidi w:val="0"/>
        <w:spacing w:line="360" w:lineRule="auto"/>
        <w:textAlignment w:val="auto"/>
        <w:rPr>
          <w:rFonts w:hint="eastAsia" w:ascii="宋体" w:hAnsi="宋体" w:eastAsia="宋体" w:cs="宋体"/>
          <w:color w:val="auto"/>
          <w:spacing w:val="0"/>
          <w:kern w:val="2"/>
          <w:sz w:val="24"/>
          <w:szCs w:val="24"/>
          <w:highlight w:val="none"/>
          <w:lang w:val="zh-CN" w:eastAsia="zh-CN" w:bidi="ar-SA"/>
        </w:rPr>
      </w:pPr>
      <w:r>
        <w:rPr>
          <w:rFonts w:hint="eastAsia" w:ascii="宋体" w:hAnsi="宋体" w:eastAsia="宋体" w:cs="宋体"/>
          <w:color w:val="auto"/>
          <w:spacing w:val="0"/>
          <w:kern w:val="2"/>
          <w:sz w:val="24"/>
          <w:szCs w:val="24"/>
          <w:highlight w:val="none"/>
          <w:lang w:val="zh-CN" w:eastAsia="zh-CN" w:bidi="ar-SA"/>
        </w:rPr>
        <w:t>合法有效的统一社会信用代码的营业执照或事业单位法人证书等国家规定的相关证明，自然人参与的提供其身份证明。</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3-2 供应商是生产厂家的须提供有效的《食品生产许可证》及《食品经营许可证》;供应商为经销商的须提供有效的《食品经营许可证》；</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3-3 供应商应授权合法的人员参加谈判全过程，其中法定代表人直接参加谈判的，须出具法定代表人身份证明，并与营业执照上信息一致，法定代表人授权代表参加谈判的，须出具法定代表人授权书及授权代表身份证；</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3-4 财务状况：提供2025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 xml:space="preserve">3-5 社会保障资金缴纳证明：提供2025年7月至今已缴存的至少3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 </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3-6 税收缴纳证明：提供2025年7月至今已缴纳的至少3个月的纳税证明或完税证明，依法免税的单位应提供相关证明材料（注册时间不满3个月的，应当提供注册时至参加政府采购活动时相应期限内本单位税收缴纳的相关证明文件）；</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 xml:space="preserve">3-7 参加本次政府采购活动前三年内，在经营活动中没有重大违法记录声明。 </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3-8 提供具有履行合同所必需的设备和专业技术能力的承诺函；</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3-9 不得为“信用中国”网站(http://www.creditchina.gov.cn)列入“失信被执行人（页面跳转至“中国执行信息公开网”http://zxgk.court.gov.cn/shixin/）、重大税收违法失信主体的供应商；不得为中国政府采购网(http://www.ccgp.gov.cn)“政府采购严重违法失信行为记录名单”中的供应商；</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 xml:space="preserve">3-10 本项目不接受联合体谈判。 </w:t>
      </w:r>
      <w:r>
        <w:rPr>
          <w:rFonts w:hint="eastAsia" w:ascii="宋体" w:hAnsi="宋体" w:eastAsia="宋体" w:cs="宋体"/>
          <w:color w:val="auto"/>
          <w:spacing w:val="0"/>
          <w:kern w:val="2"/>
          <w:sz w:val="24"/>
          <w:szCs w:val="24"/>
          <w:highlight w:val="none"/>
          <w:lang w:val="zh-CN" w:eastAsia="zh-CN" w:bidi="ar-SA"/>
        </w:rPr>
        <w:br w:type="textWrapping"/>
      </w:r>
      <w:r>
        <w:rPr>
          <w:rFonts w:hint="eastAsia" w:ascii="宋体" w:hAnsi="宋体" w:eastAsia="宋体" w:cs="宋体"/>
          <w:color w:val="auto"/>
          <w:spacing w:val="0"/>
          <w:kern w:val="2"/>
          <w:sz w:val="24"/>
          <w:szCs w:val="24"/>
          <w:highlight w:val="none"/>
          <w:lang w:val="zh-CN" w:eastAsia="zh-CN" w:bidi="ar-SA"/>
        </w:rPr>
        <w:t>3-12 本项目为专门面向中小企业采购项目，需提供中小企业声明函。</w:t>
      </w:r>
    </w:p>
    <w:p w14:paraId="0184EBD6">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3.1.4 根据政府采购的法律法规、规章和规范性文件的规定，供应商不得存在本章第1.3.2规定的情形。</w:t>
      </w:r>
    </w:p>
    <w:p w14:paraId="0099D0E6">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（12）资格审查小组将依据供应商响应文件之资格证明文件和通过国家企业信用信息公示系统（http://www.gsxt.gov.cn/index.html）对供应商之间存在隶属关系或者其他利害关系进行相关信息的核实。</w:t>
      </w:r>
    </w:p>
    <w:p w14:paraId="23EF1809">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3.1.5 供应商根据采购项目的具体情况，在响应文件正本中应附一套完整的资格证明材料，缺少一项或某项达不到谈判文件要求的按无效响应文件处理，复印件加盖供应商单位公章。</w:t>
      </w:r>
    </w:p>
    <w:p w14:paraId="1BD74A71">
      <w:pPr>
        <w:keepNext w:val="0"/>
        <w:keepLines w:val="0"/>
        <w:pageBreakBefore w:val="0"/>
        <w:widowControl w:val="0"/>
        <w:tabs>
          <w:tab w:val="left" w:pos="720"/>
        </w:tabs>
        <w:kinsoku/>
        <w:wordWrap w:val="0"/>
        <w:overflowPunct/>
        <w:topLinePunct/>
        <w:autoSpaceDE/>
        <w:autoSpaceDN/>
        <w:bidi w:val="0"/>
        <w:snapToGrid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b/>
          <w:color w:val="auto"/>
          <w:spacing w:val="0"/>
          <w:kern w:val="2"/>
          <w:sz w:val="24"/>
          <w:szCs w:val="24"/>
          <w:highlight w:val="none"/>
        </w:rPr>
        <w:t>3.2</w:t>
      </w:r>
      <w:r>
        <w:rPr>
          <w:rFonts w:hint="eastAsia" w:ascii="宋体" w:hAnsi="宋体" w:eastAsia="宋体" w:cs="宋体"/>
          <w:b/>
          <w:bCs/>
          <w:color w:val="auto"/>
          <w:spacing w:val="0"/>
          <w:kern w:val="2"/>
          <w:sz w:val="24"/>
          <w:szCs w:val="24"/>
          <w:highlight w:val="none"/>
        </w:rPr>
        <w:t>授权委托</w:t>
      </w:r>
    </w:p>
    <w:p w14:paraId="351889FE">
      <w:pPr>
        <w:pStyle w:val="16"/>
        <w:keepNext w:val="0"/>
        <w:keepLines w:val="0"/>
        <w:pageBreakBefore w:val="0"/>
        <w:widowControl w:val="0"/>
        <w:kinsoku/>
        <w:wordWrap w:val="0"/>
        <w:overflowPunct/>
        <w:topLinePunct/>
        <w:autoSpaceDE/>
        <w:autoSpaceDN/>
        <w:bidi w:val="0"/>
        <w:adjustRightInd w:val="0"/>
        <w:snapToGrid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3.2.1供应商代表为法定代表人的，应持有法定代表人身份证明。供应商代表不是法定代表人的，应持有法定代表人授权委托书。</w:t>
      </w:r>
    </w:p>
    <w:p w14:paraId="50260B1D">
      <w:pPr>
        <w:pStyle w:val="16"/>
        <w:keepNext w:val="0"/>
        <w:keepLines w:val="0"/>
        <w:pageBreakBefore w:val="0"/>
        <w:widowControl w:val="0"/>
        <w:kinsoku/>
        <w:wordWrap w:val="0"/>
        <w:overflowPunct/>
        <w:topLinePunct/>
        <w:autoSpaceDE/>
        <w:autoSpaceDN/>
        <w:bidi w:val="0"/>
        <w:adjustRightInd w:val="0"/>
        <w:snapToGrid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3.2.2供应商应当委托本单位正式员工作为谈判代表，且谈判代表只能接受一个供应商的委托参加谈判。</w:t>
      </w:r>
    </w:p>
    <w:p w14:paraId="1B67D061">
      <w:pPr>
        <w:pStyle w:val="16"/>
        <w:keepNext w:val="0"/>
        <w:keepLines w:val="0"/>
        <w:pageBreakBefore w:val="0"/>
        <w:widowControl w:val="0"/>
        <w:kinsoku/>
        <w:wordWrap w:val="0"/>
        <w:overflowPunct/>
        <w:topLinePunct/>
        <w:autoSpaceDE/>
        <w:autoSpaceDN/>
        <w:bidi w:val="0"/>
        <w:adjustRightInd w:val="0"/>
        <w:snapToGrid w:val="0"/>
        <w:spacing w:line="360" w:lineRule="auto"/>
        <w:ind w:left="-178" w:leftChars="-85" w:firstLine="176" w:firstLineChars="73"/>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b/>
          <w:color w:val="auto"/>
          <w:spacing w:val="0"/>
          <w:kern w:val="2"/>
          <w:sz w:val="24"/>
          <w:szCs w:val="24"/>
          <w:highlight w:val="none"/>
        </w:rPr>
        <w:t>3.3</w:t>
      </w:r>
      <w:r>
        <w:rPr>
          <w:rFonts w:hint="eastAsia" w:ascii="宋体" w:hAnsi="宋体" w:eastAsia="宋体" w:cs="宋体"/>
          <w:b/>
          <w:color w:val="auto"/>
          <w:spacing w:val="0"/>
          <w:kern w:val="2"/>
          <w:sz w:val="24"/>
          <w:szCs w:val="24"/>
          <w:highlight w:val="none"/>
          <w:lang w:val="en-US" w:eastAsia="zh-CN"/>
        </w:rPr>
        <w:t>业绩</w:t>
      </w:r>
    </w:p>
    <w:p w14:paraId="112ED15A">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3.3.</w:t>
      </w:r>
      <w:r>
        <w:rPr>
          <w:rFonts w:hint="eastAsia" w:ascii="宋体" w:hAnsi="宋体" w:eastAsia="宋体" w:cs="宋体"/>
          <w:color w:val="auto"/>
          <w:spacing w:val="0"/>
          <w:kern w:val="2"/>
          <w:sz w:val="24"/>
          <w:szCs w:val="24"/>
          <w:highlight w:val="none"/>
          <w:lang w:val="en-US" w:eastAsia="zh-CN"/>
        </w:rPr>
        <w:t>1</w:t>
      </w:r>
      <w:r>
        <w:rPr>
          <w:rFonts w:hint="eastAsia" w:ascii="宋体" w:hAnsi="宋体" w:eastAsia="宋体" w:cs="宋体"/>
          <w:color w:val="auto"/>
          <w:spacing w:val="0"/>
          <w:kern w:val="2"/>
          <w:sz w:val="24"/>
          <w:szCs w:val="24"/>
          <w:highlight w:val="none"/>
        </w:rPr>
        <w:t>谈判文件要求供应商提供同类项目业绩的，</w:t>
      </w:r>
      <w:r>
        <w:rPr>
          <w:rFonts w:hint="eastAsia" w:ascii="宋体" w:hAnsi="宋体" w:eastAsia="宋体" w:cs="宋体"/>
          <w:color w:val="auto"/>
          <w:spacing w:val="0"/>
          <w:kern w:val="2"/>
          <w:sz w:val="24"/>
          <w:szCs w:val="24"/>
          <w:highlight w:val="none"/>
          <w:lang w:val="en-US" w:eastAsia="zh-CN"/>
        </w:rPr>
        <w:t>其企业业绩和项目负责人业绩不重复计算。</w:t>
      </w:r>
    </w:p>
    <w:bookmarkEnd w:id="23"/>
    <w:bookmarkEnd w:id="24"/>
    <w:bookmarkEnd w:id="25"/>
    <w:bookmarkEnd w:id="26"/>
    <w:bookmarkEnd w:id="27"/>
    <w:p w14:paraId="7308EA64">
      <w:pPr>
        <w:keepNext w:val="0"/>
        <w:keepLines w:val="0"/>
        <w:pageBreakBefore w:val="0"/>
        <w:widowControl w:val="0"/>
        <w:kinsoku/>
        <w:wordWrap w:val="0"/>
        <w:overflowPunct/>
        <w:topLinePunct/>
        <w:autoSpaceDE/>
        <w:autoSpaceDN/>
        <w:bidi w:val="0"/>
        <w:adjustRightInd w:val="0"/>
        <w:snapToGrid w:val="0"/>
        <w:spacing w:line="360" w:lineRule="auto"/>
        <w:ind w:left="0" w:leftChars="0" w:firstLine="0" w:firstLineChars="0"/>
        <w:jc w:val="left"/>
        <w:rPr>
          <w:rFonts w:hint="eastAsia" w:ascii="宋体" w:hAnsi="宋体" w:eastAsia="宋体" w:cs="宋体"/>
          <w:b/>
          <w:color w:val="auto"/>
          <w:spacing w:val="0"/>
          <w:kern w:val="2"/>
          <w:sz w:val="24"/>
          <w:szCs w:val="24"/>
          <w:highlight w:val="none"/>
        </w:rPr>
      </w:pPr>
      <w:bookmarkStart w:id="33" w:name="_Toc217446043"/>
      <w:bookmarkStart w:id="34" w:name="_Toc183682352"/>
      <w:bookmarkStart w:id="35" w:name="_Toc183582215"/>
      <w:r>
        <w:rPr>
          <w:rFonts w:hint="eastAsia" w:ascii="宋体" w:hAnsi="宋体" w:eastAsia="宋体" w:cs="宋体"/>
          <w:b/>
          <w:color w:val="auto"/>
          <w:spacing w:val="0"/>
          <w:kern w:val="2"/>
          <w:sz w:val="24"/>
          <w:szCs w:val="24"/>
          <w:highlight w:val="none"/>
        </w:rPr>
        <w:t>3.4享受的政府采购政策</w:t>
      </w:r>
    </w:p>
    <w:p w14:paraId="060FF670">
      <w:pPr>
        <w:pStyle w:val="16"/>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3.4.1 绿色发展政策</w:t>
      </w:r>
    </w:p>
    <w:p w14:paraId="720F53CF">
      <w:pPr>
        <w:pStyle w:val="16"/>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3.4.1.1 </w:t>
      </w:r>
      <w:r>
        <w:rPr>
          <w:rFonts w:hint="eastAsia" w:ascii="宋体" w:hAnsi="宋体" w:eastAsia="宋体" w:cs="宋体"/>
          <w:color w:val="auto"/>
          <w:spacing w:val="0"/>
          <w:kern w:val="2"/>
          <w:sz w:val="24"/>
          <w:szCs w:val="24"/>
          <w:highlight w:val="none"/>
          <w:lang w:val="en-US" w:eastAsia="zh-CN"/>
        </w:rPr>
        <w:t>本项目不适用</w:t>
      </w:r>
      <w:r>
        <w:rPr>
          <w:rFonts w:hint="eastAsia" w:ascii="宋体" w:hAnsi="宋体" w:eastAsia="宋体" w:cs="宋体"/>
          <w:color w:val="auto"/>
          <w:spacing w:val="0"/>
          <w:kern w:val="2"/>
          <w:sz w:val="24"/>
          <w:szCs w:val="24"/>
          <w:highlight w:val="none"/>
        </w:rPr>
        <w:t>。</w:t>
      </w:r>
    </w:p>
    <w:p w14:paraId="173E1931">
      <w:pPr>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jc w:val="left"/>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3.4.2 中小企业发展政策</w:t>
      </w:r>
    </w:p>
    <w:p w14:paraId="746795F4">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3.4</w:t>
      </w:r>
      <w:r>
        <w:rPr>
          <w:rFonts w:hint="eastAsia" w:ascii="宋体" w:hAnsi="宋体" w:eastAsia="宋体" w:cs="宋体"/>
          <w:b/>
          <w:color w:val="auto"/>
          <w:spacing w:val="0"/>
          <w:kern w:val="2"/>
          <w:sz w:val="24"/>
          <w:szCs w:val="24"/>
          <w:highlight w:val="none"/>
        </w:rPr>
        <w:t>.</w:t>
      </w:r>
      <w:r>
        <w:rPr>
          <w:rFonts w:hint="eastAsia" w:ascii="宋体" w:hAnsi="宋体" w:eastAsia="宋体" w:cs="宋体"/>
          <w:color w:val="auto"/>
          <w:spacing w:val="0"/>
          <w:kern w:val="2"/>
          <w:sz w:val="24"/>
          <w:szCs w:val="24"/>
          <w:highlight w:val="none"/>
        </w:rPr>
        <w:t>2.1 投标人所投全部货物的制造商，依据《中小企业划型标准规定》（工信部联企业[2011]300号）的划分标准，都属于</w:t>
      </w:r>
      <w:r>
        <w:rPr>
          <w:rFonts w:hint="eastAsia" w:ascii="宋体" w:hAnsi="宋体" w:eastAsia="宋体" w:cs="宋体"/>
          <w:b/>
          <w:color w:val="auto"/>
          <w:spacing w:val="0"/>
          <w:kern w:val="2"/>
          <w:sz w:val="24"/>
          <w:szCs w:val="24"/>
          <w:highlight w:val="none"/>
        </w:rPr>
        <w:t>小微</w:t>
      </w:r>
      <w:r>
        <w:rPr>
          <w:rFonts w:hint="eastAsia" w:ascii="宋体" w:hAnsi="宋体" w:eastAsia="宋体" w:cs="宋体"/>
          <w:color w:val="auto"/>
          <w:spacing w:val="0"/>
          <w:kern w:val="2"/>
          <w:sz w:val="24"/>
          <w:szCs w:val="24"/>
          <w:highlight w:val="none"/>
        </w:rPr>
        <w:t>企业的，无论投标人本身是否属于中小企业，即可享受中小型企业发展扶持政策。</w:t>
      </w:r>
    </w:p>
    <w:p w14:paraId="4935757D">
      <w:pPr>
        <w:pStyle w:val="16"/>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color w:val="auto"/>
          <w:spacing w:val="0"/>
          <w:kern w:val="2"/>
          <w:sz w:val="24"/>
          <w:szCs w:val="24"/>
          <w:highlight w:val="none"/>
        </w:rPr>
        <w:t>3.4.2.2供应商作为中小企业参加政府采购活动，应当提供《中小企业声明函》（见第七章</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文件格式），不提供的在资格审查时不予通过，</w:t>
      </w:r>
      <w:r>
        <w:rPr>
          <w:rFonts w:hint="eastAsia" w:ascii="宋体" w:hAnsi="宋体" w:eastAsia="宋体" w:cs="宋体"/>
          <w:b/>
          <w:bCs/>
          <w:color w:val="auto"/>
          <w:spacing w:val="0"/>
          <w:kern w:val="2"/>
          <w:sz w:val="24"/>
          <w:szCs w:val="24"/>
          <w:highlight w:val="none"/>
        </w:rPr>
        <w:t>其响应文件无效。</w:t>
      </w:r>
    </w:p>
    <w:p w14:paraId="3FF953D8">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3.4.2.</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依据《财政部、民政部、中国残疾人联合会关于促进残疾人就业政府采购政策的通知》（财库〔2017〕141号）之规定，残疾人福利性单位参加政府采购活动，视同小微企业。</w:t>
      </w:r>
    </w:p>
    <w:p w14:paraId="413064D9">
      <w:pPr>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b/>
          <w:bCs/>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供应商为残疾人福利性单位的，应当提供《残疾人福利性单位声明函》（见第七章响应文件格式），未提供的不视为小微企业，在资格审查时不予通过，</w:t>
      </w:r>
      <w:r>
        <w:rPr>
          <w:rFonts w:hint="eastAsia" w:ascii="宋体" w:hAnsi="宋体" w:eastAsia="宋体" w:cs="宋体"/>
          <w:b/>
          <w:bCs/>
          <w:color w:val="auto"/>
          <w:spacing w:val="0"/>
          <w:kern w:val="2"/>
          <w:sz w:val="24"/>
          <w:szCs w:val="24"/>
          <w:highlight w:val="none"/>
        </w:rPr>
        <w:t xml:space="preserve">其响应文件无效。 </w:t>
      </w:r>
    </w:p>
    <w:p w14:paraId="056C4640">
      <w:pPr>
        <w:pStyle w:val="16"/>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3.4.2.</w:t>
      </w:r>
      <w:r>
        <w:rPr>
          <w:rFonts w:hint="eastAsia" w:ascii="宋体" w:hAnsi="宋体" w:eastAsia="宋体" w:cs="宋体"/>
          <w:color w:val="auto"/>
          <w:spacing w:val="0"/>
          <w:kern w:val="2"/>
          <w:sz w:val="24"/>
          <w:szCs w:val="24"/>
          <w:highlight w:val="none"/>
          <w:lang w:val="en-US" w:eastAsia="zh-CN"/>
        </w:rPr>
        <w:t>4</w:t>
      </w:r>
      <w:r>
        <w:rPr>
          <w:rFonts w:hint="eastAsia" w:ascii="宋体" w:hAnsi="宋体" w:eastAsia="宋体" w:cs="宋体"/>
          <w:color w:val="auto"/>
          <w:spacing w:val="0"/>
          <w:kern w:val="2"/>
          <w:sz w:val="24"/>
          <w:szCs w:val="24"/>
          <w:highlight w:val="none"/>
        </w:rPr>
        <w:t>供应商为监狱企业的，应当提供由省级以上监狱管理局、戒毒管理局出具的属于</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监狱企业</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的证明文件，未提供或出具证明文件的单位不符合相关要求的，不视为小微企业，在资格审查时不予通过，</w:t>
      </w:r>
      <w:r>
        <w:rPr>
          <w:rFonts w:hint="eastAsia" w:ascii="宋体" w:hAnsi="宋体" w:eastAsia="宋体" w:cs="宋体"/>
          <w:b/>
          <w:bCs/>
          <w:color w:val="auto"/>
          <w:spacing w:val="0"/>
          <w:kern w:val="2"/>
          <w:sz w:val="24"/>
          <w:szCs w:val="24"/>
          <w:highlight w:val="none"/>
        </w:rPr>
        <w:t>其响应文件无效。</w:t>
      </w:r>
    </w:p>
    <w:p w14:paraId="39EDC93F">
      <w:pPr>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3.4.2.</w:t>
      </w:r>
      <w:r>
        <w:rPr>
          <w:rFonts w:hint="eastAsia" w:ascii="宋体" w:hAnsi="宋体" w:eastAsia="宋体" w:cs="宋体"/>
          <w:color w:val="auto"/>
          <w:spacing w:val="0"/>
          <w:kern w:val="2"/>
          <w:sz w:val="24"/>
          <w:szCs w:val="24"/>
          <w:highlight w:val="none"/>
          <w:lang w:val="en-US" w:eastAsia="zh-CN"/>
        </w:rPr>
        <w:t>5</w:t>
      </w:r>
      <w:r>
        <w:rPr>
          <w:rFonts w:hint="eastAsia" w:ascii="宋体" w:hAnsi="宋体" w:eastAsia="宋体" w:cs="宋体"/>
          <w:color w:val="auto"/>
          <w:spacing w:val="0"/>
          <w:kern w:val="2"/>
          <w:sz w:val="24"/>
          <w:szCs w:val="24"/>
          <w:highlight w:val="none"/>
        </w:rPr>
        <w:t xml:space="preserve"> 投标人提供的《中小企业声明函》或者《残疾人福利性单位声明函》或者</w:t>
      </w:r>
      <w:r>
        <w:rPr>
          <w:rFonts w:hint="eastAsia" w:ascii="宋体" w:hAnsi="宋体" w:eastAsia="宋体" w:cs="宋体"/>
          <w:color w:val="auto"/>
          <w:spacing w:val="0"/>
          <w:kern w:val="2"/>
          <w:sz w:val="24"/>
          <w:szCs w:val="24"/>
          <w:highlight w:val="none"/>
          <w:lang w:val="en-US" w:eastAsia="zh-CN"/>
        </w:rPr>
        <w:t>《监狱企业》</w:t>
      </w:r>
      <w:r>
        <w:rPr>
          <w:rFonts w:hint="eastAsia" w:ascii="宋体" w:hAnsi="宋体" w:eastAsia="宋体" w:cs="宋体"/>
          <w:color w:val="auto"/>
          <w:spacing w:val="0"/>
          <w:kern w:val="2"/>
          <w:sz w:val="24"/>
          <w:szCs w:val="24"/>
          <w:highlight w:val="none"/>
        </w:rPr>
        <w:t>存在明显错误的，评标委员会可以按照第四章第1.3条款的规定，要求投标人作出澄清；澄清后，符合小微企业条件的，投标人可以</w:t>
      </w:r>
      <w:r>
        <w:rPr>
          <w:rFonts w:hint="eastAsia" w:ascii="宋体" w:hAnsi="宋体" w:eastAsia="宋体" w:cs="宋体"/>
          <w:color w:val="auto"/>
          <w:spacing w:val="0"/>
          <w:kern w:val="2"/>
          <w:sz w:val="24"/>
          <w:szCs w:val="24"/>
          <w:highlight w:val="none"/>
          <w:lang w:val="en-US" w:eastAsia="zh-CN"/>
        </w:rPr>
        <w:t>继续参与后续评审，否则</w:t>
      </w:r>
      <w:r>
        <w:rPr>
          <w:rFonts w:hint="eastAsia" w:ascii="宋体" w:hAnsi="宋体" w:eastAsia="宋体" w:cs="宋体"/>
          <w:b/>
          <w:bCs/>
          <w:color w:val="auto"/>
          <w:spacing w:val="0"/>
          <w:kern w:val="2"/>
          <w:sz w:val="24"/>
          <w:szCs w:val="24"/>
          <w:highlight w:val="none"/>
        </w:rPr>
        <w:t>其响应文件无效</w:t>
      </w:r>
      <w:r>
        <w:rPr>
          <w:rFonts w:hint="eastAsia" w:ascii="宋体" w:hAnsi="宋体" w:eastAsia="宋体" w:cs="宋体"/>
          <w:color w:val="auto"/>
          <w:spacing w:val="0"/>
          <w:kern w:val="2"/>
          <w:sz w:val="24"/>
          <w:szCs w:val="24"/>
          <w:highlight w:val="none"/>
        </w:rPr>
        <w:t>。</w:t>
      </w:r>
    </w:p>
    <w:p w14:paraId="0BF20DB3">
      <w:pPr>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3.4.2.</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享受中小企业扶持政策的投标人可以同时享受节能产品、环境标志产品优先采购政策。</w:t>
      </w:r>
    </w:p>
    <w:p w14:paraId="17B0E9FD">
      <w:pPr>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3.4.2.</w:t>
      </w:r>
      <w:r>
        <w:rPr>
          <w:rFonts w:hint="eastAsia" w:ascii="宋体" w:hAnsi="宋体" w:eastAsia="宋体" w:cs="宋体"/>
          <w:color w:val="auto"/>
          <w:spacing w:val="0"/>
          <w:kern w:val="2"/>
          <w:sz w:val="24"/>
          <w:szCs w:val="24"/>
          <w:highlight w:val="none"/>
          <w:lang w:val="en-US" w:eastAsia="zh-CN"/>
        </w:rPr>
        <w:t>7</w:t>
      </w:r>
      <w:r>
        <w:rPr>
          <w:rFonts w:hint="eastAsia" w:ascii="宋体" w:hAnsi="宋体" w:eastAsia="宋体" w:cs="宋体"/>
          <w:color w:val="auto"/>
          <w:spacing w:val="0"/>
          <w:kern w:val="2"/>
          <w:sz w:val="24"/>
          <w:szCs w:val="24"/>
          <w:highlight w:val="none"/>
        </w:rPr>
        <w:t xml:space="preserve"> 政府采购监督检查、投诉处理及政府采购行政处罚中对中小企业的认定，由货物制造商注册登记所在地的县级以上人民政府中小企业主管部门负责。</w:t>
      </w:r>
    </w:p>
    <w:p w14:paraId="2AEE214A">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3.5转包与分包</w:t>
      </w:r>
    </w:p>
    <w:p w14:paraId="192CFC2D">
      <w:pPr>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3.5.1 本项目严禁采取转包</w:t>
      </w:r>
      <w:r>
        <w:rPr>
          <w:rFonts w:hint="eastAsia" w:ascii="宋体" w:hAnsi="宋体" w:eastAsia="宋体" w:cs="宋体"/>
          <w:color w:val="auto"/>
          <w:spacing w:val="0"/>
          <w:kern w:val="2"/>
          <w:sz w:val="24"/>
          <w:szCs w:val="24"/>
          <w:highlight w:val="none"/>
          <w:lang w:val="en-US" w:eastAsia="zh-CN"/>
        </w:rPr>
        <w:t>与分包</w:t>
      </w:r>
      <w:r>
        <w:rPr>
          <w:rFonts w:hint="eastAsia" w:ascii="宋体" w:hAnsi="宋体" w:eastAsia="宋体" w:cs="宋体"/>
          <w:color w:val="auto"/>
          <w:spacing w:val="0"/>
          <w:kern w:val="2"/>
          <w:sz w:val="24"/>
          <w:szCs w:val="24"/>
          <w:highlight w:val="none"/>
        </w:rPr>
        <w:t>方式履行合同。</w:t>
      </w:r>
    </w:p>
    <w:p w14:paraId="13447423">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3.6 供应商的风险</w:t>
      </w:r>
    </w:p>
    <w:p w14:paraId="3F02A98C">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供应商应认真阅读和充分理解谈判文件中所有的事项、格式条款和规范要求，任何对</w:t>
      </w:r>
      <w:r>
        <w:rPr>
          <w:rFonts w:hint="eastAsia" w:ascii="宋体" w:hAnsi="宋体" w:eastAsia="宋体" w:cs="宋体"/>
          <w:bCs/>
          <w:color w:val="auto"/>
          <w:spacing w:val="0"/>
          <w:kern w:val="2"/>
          <w:sz w:val="24"/>
          <w:szCs w:val="24"/>
          <w:highlight w:val="none"/>
        </w:rPr>
        <w:t>谈判</w:t>
      </w:r>
      <w:r>
        <w:rPr>
          <w:rFonts w:hint="eastAsia" w:ascii="宋体" w:hAnsi="宋体" w:eastAsia="宋体" w:cs="宋体"/>
          <w:color w:val="auto"/>
          <w:spacing w:val="0"/>
          <w:kern w:val="2"/>
          <w:sz w:val="24"/>
          <w:szCs w:val="24"/>
          <w:highlight w:val="none"/>
        </w:rPr>
        <w:t>文件的忽略或误解不能作为响应文件存在缺陷或瑕疵的理由；供应商没有按照谈判文件要求提供全部资料，或对谈判文件未全面做出实质性响应是供应商的风险，并可能导致其响应文件被拒绝。</w:t>
      </w:r>
    </w:p>
    <w:p w14:paraId="78AFCB58">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3.7供应商的纪律要求</w:t>
      </w:r>
    </w:p>
    <w:p w14:paraId="67D5C4BB">
      <w:pPr>
        <w:pStyle w:val="6"/>
        <w:keepNext w:val="0"/>
        <w:keepLines w:val="0"/>
        <w:pageBreakBefore w:val="0"/>
        <w:widowControl w:val="0"/>
        <w:kinsoku/>
        <w:wordWrap w:val="0"/>
        <w:overflowPunct/>
        <w:topLinePunct/>
        <w:autoSpaceDE/>
        <w:autoSpaceDN/>
        <w:bidi w:val="0"/>
        <w:spacing w:line="360" w:lineRule="auto"/>
        <w:ind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有下列情形之一的，属于不合格供应商，其谈判或成交资格将被取消：</w:t>
      </w:r>
    </w:p>
    <w:p w14:paraId="62AE8900">
      <w:pPr>
        <w:keepNext w:val="0"/>
        <w:keepLines w:val="0"/>
        <w:pageBreakBefore w:val="0"/>
        <w:widowControl w:val="0"/>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（1）提供虚假材料谋取成交；</w:t>
      </w:r>
    </w:p>
    <w:p w14:paraId="76EDD9AC">
      <w:pPr>
        <w:keepNext w:val="0"/>
        <w:keepLines w:val="0"/>
        <w:pageBreakBefore w:val="0"/>
        <w:widowControl w:val="0"/>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（2）提供假冒伪劣产品；</w:t>
      </w:r>
    </w:p>
    <w:p w14:paraId="2EFFA06A">
      <w:pPr>
        <w:keepNext w:val="0"/>
        <w:keepLines w:val="0"/>
        <w:pageBreakBefore w:val="0"/>
        <w:widowControl w:val="0"/>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（3）采取不正当手段诋毁、排挤其他供应商；</w:t>
      </w:r>
    </w:p>
    <w:p w14:paraId="3C86C4B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（4）与采购人、采购代理机构、其他供应商恶意串通；</w:t>
      </w:r>
    </w:p>
    <w:p w14:paraId="7CC2D13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（5）向采购人、采购代理机构、谈判小组成员行贿或者提供其他不正当利益；</w:t>
      </w:r>
    </w:p>
    <w:p w14:paraId="2FC9875E">
      <w:pPr>
        <w:pStyle w:val="17"/>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（6）拒绝有关部门的监督检查或者向监督检查部门提供虚假情况；</w:t>
      </w:r>
    </w:p>
    <w:p w14:paraId="67330310">
      <w:pPr>
        <w:pStyle w:val="17"/>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（7）法律法规规定的其他情形。</w:t>
      </w:r>
    </w:p>
    <w:p w14:paraId="0BA930A7">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bCs/>
          <w:color w:val="auto"/>
          <w:spacing w:val="0"/>
          <w:kern w:val="2"/>
          <w:sz w:val="24"/>
          <w:szCs w:val="24"/>
          <w:highlight w:val="none"/>
        </w:rPr>
        <w:t>4. 响应文件</w:t>
      </w:r>
    </w:p>
    <w:p w14:paraId="438907D2">
      <w:pPr>
        <w:keepNext w:val="0"/>
        <w:keepLines w:val="0"/>
        <w:pageBreakBefore w:val="0"/>
        <w:widowControl w:val="0"/>
        <w:kinsoku/>
        <w:wordWrap w:val="0"/>
        <w:overflowPunct/>
        <w:topLinePunct/>
        <w:autoSpaceDE/>
        <w:autoSpaceDN/>
        <w:bidi w:val="0"/>
        <w:rPr>
          <w:rFonts w:hint="eastAsia" w:ascii="宋体" w:hAnsi="宋体" w:eastAsia="宋体" w:cs="宋体"/>
          <w:spacing w:val="0"/>
          <w:kern w:val="2"/>
        </w:rPr>
      </w:pPr>
      <w:r>
        <w:rPr>
          <w:rFonts w:hint="eastAsia" w:ascii="宋体" w:hAnsi="宋体" w:eastAsia="宋体" w:cs="宋体"/>
          <w:spacing w:val="0"/>
          <w:kern w:val="2"/>
        </w:rPr>
        <w:t>4.1响应文件的编制要求</w:t>
      </w:r>
    </w:p>
    <w:p w14:paraId="268B1086">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4.1.1供应商应当仔细阅读谈判文件的所有事项、格式、条件和要求，并按谈判文件要求编制响应文件。响应文件应当对谈判文件提出的要求和条件作出明确响应，在满足谈判文件实质性要求的基础上，可以提出比谈判文件要求更有利于采购人的承诺。若本项目分</w:t>
      </w:r>
      <w:r>
        <w:rPr>
          <w:rFonts w:hint="eastAsia" w:ascii="宋体" w:hAnsi="宋体" w:eastAsia="宋体" w:cs="宋体"/>
          <w:color w:val="auto"/>
          <w:spacing w:val="0"/>
          <w:kern w:val="2"/>
          <w:sz w:val="24"/>
          <w:szCs w:val="24"/>
          <w:highlight w:val="none"/>
          <w:lang w:val="en-US" w:eastAsia="zh-CN"/>
        </w:rPr>
        <w:t>包</w:t>
      </w:r>
      <w:r>
        <w:rPr>
          <w:rFonts w:hint="eastAsia" w:ascii="宋体" w:hAnsi="宋体" w:eastAsia="宋体" w:cs="宋体"/>
          <w:color w:val="auto"/>
          <w:spacing w:val="0"/>
          <w:kern w:val="2"/>
          <w:sz w:val="24"/>
          <w:szCs w:val="24"/>
          <w:highlight w:val="none"/>
        </w:rPr>
        <w:t>段的，应当以</w:t>
      </w:r>
      <w:r>
        <w:rPr>
          <w:rFonts w:hint="eastAsia" w:ascii="宋体" w:hAnsi="宋体" w:eastAsia="宋体" w:cs="宋体"/>
          <w:color w:val="auto"/>
          <w:spacing w:val="0"/>
          <w:kern w:val="2"/>
          <w:sz w:val="24"/>
          <w:szCs w:val="24"/>
          <w:highlight w:val="none"/>
          <w:lang w:val="en-US" w:eastAsia="zh-CN"/>
        </w:rPr>
        <w:t>包</w:t>
      </w:r>
      <w:r>
        <w:rPr>
          <w:rFonts w:hint="eastAsia" w:ascii="宋体" w:hAnsi="宋体" w:eastAsia="宋体" w:cs="宋体"/>
          <w:color w:val="auto"/>
          <w:spacing w:val="0"/>
          <w:kern w:val="2"/>
          <w:sz w:val="24"/>
          <w:szCs w:val="24"/>
          <w:highlight w:val="none"/>
        </w:rPr>
        <w:t>段为单位响应，不得在其中选项投标或将其中内容再行分解，否则</w:t>
      </w:r>
      <w:r>
        <w:rPr>
          <w:rFonts w:hint="eastAsia" w:ascii="宋体" w:hAnsi="宋体" w:eastAsia="宋体" w:cs="宋体"/>
          <w:b/>
          <w:color w:val="auto"/>
          <w:spacing w:val="0"/>
          <w:kern w:val="2"/>
          <w:sz w:val="24"/>
          <w:szCs w:val="24"/>
          <w:highlight w:val="none"/>
        </w:rPr>
        <w:t>响应文件无效</w:t>
      </w:r>
      <w:r>
        <w:rPr>
          <w:rFonts w:hint="eastAsia" w:ascii="宋体" w:hAnsi="宋体" w:eastAsia="宋体" w:cs="宋体"/>
          <w:color w:val="auto"/>
          <w:spacing w:val="0"/>
          <w:kern w:val="2"/>
          <w:sz w:val="24"/>
          <w:szCs w:val="24"/>
          <w:highlight w:val="none"/>
        </w:rPr>
        <w:t>。</w:t>
      </w:r>
    </w:p>
    <w:p w14:paraId="7F1EBBF5">
      <w:pPr>
        <w:keepNext w:val="0"/>
        <w:keepLines w:val="0"/>
        <w:pageBreakBefore w:val="0"/>
        <w:widowControl w:val="0"/>
        <w:tabs>
          <w:tab w:val="left" w:pos="720"/>
        </w:tabs>
        <w:kinsoku/>
        <w:wordWrap w:val="0"/>
        <w:overflowPunct/>
        <w:topLinePunct/>
        <w:autoSpaceDE/>
        <w:autoSpaceDN/>
        <w:bidi w:val="0"/>
        <w:snapToGrid w:val="0"/>
        <w:spacing w:line="360" w:lineRule="auto"/>
        <w:ind w:firstLine="600" w:firstLineChars="249"/>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4.1.2 真实性原则</w:t>
      </w:r>
    </w:p>
    <w:p w14:paraId="7627E8E3">
      <w:pPr>
        <w:keepNext w:val="0"/>
        <w:keepLines w:val="0"/>
        <w:pageBreakBefore w:val="0"/>
        <w:widowControl w:val="0"/>
        <w:tabs>
          <w:tab w:val="left" w:pos="720"/>
        </w:tabs>
        <w:kinsoku/>
        <w:wordWrap w:val="0"/>
        <w:overflowPunct/>
        <w:topLinePunct/>
        <w:autoSpaceDE/>
        <w:autoSpaceDN/>
        <w:bidi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4.1.2.1 供应商应保证所提供的响应文件和所有资料的真实性、准确性和完整性。</w:t>
      </w:r>
    </w:p>
    <w:p w14:paraId="1E3C1C6E">
      <w:pPr>
        <w:keepNext w:val="0"/>
        <w:keepLines w:val="0"/>
        <w:pageBreakBefore w:val="0"/>
        <w:widowControl w:val="0"/>
        <w:tabs>
          <w:tab w:val="left" w:pos="720"/>
        </w:tabs>
        <w:kinsoku/>
        <w:wordWrap w:val="0"/>
        <w:overflowPunct/>
        <w:topLinePunct/>
        <w:autoSpaceDE/>
        <w:autoSpaceDN/>
        <w:bidi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4.1.2.2 供应商被认定为在政府采购活动中提供不真实材料的，无论其材料是否重要，采购人均有权拒绝，并取消其谈判或成交资格，供应商需承担相应的法律后果。</w:t>
      </w:r>
    </w:p>
    <w:p w14:paraId="539D4832">
      <w:pPr>
        <w:keepNext w:val="0"/>
        <w:keepLines w:val="0"/>
        <w:pageBreakBefore w:val="0"/>
        <w:widowControl w:val="0"/>
        <w:tabs>
          <w:tab w:val="left" w:pos="720"/>
        </w:tabs>
        <w:kinsoku/>
        <w:wordWrap w:val="0"/>
        <w:overflowPunct/>
        <w:topLinePunct/>
        <w:autoSpaceDE/>
        <w:autoSpaceDN/>
        <w:bidi w:val="0"/>
        <w:snapToGrid w:val="0"/>
        <w:spacing w:line="360" w:lineRule="auto"/>
        <w:ind w:firstLine="48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4.1.3 报价使用货币</w:t>
      </w:r>
    </w:p>
    <w:p w14:paraId="35060291">
      <w:pPr>
        <w:keepNext w:val="0"/>
        <w:keepLines w:val="0"/>
        <w:pageBreakBefore w:val="0"/>
        <w:widowControl w:val="0"/>
        <w:tabs>
          <w:tab w:val="left" w:pos="720"/>
        </w:tabs>
        <w:kinsoku/>
        <w:wordWrap w:val="0"/>
        <w:overflowPunct/>
        <w:topLinePunct/>
        <w:autoSpaceDE/>
        <w:autoSpaceDN/>
        <w:bidi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本项目的报价均以人民币报价。</w:t>
      </w:r>
    </w:p>
    <w:p w14:paraId="67B1B908">
      <w:pPr>
        <w:keepNext w:val="0"/>
        <w:keepLines w:val="0"/>
        <w:pageBreakBefore w:val="0"/>
        <w:widowControl w:val="0"/>
        <w:tabs>
          <w:tab w:val="left" w:pos="720"/>
        </w:tabs>
        <w:kinsoku/>
        <w:wordWrap w:val="0"/>
        <w:overflowPunct/>
        <w:topLinePunct/>
        <w:autoSpaceDE/>
        <w:autoSpaceDN/>
        <w:bidi w:val="0"/>
        <w:snapToGrid w:val="0"/>
        <w:spacing w:line="360" w:lineRule="auto"/>
        <w:ind w:firstLine="484" w:firstLineChars="201"/>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4.1.4 响应文件形式</w:t>
      </w:r>
    </w:p>
    <w:p w14:paraId="428AE743">
      <w:pPr>
        <w:pStyle w:val="16"/>
        <w:keepNext w:val="0"/>
        <w:keepLines w:val="0"/>
        <w:pageBreakBefore w:val="0"/>
        <w:widowControl w:val="0"/>
        <w:kinsoku/>
        <w:wordWrap w:val="0"/>
        <w:overflowPunct/>
        <w:topLinePunct/>
        <w:autoSpaceDE/>
        <w:autoSpaceDN/>
        <w:bidi w:val="0"/>
        <w:adjustRightInd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本项目响应文件应采用书面文件形式，电报、传真、电子邮件形式的响应文件不予接受。</w:t>
      </w:r>
    </w:p>
    <w:p w14:paraId="1AA90E9E">
      <w:pPr>
        <w:keepNext w:val="0"/>
        <w:keepLines w:val="0"/>
        <w:pageBreakBefore w:val="0"/>
        <w:widowControl w:val="0"/>
        <w:tabs>
          <w:tab w:val="left" w:pos="720"/>
        </w:tabs>
        <w:kinsoku/>
        <w:wordWrap w:val="0"/>
        <w:overflowPunct/>
        <w:topLinePunct/>
        <w:autoSpaceDE/>
        <w:autoSpaceDN/>
        <w:bidi w:val="0"/>
        <w:snapToGrid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4.1.5 备选方案</w:t>
      </w:r>
    </w:p>
    <w:p w14:paraId="6E8B31FB">
      <w:pPr>
        <w:keepNext w:val="0"/>
        <w:keepLines w:val="0"/>
        <w:pageBreakBefore w:val="0"/>
        <w:widowControl w:val="0"/>
        <w:tabs>
          <w:tab w:val="left" w:pos="720"/>
        </w:tabs>
        <w:kinsoku/>
        <w:wordWrap w:val="0"/>
        <w:overflowPunct/>
        <w:topLinePunct/>
        <w:autoSpaceDE/>
        <w:autoSpaceDN/>
        <w:bidi w:val="0"/>
        <w:snapToGrid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4.1.5.1 除供应商须知前附表规定允许外，供应商不得递交备选响应方案，响应文件的报价只允许有一个报价，不接受具有附加条件的报价，否则，视为</w:t>
      </w:r>
      <w:r>
        <w:rPr>
          <w:rFonts w:hint="eastAsia" w:ascii="宋体" w:hAnsi="宋体" w:eastAsia="宋体" w:cs="宋体"/>
          <w:b/>
          <w:color w:val="auto"/>
          <w:spacing w:val="0"/>
          <w:kern w:val="2"/>
          <w:sz w:val="24"/>
          <w:szCs w:val="24"/>
          <w:highlight w:val="none"/>
        </w:rPr>
        <w:t>无效响应文件</w:t>
      </w:r>
      <w:r>
        <w:rPr>
          <w:rFonts w:hint="eastAsia" w:ascii="宋体" w:hAnsi="宋体" w:eastAsia="宋体" w:cs="宋体"/>
          <w:color w:val="auto"/>
          <w:spacing w:val="0"/>
          <w:kern w:val="2"/>
          <w:sz w:val="24"/>
          <w:szCs w:val="24"/>
          <w:highlight w:val="none"/>
        </w:rPr>
        <w:t>。</w:t>
      </w:r>
    </w:p>
    <w:p w14:paraId="51ED4EFC">
      <w:pPr>
        <w:keepNext w:val="0"/>
        <w:keepLines w:val="0"/>
        <w:pageBreakBefore w:val="0"/>
        <w:widowControl w:val="0"/>
        <w:tabs>
          <w:tab w:val="left" w:pos="720"/>
        </w:tabs>
        <w:kinsoku/>
        <w:wordWrap w:val="0"/>
        <w:overflowPunct/>
        <w:topLinePunct/>
        <w:autoSpaceDE/>
        <w:autoSpaceDN/>
        <w:bidi w:val="0"/>
        <w:snapToGrid w:val="0"/>
        <w:spacing w:line="360" w:lineRule="auto"/>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4.2 响应文件的组成</w:t>
      </w:r>
    </w:p>
    <w:p w14:paraId="18554B03">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第一部分、资格证明文件</w:t>
      </w:r>
    </w:p>
    <w:p w14:paraId="2A73AF16">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w:t>
      </w:r>
    </w:p>
    <w:p w14:paraId="3BA92681">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第二部分、符合性证明文件</w:t>
      </w:r>
    </w:p>
    <w:p w14:paraId="297C33A1">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w:t>
      </w:r>
    </w:p>
    <w:p w14:paraId="31C8FA27">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第三部分、响应方案</w:t>
      </w:r>
    </w:p>
    <w:p w14:paraId="28253A0C">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w:t>
      </w:r>
    </w:p>
    <w:p w14:paraId="779F15DB">
      <w:pPr>
        <w:keepNext w:val="0"/>
        <w:keepLines w:val="0"/>
        <w:pageBreakBefore w:val="0"/>
        <w:widowControl w:val="0"/>
        <w:tabs>
          <w:tab w:val="left" w:pos="720"/>
        </w:tabs>
        <w:kinsoku/>
        <w:wordWrap w:val="0"/>
        <w:overflowPunct/>
        <w:topLinePunct/>
        <w:autoSpaceDE/>
        <w:autoSpaceDN/>
        <w:bidi w:val="0"/>
        <w:snapToGrid w:val="0"/>
        <w:spacing w:line="360" w:lineRule="auto"/>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4.3谈判报价</w:t>
      </w:r>
    </w:p>
    <w:p w14:paraId="51358460">
      <w:pPr>
        <w:keepNext w:val="0"/>
        <w:keepLines w:val="0"/>
        <w:pageBreakBefore w:val="0"/>
        <w:widowControl w:val="0"/>
        <w:kinsoku/>
        <w:wordWrap w:val="0"/>
        <w:overflowPunct/>
        <w:topLinePunct/>
        <w:autoSpaceDE/>
        <w:autoSpaceDN/>
        <w:bidi w:val="0"/>
        <w:spacing w:line="360" w:lineRule="auto"/>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4.3.1 </w:t>
      </w:r>
      <w:r>
        <w:rPr>
          <w:rFonts w:hint="eastAsia" w:ascii="宋体" w:hAnsi="宋体" w:eastAsia="宋体" w:cs="宋体"/>
          <w:bCs/>
          <w:color w:val="auto"/>
          <w:spacing w:val="0"/>
          <w:kern w:val="2"/>
          <w:sz w:val="24"/>
          <w:szCs w:val="24"/>
          <w:highlight w:val="none"/>
        </w:rPr>
        <w:t>供应商应当</w:t>
      </w:r>
      <w:r>
        <w:rPr>
          <w:rFonts w:hint="eastAsia" w:ascii="宋体" w:hAnsi="宋体" w:eastAsia="宋体" w:cs="宋体"/>
          <w:color w:val="auto"/>
          <w:spacing w:val="0"/>
          <w:kern w:val="2"/>
          <w:sz w:val="24"/>
          <w:szCs w:val="24"/>
          <w:highlight w:val="none"/>
        </w:rPr>
        <w:t>按照谈判文件确定的采购</w:t>
      </w:r>
      <w:r>
        <w:rPr>
          <w:rFonts w:hint="eastAsia" w:ascii="宋体" w:hAnsi="宋体" w:eastAsia="宋体" w:cs="宋体"/>
          <w:color w:val="auto"/>
          <w:spacing w:val="0"/>
          <w:kern w:val="2"/>
          <w:sz w:val="24"/>
          <w:szCs w:val="24"/>
          <w:highlight w:val="none"/>
          <w:lang w:val="en-US" w:eastAsia="zh-CN"/>
        </w:rPr>
        <w:t>服务</w:t>
      </w:r>
      <w:r>
        <w:rPr>
          <w:rFonts w:hint="eastAsia" w:ascii="宋体" w:hAnsi="宋体" w:eastAsia="宋体" w:cs="宋体"/>
          <w:color w:val="auto"/>
          <w:spacing w:val="0"/>
          <w:kern w:val="2"/>
          <w:sz w:val="24"/>
          <w:szCs w:val="24"/>
          <w:highlight w:val="none"/>
        </w:rPr>
        <w:t>范围内全部工作内容进行谈判报价，并充分了解本项目的总体情况以及影响谈判报价的其他要素。</w:t>
      </w:r>
    </w:p>
    <w:p w14:paraId="36A73FC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auto"/>
          <w:spacing w:val="0"/>
          <w:kern w:val="2"/>
          <w:sz w:val="24"/>
          <w:szCs w:val="24"/>
          <w:highlight w:val="none"/>
        </w:rPr>
        <w:t xml:space="preserve">4.3.2 </w:t>
      </w:r>
      <w:r>
        <w:rPr>
          <w:rFonts w:hint="eastAsia" w:ascii="宋体" w:hAnsi="宋体" w:eastAsia="宋体" w:cs="宋体"/>
          <w:color w:val="000000"/>
          <w:kern w:val="2"/>
          <w:sz w:val="24"/>
          <w:szCs w:val="24"/>
          <w:highlight w:val="none"/>
        </w:rPr>
        <w:t>供应商响应</w:t>
      </w:r>
      <w:r>
        <w:rPr>
          <w:rFonts w:hint="eastAsia" w:ascii="宋体" w:hAnsi="宋体" w:eastAsia="宋体" w:cs="宋体"/>
          <w:color w:val="000000"/>
          <w:kern w:val="2"/>
          <w:sz w:val="24"/>
          <w:szCs w:val="24"/>
          <w:highlight w:val="none"/>
          <w:lang w:eastAsia="zh-CN"/>
        </w:rPr>
        <w:t>谈判</w:t>
      </w:r>
      <w:r>
        <w:rPr>
          <w:rFonts w:hint="eastAsia" w:ascii="宋体" w:hAnsi="宋体" w:eastAsia="宋体" w:cs="宋体"/>
          <w:color w:val="000000"/>
          <w:kern w:val="2"/>
          <w:sz w:val="24"/>
          <w:szCs w:val="24"/>
          <w:highlight w:val="none"/>
        </w:rPr>
        <w:t>项目要求的全部工作内容的价格体现，包括供应商完成本项目所需的直接费、间接费、利润、税金及其它相关的一切费用。包括但不限于：</w:t>
      </w:r>
      <w:r>
        <w:rPr>
          <w:rFonts w:hint="eastAsia" w:ascii="宋体" w:hAnsi="宋体" w:eastAsia="宋体" w:cs="宋体"/>
          <w:color w:val="000000"/>
          <w:kern w:val="2"/>
          <w:sz w:val="24"/>
          <w:szCs w:val="24"/>
          <w:highlight w:val="none"/>
          <w:lang w:eastAsia="zh-CN"/>
        </w:rPr>
        <w:t>食品</w:t>
      </w:r>
      <w:r>
        <w:rPr>
          <w:rFonts w:hint="eastAsia" w:ascii="宋体" w:hAnsi="宋体" w:eastAsia="宋体" w:cs="宋体"/>
          <w:color w:val="000000"/>
          <w:kern w:val="2"/>
          <w:sz w:val="24"/>
          <w:szCs w:val="24"/>
          <w:highlight w:val="none"/>
        </w:rPr>
        <w:t>费、附件费、工具费、验收费、运输费、保险费、安装费、调试费、技术服务费（含售后）、采购代理服务费、税金、利润及不可预见费等全部费用。</w:t>
      </w:r>
      <w:r>
        <w:rPr>
          <w:rFonts w:hint="eastAsia" w:ascii="宋体" w:hAnsi="宋体" w:eastAsia="宋体" w:cs="宋体"/>
          <w:color w:val="000000"/>
          <w:kern w:val="2"/>
          <w:sz w:val="24"/>
          <w:szCs w:val="24"/>
          <w:highlight w:val="none"/>
          <w:lang w:eastAsia="zh-CN"/>
        </w:rPr>
        <w:t>谈判</w:t>
      </w:r>
      <w:r>
        <w:rPr>
          <w:rFonts w:hint="eastAsia" w:ascii="宋体" w:hAnsi="宋体" w:eastAsia="宋体" w:cs="宋体"/>
          <w:color w:val="000000"/>
          <w:kern w:val="2"/>
          <w:sz w:val="24"/>
          <w:szCs w:val="24"/>
          <w:highlight w:val="none"/>
        </w:rPr>
        <w:t>报价中不得包含</w:t>
      </w:r>
      <w:r>
        <w:rPr>
          <w:rFonts w:hint="eastAsia" w:ascii="宋体" w:hAnsi="宋体" w:eastAsia="宋体" w:cs="宋体"/>
          <w:color w:val="000000"/>
          <w:kern w:val="2"/>
          <w:sz w:val="24"/>
          <w:szCs w:val="24"/>
          <w:highlight w:val="none"/>
          <w:lang w:eastAsia="zh-CN"/>
        </w:rPr>
        <w:t>谈判</w:t>
      </w:r>
      <w:r>
        <w:rPr>
          <w:rFonts w:hint="eastAsia" w:ascii="宋体" w:hAnsi="宋体" w:eastAsia="宋体" w:cs="宋体"/>
          <w:color w:val="000000"/>
          <w:kern w:val="2"/>
          <w:sz w:val="24"/>
          <w:szCs w:val="24"/>
          <w:highlight w:val="none"/>
        </w:rPr>
        <w:t>文件要求以外的内容，否则，在评审时不予核减。在供货、安装、调试、培训等工作中出现硬件、软件等的任何遗漏，均由成交供应商免费提供，采购人将不再支付任何费用。</w:t>
      </w:r>
    </w:p>
    <w:p w14:paraId="5BFFC02A">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4.3.3 本项目将根据谈判的具体情况来确定谈判轮次，最终一轮谈判报价为最后报价。</w:t>
      </w:r>
    </w:p>
    <w:p w14:paraId="268DE22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4.3.4供应商的各轮次谈判报价不得超过供应商须知前附表规定的最高限价，供应商的各轮次谈判报价也不得超过最高限价，否则，作为不实质性响应谈判文件，按</w:t>
      </w:r>
      <w:r>
        <w:rPr>
          <w:rFonts w:hint="eastAsia" w:ascii="宋体" w:hAnsi="宋体" w:eastAsia="宋体" w:cs="宋体"/>
          <w:b/>
          <w:color w:val="auto"/>
          <w:spacing w:val="0"/>
          <w:kern w:val="2"/>
          <w:sz w:val="24"/>
          <w:szCs w:val="24"/>
          <w:highlight w:val="none"/>
        </w:rPr>
        <w:t>无效响应文件</w:t>
      </w:r>
      <w:r>
        <w:rPr>
          <w:rFonts w:hint="eastAsia" w:ascii="宋体" w:hAnsi="宋体" w:eastAsia="宋体" w:cs="宋体"/>
          <w:color w:val="auto"/>
          <w:spacing w:val="0"/>
          <w:kern w:val="2"/>
          <w:sz w:val="24"/>
          <w:szCs w:val="24"/>
          <w:highlight w:val="none"/>
        </w:rPr>
        <w:t>处理。</w:t>
      </w:r>
    </w:p>
    <w:p w14:paraId="2E4A8C7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4.3.5标人的报价是投标人响应招标项目要求的全部工作内容的价格体现，包括投标人完成本项目所需直接费、间接费、利润、税金及其它相关的一切费用。包括但不限于：产品费、附件费、工具费、验收费、运输费、保险费、安装费、调试费、技术服务费（含售后）、招标代理费、税金、利润及不可预见费等全部费用。</w:t>
      </w:r>
      <w:r>
        <w:rPr>
          <w:rFonts w:hint="eastAsia" w:ascii="宋体" w:hAnsi="宋体" w:eastAsia="宋体" w:cs="宋体"/>
          <w:color w:val="auto"/>
          <w:spacing w:val="0"/>
          <w:kern w:val="2"/>
          <w:sz w:val="24"/>
          <w:szCs w:val="24"/>
          <w:highlight w:val="none"/>
          <w:lang w:val="en-US" w:eastAsia="zh-CN"/>
        </w:rPr>
        <w:t>响应</w:t>
      </w:r>
      <w:r>
        <w:rPr>
          <w:rFonts w:hint="eastAsia" w:ascii="宋体" w:hAnsi="宋体" w:eastAsia="宋体" w:cs="宋体"/>
          <w:color w:val="auto"/>
          <w:spacing w:val="0"/>
          <w:kern w:val="2"/>
          <w:sz w:val="24"/>
          <w:szCs w:val="24"/>
          <w:highlight w:val="none"/>
        </w:rPr>
        <w:t>总价中不得包含</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文件要求以外的内容，</w:t>
      </w:r>
    </w:p>
    <w:p w14:paraId="3D8177B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4.3.6</w:t>
      </w:r>
      <w:r>
        <w:rPr>
          <w:rFonts w:hint="eastAsia" w:ascii="宋体" w:hAnsi="宋体" w:eastAsia="宋体" w:cs="宋体"/>
          <w:b/>
          <w:spacing w:val="0"/>
          <w:kern w:val="2"/>
          <w:sz w:val="24"/>
          <w:szCs w:val="24"/>
          <w:highlight w:val="none"/>
        </w:rPr>
        <w:t>供应商除首次</w:t>
      </w:r>
      <w:r>
        <w:rPr>
          <w:rFonts w:hint="eastAsia" w:ascii="宋体" w:hAnsi="宋体" w:eastAsia="宋体" w:cs="宋体"/>
          <w:b/>
          <w:spacing w:val="0"/>
          <w:kern w:val="2"/>
          <w:sz w:val="24"/>
          <w:szCs w:val="24"/>
          <w:highlight w:val="none"/>
          <w:lang w:eastAsia="zh-CN"/>
        </w:rPr>
        <w:t>谈判</w:t>
      </w:r>
      <w:r>
        <w:rPr>
          <w:rFonts w:hint="eastAsia" w:ascii="宋体" w:hAnsi="宋体" w:eastAsia="宋体" w:cs="宋体"/>
          <w:b/>
          <w:spacing w:val="0"/>
          <w:kern w:val="2"/>
          <w:sz w:val="24"/>
          <w:szCs w:val="24"/>
          <w:highlight w:val="none"/>
        </w:rPr>
        <w:t>报价外，其余轮次报价只报总价，不报分项价格</w:t>
      </w:r>
      <w:r>
        <w:rPr>
          <w:rFonts w:hint="eastAsia" w:ascii="宋体" w:hAnsi="宋体" w:eastAsia="宋体" w:cs="宋体"/>
          <w:b/>
          <w:color w:val="auto"/>
          <w:spacing w:val="0"/>
          <w:kern w:val="2"/>
          <w:sz w:val="24"/>
          <w:szCs w:val="24"/>
          <w:highlight w:val="none"/>
        </w:rPr>
        <w:t>，</w:t>
      </w:r>
      <w:r>
        <w:rPr>
          <w:rFonts w:hint="eastAsia" w:ascii="宋体" w:hAnsi="宋体" w:eastAsia="宋体" w:cs="宋体"/>
          <w:color w:val="auto"/>
          <w:spacing w:val="0"/>
          <w:kern w:val="2"/>
          <w:sz w:val="24"/>
          <w:szCs w:val="24"/>
          <w:highlight w:val="none"/>
        </w:rPr>
        <w:t>由供应商法定代表人签名或者委托代理人签名或者加盖单位章确认。由委托代理人签名的，应附法人代表授权委托书；供应商为自然人的，应当由本人签名。</w:t>
      </w:r>
    </w:p>
    <w:bookmarkEnd w:id="33"/>
    <w:bookmarkEnd w:id="34"/>
    <w:bookmarkEnd w:id="35"/>
    <w:p w14:paraId="39C302DA">
      <w:pPr>
        <w:pStyle w:val="16"/>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rPr>
          <w:rFonts w:hint="eastAsia" w:ascii="宋体" w:hAnsi="宋体" w:eastAsia="宋体" w:cs="宋体"/>
          <w:b/>
          <w:color w:val="auto"/>
          <w:spacing w:val="0"/>
          <w:kern w:val="2"/>
          <w:sz w:val="24"/>
          <w:szCs w:val="24"/>
          <w:highlight w:val="none"/>
          <w:lang w:eastAsia="zh-CN"/>
        </w:rPr>
      </w:pPr>
      <w:r>
        <w:rPr>
          <w:rFonts w:hint="eastAsia" w:ascii="宋体" w:hAnsi="宋体" w:eastAsia="宋体" w:cs="宋体"/>
          <w:b/>
          <w:color w:val="auto"/>
          <w:spacing w:val="0"/>
          <w:kern w:val="2"/>
          <w:sz w:val="24"/>
          <w:szCs w:val="24"/>
          <w:highlight w:val="none"/>
        </w:rPr>
        <w:t>4.3.7 最后报价</w:t>
      </w:r>
      <w:r>
        <w:rPr>
          <w:rFonts w:hint="eastAsia" w:ascii="宋体" w:hAnsi="宋体" w:eastAsia="宋体" w:cs="宋体"/>
          <w:b/>
          <w:color w:val="auto"/>
          <w:spacing w:val="0"/>
          <w:kern w:val="2"/>
          <w:sz w:val="24"/>
          <w:szCs w:val="24"/>
          <w:highlight w:val="none"/>
          <w:lang w:eastAsia="zh-CN"/>
        </w:rPr>
        <w:t>（</w:t>
      </w:r>
      <w:r>
        <w:rPr>
          <w:rFonts w:hint="eastAsia" w:ascii="宋体" w:hAnsi="宋体" w:eastAsia="宋体" w:cs="宋体"/>
          <w:b/>
          <w:color w:val="auto"/>
          <w:spacing w:val="0"/>
          <w:kern w:val="2"/>
          <w:sz w:val="24"/>
          <w:szCs w:val="24"/>
          <w:highlight w:val="none"/>
          <w:lang w:val="en-US" w:eastAsia="zh-CN"/>
        </w:rPr>
        <w:t>不见面开标，线上使</w:t>
      </w:r>
      <w:r>
        <w:rPr>
          <w:rFonts w:hint="eastAsia" w:ascii="宋体" w:hAnsi="宋体" w:eastAsia="宋体" w:cs="宋体"/>
          <w:b/>
          <w:bCs/>
          <w:color w:val="auto"/>
          <w:spacing w:val="0"/>
          <w:kern w:val="2"/>
          <w:sz w:val="24"/>
          <w:szCs w:val="24"/>
          <w:highlight w:val="none"/>
          <w:lang w:val="en-US" w:eastAsia="zh-CN"/>
        </w:rPr>
        <w:t>用单位CA锁</w:t>
      </w:r>
      <w:r>
        <w:rPr>
          <w:rFonts w:hint="eastAsia" w:ascii="宋体" w:hAnsi="宋体" w:eastAsia="宋体" w:cs="宋体"/>
          <w:b/>
          <w:color w:val="auto"/>
          <w:spacing w:val="0"/>
          <w:kern w:val="2"/>
          <w:sz w:val="24"/>
          <w:szCs w:val="24"/>
          <w:highlight w:val="none"/>
          <w:lang w:val="en-US" w:eastAsia="zh-CN"/>
        </w:rPr>
        <w:t>进行</w:t>
      </w:r>
      <w:r>
        <w:rPr>
          <w:rFonts w:hint="eastAsia" w:ascii="宋体" w:hAnsi="宋体" w:eastAsia="宋体" w:cs="宋体"/>
          <w:b/>
          <w:color w:val="auto"/>
          <w:spacing w:val="0"/>
          <w:kern w:val="2"/>
          <w:sz w:val="24"/>
          <w:szCs w:val="24"/>
          <w:highlight w:val="none"/>
        </w:rPr>
        <w:t>最后</w:t>
      </w:r>
      <w:r>
        <w:rPr>
          <w:rFonts w:hint="eastAsia" w:ascii="宋体" w:hAnsi="宋体" w:eastAsia="宋体" w:cs="宋体"/>
          <w:b/>
          <w:color w:val="auto"/>
          <w:spacing w:val="0"/>
          <w:kern w:val="2"/>
          <w:sz w:val="24"/>
          <w:szCs w:val="24"/>
          <w:highlight w:val="none"/>
          <w:lang w:val="en-US" w:eastAsia="zh-CN"/>
        </w:rPr>
        <w:t>报价，</w:t>
      </w:r>
      <w:r>
        <w:rPr>
          <w:rFonts w:hint="eastAsia" w:ascii="宋体" w:hAnsi="宋体" w:eastAsia="宋体" w:cs="宋体"/>
          <w:b/>
          <w:bCs/>
          <w:color w:val="auto"/>
          <w:spacing w:val="0"/>
          <w:kern w:val="2"/>
          <w:sz w:val="24"/>
          <w:szCs w:val="24"/>
          <w:highlight w:val="none"/>
        </w:rPr>
        <w:t>最后报价将作为最低评标价法中价格分的计算依据</w:t>
      </w:r>
      <w:r>
        <w:rPr>
          <w:rFonts w:hint="eastAsia" w:ascii="宋体" w:hAnsi="宋体" w:eastAsia="宋体" w:cs="宋体"/>
          <w:b/>
          <w:color w:val="auto"/>
          <w:spacing w:val="0"/>
          <w:kern w:val="2"/>
          <w:sz w:val="24"/>
          <w:szCs w:val="24"/>
          <w:highlight w:val="none"/>
          <w:lang w:eastAsia="zh-CN"/>
        </w:rPr>
        <w:t>）</w:t>
      </w:r>
    </w:p>
    <w:p w14:paraId="49DD92A3">
      <w:pPr>
        <w:pStyle w:val="16"/>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4.3.7.1供应商须知前附表规定固定总价合同形式的，即采用固定总价（一次性包死）结算方式。最后报价在合同执行过程中是固定不变的，不得以任何理由予以变更。任何有选择或可调整的报价将不予接受，并按</w:t>
      </w:r>
      <w:r>
        <w:rPr>
          <w:rFonts w:hint="eastAsia" w:ascii="宋体" w:hAnsi="宋体" w:eastAsia="宋体" w:cs="宋体"/>
          <w:b/>
          <w:color w:val="auto"/>
          <w:spacing w:val="0"/>
          <w:kern w:val="2"/>
          <w:sz w:val="24"/>
          <w:szCs w:val="24"/>
          <w:highlight w:val="none"/>
        </w:rPr>
        <w:t>无效响应文件</w:t>
      </w:r>
      <w:r>
        <w:rPr>
          <w:rFonts w:hint="eastAsia" w:ascii="宋体" w:hAnsi="宋体" w:eastAsia="宋体" w:cs="宋体"/>
          <w:color w:val="auto"/>
          <w:spacing w:val="0"/>
          <w:kern w:val="2"/>
          <w:sz w:val="24"/>
          <w:szCs w:val="24"/>
          <w:highlight w:val="none"/>
        </w:rPr>
        <w:t>处理。成交后供应商不得擅自改变</w:t>
      </w:r>
      <w:r>
        <w:rPr>
          <w:rFonts w:hint="eastAsia" w:ascii="宋体" w:hAnsi="宋体" w:eastAsia="宋体" w:cs="宋体"/>
          <w:color w:val="auto"/>
          <w:spacing w:val="0"/>
          <w:kern w:val="2"/>
          <w:sz w:val="24"/>
          <w:szCs w:val="24"/>
          <w:highlight w:val="none"/>
          <w:lang w:val="en-US" w:eastAsia="zh-CN"/>
        </w:rPr>
        <w:t>服务</w:t>
      </w:r>
      <w:r>
        <w:rPr>
          <w:rFonts w:hint="eastAsia" w:ascii="宋体" w:hAnsi="宋体" w:eastAsia="宋体" w:cs="宋体"/>
          <w:color w:val="auto"/>
          <w:spacing w:val="0"/>
          <w:kern w:val="2"/>
          <w:sz w:val="24"/>
          <w:szCs w:val="24"/>
          <w:highlight w:val="none"/>
        </w:rPr>
        <w:t>范围内容、质量标准、</w:t>
      </w:r>
      <w:r>
        <w:rPr>
          <w:rFonts w:hint="eastAsia" w:ascii="宋体" w:hAnsi="宋体" w:eastAsia="宋体" w:cs="宋体"/>
          <w:color w:val="auto"/>
          <w:spacing w:val="0"/>
          <w:kern w:val="2"/>
          <w:sz w:val="24"/>
          <w:szCs w:val="24"/>
          <w:highlight w:val="none"/>
          <w:lang w:val="en-US" w:eastAsia="zh-CN"/>
        </w:rPr>
        <w:t>合同履行期限</w:t>
      </w:r>
      <w:r>
        <w:rPr>
          <w:rFonts w:hint="eastAsia" w:ascii="宋体" w:hAnsi="宋体" w:eastAsia="宋体" w:cs="宋体"/>
          <w:color w:val="auto"/>
          <w:spacing w:val="0"/>
          <w:kern w:val="2"/>
          <w:sz w:val="24"/>
          <w:szCs w:val="24"/>
          <w:highlight w:val="none"/>
        </w:rPr>
        <w:t>和追加项目预算。</w:t>
      </w:r>
    </w:p>
    <w:p w14:paraId="4CE0FDA7">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4.4谈判有效期</w:t>
      </w:r>
    </w:p>
    <w:p w14:paraId="6A455667">
      <w:pPr>
        <w:keepNext w:val="0"/>
        <w:keepLines w:val="0"/>
        <w:pageBreakBefore w:val="0"/>
        <w:widowControl w:val="0"/>
        <w:tabs>
          <w:tab w:val="left" w:pos="7665"/>
        </w:tabs>
        <w:kinsoku/>
        <w:wordWrap w:val="0"/>
        <w:overflowPunct/>
        <w:topLinePunct/>
        <w:autoSpaceDE/>
        <w:autoSpaceDN/>
        <w:bidi w:val="0"/>
        <w:spacing w:line="360" w:lineRule="auto"/>
        <w:ind w:left="13" w:leftChars="6"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4.4.1谈判有效期见供应商须知前附表。在此期间响应文件对供应商具有法律约束力，从供应商须知前附表规定的提交响应文件截止时间之日起计算。响应文件中必须载明谈判有效期，载明的谈判有效期可以长于谈判文件规定的期限，但不得短于谈判文件规定的期限，否则，属于非实质性响应，将按</w:t>
      </w:r>
      <w:r>
        <w:rPr>
          <w:rFonts w:hint="eastAsia" w:ascii="宋体" w:hAnsi="宋体" w:eastAsia="宋体" w:cs="宋体"/>
          <w:b/>
          <w:color w:val="auto"/>
          <w:spacing w:val="0"/>
          <w:kern w:val="2"/>
          <w:sz w:val="24"/>
          <w:szCs w:val="24"/>
          <w:highlight w:val="none"/>
        </w:rPr>
        <w:t>无效响应文件</w:t>
      </w:r>
      <w:r>
        <w:rPr>
          <w:rFonts w:hint="eastAsia" w:ascii="宋体" w:hAnsi="宋体" w:eastAsia="宋体" w:cs="宋体"/>
          <w:color w:val="auto"/>
          <w:spacing w:val="0"/>
          <w:kern w:val="2"/>
          <w:sz w:val="24"/>
          <w:szCs w:val="24"/>
          <w:highlight w:val="none"/>
        </w:rPr>
        <w:t>处理。</w:t>
      </w:r>
    </w:p>
    <w:p w14:paraId="34342986">
      <w:pPr>
        <w:keepNext w:val="0"/>
        <w:keepLines w:val="0"/>
        <w:pageBreakBefore w:val="0"/>
        <w:widowControl w:val="0"/>
        <w:tabs>
          <w:tab w:val="left" w:pos="7665"/>
        </w:tabs>
        <w:kinsoku/>
        <w:wordWrap w:val="0"/>
        <w:overflowPunct/>
        <w:topLinePunct/>
        <w:autoSpaceDE/>
        <w:autoSpaceDN/>
        <w:bidi w:val="0"/>
        <w:spacing w:line="360" w:lineRule="auto"/>
        <w:ind w:left="13" w:leftChars="6"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4.4.2 出现特殊情况需要延长谈判有效期的，采购代理机构或采购人可于谈判有效期满之前，以书面形式通知所有供应商延长谈判有效期。供应商应予书面答复，同意延长的，应相应延长其谈判保证金有效期，但不得要求或被允许修改其响应文件；供应商拒绝延长的，</w:t>
      </w:r>
      <w:r>
        <w:rPr>
          <w:rFonts w:hint="eastAsia" w:ascii="宋体" w:hAnsi="宋体" w:eastAsia="宋体" w:cs="宋体"/>
          <w:b/>
          <w:color w:val="auto"/>
          <w:spacing w:val="0"/>
          <w:kern w:val="2"/>
          <w:sz w:val="24"/>
          <w:szCs w:val="24"/>
          <w:highlight w:val="none"/>
        </w:rPr>
        <w:t>其响应文件失效</w:t>
      </w:r>
      <w:r>
        <w:rPr>
          <w:rFonts w:hint="eastAsia" w:ascii="宋体" w:hAnsi="宋体" w:eastAsia="宋体" w:cs="宋体"/>
          <w:color w:val="auto"/>
          <w:spacing w:val="0"/>
          <w:kern w:val="2"/>
          <w:sz w:val="24"/>
          <w:szCs w:val="24"/>
          <w:highlight w:val="none"/>
        </w:rPr>
        <w:t>，但供应商有权收回其谈判保证金。</w:t>
      </w:r>
    </w:p>
    <w:p w14:paraId="000AB7D6">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b/>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4.5谈判保证金</w:t>
      </w:r>
    </w:p>
    <w:p w14:paraId="399ADD1E">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4.5.1 供应商须知前附表要求供应商提交</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保证金的，适用本条款</w:t>
      </w:r>
      <w:r>
        <w:rPr>
          <w:rFonts w:hint="eastAsia" w:ascii="宋体" w:hAnsi="宋体" w:eastAsia="宋体" w:cs="宋体"/>
          <w:color w:val="auto"/>
          <w:spacing w:val="0"/>
          <w:kern w:val="2"/>
          <w:sz w:val="24"/>
          <w:szCs w:val="24"/>
          <w:highlight w:val="none"/>
          <w:lang w:eastAsia="zh-CN"/>
        </w:rPr>
        <w:t>：</w:t>
      </w:r>
    </w:p>
    <w:p w14:paraId="07F2A873">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4.5.2</w:t>
      </w:r>
      <w:r>
        <w:rPr>
          <w:rFonts w:hint="eastAsia" w:ascii="宋体" w:hAnsi="宋体" w:eastAsia="宋体" w:cs="宋体"/>
          <w:b/>
          <w:color w:val="auto"/>
          <w:spacing w:val="0"/>
          <w:kern w:val="2"/>
          <w:sz w:val="24"/>
          <w:szCs w:val="24"/>
          <w:highlight w:val="none"/>
          <w:lang w:eastAsia="zh-CN"/>
        </w:rPr>
        <w:t>谈判</w:t>
      </w:r>
      <w:r>
        <w:rPr>
          <w:rFonts w:hint="eastAsia" w:ascii="宋体" w:hAnsi="宋体" w:eastAsia="宋体" w:cs="宋体"/>
          <w:b/>
          <w:color w:val="auto"/>
          <w:spacing w:val="0"/>
          <w:kern w:val="2"/>
          <w:sz w:val="24"/>
          <w:szCs w:val="24"/>
          <w:highlight w:val="none"/>
        </w:rPr>
        <w:t>保证金的提交</w:t>
      </w:r>
    </w:p>
    <w:p w14:paraId="063071B9">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  4.5.2.1 供应商应按供应商须知前附表规定的金额、形式和时间和第七章“响应文件格式”规定的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保证金格式提交，作为其响应文件的一部分。</w:t>
      </w:r>
    </w:p>
    <w:p w14:paraId="4E88C039">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4.5.2.2 </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保证金可以银行转账或者金融机构、担保机构出具的保函等非现金形式提交：</w:t>
      </w:r>
    </w:p>
    <w:p w14:paraId="2B9460B7">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（1）以银行转账提交保证金的，可以采取支票、电汇、网银、汇票、本票等方式，应从其基本账户转出，并在响应文件中附上基本账户开户证明。</w:t>
      </w:r>
    </w:p>
    <w:p w14:paraId="002AFE3F">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（2）以信用担保函形式提交保证金的，应按</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文件规定的格式提交，且是有关行政主管部门认定的具有开具</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保函资格的单位开具的保函。供应商违约，开具保函单位承担连带责任。</w:t>
      </w:r>
    </w:p>
    <w:p w14:paraId="466505ED">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（3）以汇票形式提交保证金的，应提前将汇票送至财务部门，汇票签发到期日至少为送至财务部门的当日，以便财务部门到银行办理兑现手续。</w:t>
      </w:r>
    </w:p>
    <w:p w14:paraId="17F6CDBC">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4.5.3 谈判保证金的退还</w:t>
      </w:r>
    </w:p>
    <w:p w14:paraId="59D9CB50">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4.5.3.1未成交供应商的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保证金，将在成交通知书发出之日起5个工作日内全额退还；成交供应商的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保证金，在采购人与成交供应商签订合同之日起5个工作日内全额退还；终止采购项目的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保证金，自终止采购活动后5个工作日内全额退还。</w:t>
      </w:r>
      <w:r>
        <w:rPr>
          <w:rFonts w:hint="eastAsia" w:ascii="宋体" w:hAnsi="宋体" w:eastAsia="宋体" w:cs="宋体"/>
          <w:color w:val="auto"/>
          <w:spacing w:val="0"/>
          <w:kern w:val="2"/>
          <w:sz w:val="24"/>
          <w:szCs w:val="24"/>
          <w:highlight w:val="none"/>
          <w:lang w:eastAsia="zh-CN"/>
        </w:rPr>
        <w:t xml:space="preserve">（成交供应商签订合同后，将合同扫描件发送至代理机构邮箱： </w:t>
      </w:r>
      <w:r>
        <w:rPr>
          <w:rFonts w:hint="eastAsia" w:ascii="宋体" w:hAnsi="宋体" w:eastAsia="宋体" w:cs="宋体"/>
          <w:color w:val="auto"/>
          <w:spacing w:val="0"/>
          <w:kern w:val="2"/>
          <w:sz w:val="24"/>
          <w:szCs w:val="24"/>
          <w:highlight w:val="none"/>
          <w:lang w:val="en-US" w:eastAsia="zh-CN"/>
        </w:rPr>
        <w:t>330950216@QQ.com</w:t>
      </w:r>
      <w:r>
        <w:rPr>
          <w:rFonts w:hint="eastAsia" w:ascii="宋体" w:hAnsi="宋体" w:eastAsia="宋体" w:cs="宋体"/>
          <w:color w:val="auto"/>
          <w:spacing w:val="0"/>
          <w:kern w:val="2"/>
          <w:sz w:val="24"/>
          <w:szCs w:val="24"/>
          <w:highlight w:val="none"/>
          <w:lang w:eastAsia="zh-CN"/>
        </w:rPr>
        <w:t>，由代理机构线上提交至【全国公共资源交易平台（陕西省·宝鸡市）】，由</w:t>
      </w:r>
      <w:r>
        <w:rPr>
          <w:rFonts w:hint="eastAsia" w:ascii="宋体" w:hAnsi="宋体" w:eastAsia="宋体" w:cs="宋体"/>
          <w:color w:val="auto"/>
          <w:spacing w:val="0"/>
          <w:kern w:val="2"/>
          <w:sz w:val="24"/>
          <w:szCs w:val="24"/>
          <w:highlight w:val="none"/>
          <w:lang w:val="en-US" w:eastAsia="zh-CN"/>
        </w:rPr>
        <w:t>宝鸡市公共资源</w:t>
      </w:r>
      <w:r>
        <w:rPr>
          <w:rFonts w:hint="eastAsia" w:ascii="宋体" w:hAnsi="宋体" w:eastAsia="宋体" w:cs="宋体"/>
          <w:color w:val="auto"/>
          <w:spacing w:val="0"/>
          <w:kern w:val="2"/>
          <w:sz w:val="24"/>
          <w:szCs w:val="24"/>
          <w:highlight w:val="none"/>
          <w:lang w:eastAsia="zh-CN"/>
        </w:rPr>
        <w:t>交易中心财务人员审核并办理退还事宜。）</w:t>
      </w:r>
    </w:p>
    <w:p w14:paraId="0ADDAEBC">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4.5.3.2有下列情形之一的，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保证金将不予退还：</w:t>
      </w:r>
    </w:p>
    <w:p w14:paraId="68A82AA1">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（1）供应商在</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有效期内撤销响应文件的；</w:t>
      </w:r>
    </w:p>
    <w:p w14:paraId="7424D886">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（2）在采购人确定成交供应商以前放弃成交候选资格的；</w:t>
      </w:r>
    </w:p>
    <w:p w14:paraId="4E65794B">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（3）成交后放弃成交、不领取或者不接收成交通知书的；</w:t>
      </w:r>
    </w:p>
    <w:p w14:paraId="3F22F72E">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（4）除因不可抗力或</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文件认可的情形以外，成交供应商不与采购人订立合同的；</w:t>
      </w:r>
    </w:p>
    <w:p w14:paraId="42520DEF">
      <w:pPr>
        <w:keepNext w:val="0"/>
        <w:keepLines w:val="0"/>
        <w:pageBreakBefore w:val="0"/>
        <w:widowControl w:val="0"/>
        <w:kinsoku/>
        <w:wordWrap w:val="0"/>
        <w:overflowPunct/>
        <w:topLinePunct/>
        <w:autoSpaceDE/>
        <w:autoSpaceDN/>
        <w:bidi w:val="0"/>
        <w:spacing w:line="360" w:lineRule="auto"/>
        <w:ind w:firstLine="590" w:firstLineChars="24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（5）成交供应商在签订合同时向采购人提出附加条件的；</w:t>
      </w:r>
    </w:p>
    <w:p w14:paraId="48825863">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（6）成交供应商未向采购代理机构支付采购代理服务费的；</w:t>
      </w:r>
    </w:p>
    <w:p w14:paraId="633F2D1C">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（7）成交供应商未按</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文件规定向采购人提交履约保证金的；</w:t>
      </w:r>
    </w:p>
    <w:p w14:paraId="1C18E184">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有效期内，供应商在政府采购活动中有违规、违纪和违法行为的；</w:t>
      </w:r>
    </w:p>
    <w:p w14:paraId="35A1AA36">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（9）法律法规和</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文件规定的其他情形。</w:t>
      </w:r>
    </w:p>
    <w:p w14:paraId="05935BE6">
      <w:pPr>
        <w:keepNext w:val="0"/>
        <w:keepLines w:val="0"/>
        <w:pageBreakBefore w:val="0"/>
        <w:widowControl w:val="0"/>
        <w:tabs>
          <w:tab w:val="left" w:pos="7665"/>
        </w:tabs>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4.6 响应文件的制作和签署</w:t>
      </w:r>
    </w:p>
    <w:p w14:paraId="367DEEF7">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1电子响应文件（*.SXSTF）需要使用专用制作软件——“新点响应文件制作软件（陕西公共资源）”进行编制。软件下载地址及操作手册：见【全国公共资源交易平台（陕西省·宝鸡市）】〖首页〉服务指南〉下载专区〗中的《宝鸡市公共资源交易响应文件制作操作手册》（网址：http://ggzy.baoji.gov.cn/fwzn/004003/20211013/188342c7-84a9-4c17-91d8-eb222e7ae4db.html）。</w:t>
      </w:r>
    </w:p>
    <w:p w14:paraId="1914E44C">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.2响应文件应当按照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文件第六章“响应文件格式”进行编写，如有必要，可以增加附页，作为响应文件的组成部分。除明确允许供应商可以自行编写外，供应商不得以“响应文件格式”规定之外的方式编写相关内容；否则，</w:t>
      </w:r>
      <w:r>
        <w:rPr>
          <w:rFonts w:hint="eastAsia" w:ascii="宋体" w:hAnsi="宋体" w:eastAsia="宋体" w:cs="宋体"/>
          <w:b/>
          <w:color w:val="auto"/>
          <w:spacing w:val="0"/>
          <w:kern w:val="2"/>
          <w:sz w:val="24"/>
          <w:szCs w:val="24"/>
          <w:highlight w:val="none"/>
        </w:rPr>
        <w:t>其投标无效。</w:t>
      </w:r>
      <w:r>
        <w:rPr>
          <w:rFonts w:hint="eastAsia" w:ascii="宋体" w:hAnsi="宋体" w:eastAsia="宋体" w:cs="宋体"/>
          <w:color w:val="auto"/>
          <w:spacing w:val="0"/>
          <w:kern w:val="2"/>
          <w:sz w:val="24"/>
          <w:szCs w:val="24"/>
          <w:highlight w:val="none"/>
        </w:rPr>
        <w:t>对于没有格式要求的由供应商自行编写。</w:t>
      </w:r>
    </w:p>
    <w:p w14:paraId="23DE0EAE">
      <w:pPr>
        <w:keepNext w:val="0"/>
        <w:keepLines w:val="0"/>
        <w:pageBreakBefore w:val="0"/>
        <w:widowControl w:val="0"/>
        <w:tabs>
          <w:tab w:val="left" w:pos="7665"/>
        </w:tabs>
        <w:kinsoku/>
        <w:wordWrap w:val="0"/>
        <w:overflowPunct/>
        <w:topLinePunct/>
        <w:autoSpaceDE/>
        <w:autoSpaceDN/>
        <w:bidi w:val="0"/>
        <w:spacing w:line="360" w:lineRule="auto"/>
        <w:ind w:left="13" w:leftChars="6" w:firstLine="480"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.3响应文件应填写供应商的全称，并与供应商的证件证书保持一致，按照本章第4.8.5条款规定</w:t>
      </w:r>
      <w:r>
        <w:rPr>
          <w:rFonts w:hint="eastAsia" w:ascii="宋体" w:hAnsi="宋体" w:eastAsia="宋体" w:cs="宋体"/>
          <w:b/>
          <w:color w:val="auto"/>
          <w:spacing w:val="0"/>
          <w:kern w:val="2"/>
          <w:sz w:val="24"/>
          <w:szCs w:val="24"/>
          <w:highlight w:val="none"/>
        </w:rPr>
        <w:t>签名盖章。</w:t>
      </w:r>
    </w:p>
    <w:p w14:paraId="797CEDD5">
      <w:pPr>
        <w:keepNext w:val="0"/>
        <w:keepLines w:val="0"/>
        <w:pageBreakBefore w:val="0"/>
        <w:widowControl w:val="0"/>
        <w:tabs>
          <w:tab w:val="left" w:pos="1080"/>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.4使用原件的电子件（电子件指扫描件、照片等形式电子文件），响应文件中应当使用原件的电子件。</w:t>
      </w:r>
    </w:p>
    <w:p w14:paraId="0CA0DF3C">
      <w:pPr>
        <w:keepNext w:val="0"/>
        <w:keepLines w:val="0"/>
        <w:pageBreakBefore w:val="0"/>
        <w:widowControl w:val="0"/>
        <w:tabs>
          <w:tab w:val="left" w:pos="1080"/>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 xml:space="preserve">.5 </w:t>
      </w:r>
      <w:r>
        <w:rPr>
          <w:rFonts w:hint="eastAsia" w:ascii="宋体" w:hAnsi="宋体" w:eastAsia="宋体" w:cs="宋体"/>
          <w:color w:val="auto"/>
          <w:spacing w:val="0"/>
          <w:kern w:val="2"/>
          <w:sz w:val="24"/>
          <w:szCs w:val="24"/>
          <w:highlight w:val="none"/>
          <w:lang w:val="en-US" w:eastAsia="zh-CN"/>
        </w:rPr>
        <w:t>成交</w:t>
      </w:r>
      <w:r>
        <w:rPr>
          <w:rFonts w:hint="eastAsia" w:ascii="宋体" w:hAnsi="宋体" w:eastAsia="宋体" w:cs="宋体"/>
          <w:color w:val="auto"/>
          <w:spacing w:val="0"/>
          <w:kern w:val="2"/>
          <w:sz w:val="24"/>
          <w:szCs w:val="24"/>
          <w:highlight w:val="none"/>
        </w:rPr>
        <w:t>供应商应当按照“供应商须知前附表”规定的份数准备响应文件正本、副本和相应的电子文件。正本和副本封面右上角应清楚地标明“正本”或“副本”字样。当副本和正本有不一致的内容，以正本响应文件为准。</w:t>
      </w:r>
    </w:p>
    <w:p w14:paraId="0E53FF5A">
      <w:pPr>
        <w:keepNext w:val="0"/>
        <w:keepLines w:val="0"/>
        <w:pageBreakBefore w:val="0"/>
        <w:widowControl w:val="0"/>
        <w:tabs>
          <w:tab w:val="left" w:pos="1080"/>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6电子响应文件制作过程中，要求签名盖章的内容，应当通过响应文件编制工具加盖电子签章。需要法定代表人签名的地方，请使用“法人CA锁”进行签章；需要加盖供应商公章的地方，请使用“企业CA锁”进行签章；需要委托代理人人签名的地方，</w:t>
      </w:r>
      <w:r>
        <w:rPr>
          <w:rFonts w:hint="eastAsia" w:ascii="宋体" w:hAnsi="宋体" w:eastAsia="宋体" w:cs="宋体"/>
          <w:color w:val="auto"/>
          <w:spacing w:val="0"/>
          <w:kern w:val="2"/>
          <w:sz w:val="24"/>
          <w:szCs w:val="24"/>
          <w:highlight w:val="none"/>
          <w:lang w:eastAsia="zh-CN"/>
        </w:rPr>
        <w:t>委托人签字或盖章</w:t>
      </w:r>
      <w:r>
        <w:rPr>
          <w:rFonts w:hint="eastAsia" w:ascii="宋体" w:hAnsi="宋体" w:eastAsia="宋体" w:cs="宋体"/>
          <w:color w:val="auto"/>
          <w:spacing w:val="0"/>
          <w:kern w:val="2"/>
          <w:sz w:val="24"/>
          <w:szCs w:val="24"/>
          <w:highlight w:val="none"/>
        </w:rPr>
        <w:t>。</w:t>
      </w:r>
    </w:p>
    <w:p w14:paraId="17ED104E">
      <w:pPr>
        <w:keepNext w:val="0"/>
        <w:keepLines w:val="0"/>
        <w:pageBreakBefore w:val="0"/>
        <w:widowControl w:val="0"/>
        <w:tabs>
          <w:tab w:val="left" w:pos="1080"/>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若导出的PDF文件里看不到签章，请尝试使用专用制作软件中的“查看响应文件工具”打开未加密的电子响应文件重新导出。在制作过程中，如有其他技术性问题，请先翻阅操作手册，或致电软件开发商。</w:t>
      </w:r>
    </w:p>
    <w:p w14:paraId="159183CE">
      <w:pPr>
        <w:keepNext w:val="0"/>
        <w:keepLines w:val="0"/>
        <w:pageBreakBefore w:val="0"/>
        <w:widowControl w:val="0"/>
        <w:tabs>
          <w:tab w:val="left" w:pos="1080"/>
        </w:tabs>
        <w:kinsoku/>
        <w:wordWrap w:val="0"/>
        <w:overflowPunct/>
        <w:topLinePunct/>
        <w:autoSpaceDE/>
        <w:autoSpaceDN/>
        <w:bidi w:val="0"/>
        <w:spacing w:line="360" w:lineRule="auto"/>
        <w:ind w:firstLine="463" w:firstLineChars="192"/>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再次提醒：</w:t>
      </w:r>
    </w:p>
    <w:p w14:paraId="3204BBBE">
      <w:pPr>
        <w:keepNext w:val="0"/>
        <w:keepLines w:val="0"/>
        <w:pageBreakBefore w:val="0"/>
        <w:widowControl w:val="0"/>
        <w:tabs>
          <w:tab w:val="left" w:pos="1080"/>
        </w:tabs>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编制电子响应文件前，务必先做好电子</w:t>
      </w:r>
      <w:r>
        <w:rPr>
          <w:rFonts w:hint="eastAsia" w:ascii="宋体" w:hAnsi="宋体" w:eastAsia="宋体" w:cs="宋体"/>
          <w:b/>
          <w:bCs/>
          <w:color w:val="auto"/>
          <w:spacing w:val="0"/>
          <w:kern w:val="2"/>
          <w:sz w:val="24"/>
          <w:szCs w:val="24"/>
          <w:highlight w:val="none"/>
          <w:lang w:eastAsia="zh-CN"/>
        </w:rPr>
        <w:t>谈判</w:t>
      </w:r>
      <w:r>
        <w:rPr>
          <w:rFonts w:hint="eastAsia" w:ascii="宋体" w:hAnsi="宋体" w:eastAsia="宋体" w:cs="宋体"/>
          <w:b/>
          <w:bCs/>
          <w:color w:val="auto"/>
          <w:spacing w:val="0"/>
          <w:kern w:val="2"/>
          <w:sz w:val="24"/>
          <w:szCs w:val="24"/>
          <w:highlight w:val="none"/>
        </w:rPr>
        <w:t>文件的备份工作。然后按操作手册中给出的方法将电子</w:t>
      </w:r>
      <w:r>
        <w:rPr>
          <w:rFonts w:hint="eastAsia" w:ascii="宋体" w:hAnsi="宋体" w:eastAsia="宋体" w:cs="宋体"/>
          <w:b/>
          <w:bCs/>
          <w:color w:val="auto"/>
          <w:spacing w:val="0"/>
          <w:kern w:val="2"/>
          <w:sz w:val="24"/>
          <w:szCs w:val="24"/>
          <w:highlight w:val="none"/>
          <w:lang w:eastAsia="zh-CN"/>
        </w:rPr>
        <w:t>谈判</w:t>
      </w:r>
      <w:r>
        <w:rPr>
          <w:rFonts w:hint="eastAsia" w:ascii="宋体" w:hAnsi="宋体" w:eastAsia="宋体" w:cs="宋体"/>
          <w:b/>
          <w:bCs/>
          <w:color w:val="auto"/>
          <w:spacing w:val="0"/>
          <w:kern w:val="2"/>
          <w:sz w:val="24"/>
          <w:szCs w:val="24"/>
          <w:highlight w:val="none"/>
        </w:rPr>
        <w:t>文件（*.SXSZF）或答疑文件（*.SXSCF，即更新后的电子</w:t>
      </w:r>
      <w:r>
        <w:rPr>
          <w:rFonts w:hint="eastAsia" w:ascii="宋体" w:hAnsi="宋体" w:eastAsia="宋体" w:cs="宋体"/>
          <w:b/>
          <w:bCs/>
          <w:color w:val="auto"/>
          <w:spacing w:val="0"/>
          <w:kern w:val="2"/>
          <w:sz w:val="24"/>
          <w:szCs w:val="24"/>
          <w:highlight w:val="none"/>
          <w:lang w:eastAsia="zh-CN"/>
        </w:rPr>
        <w:t>谈判</w:t>
      </w:r>
      <w:r>
        <w:rPr>
          <w:rFonts w:hint="eastAsia" w:ascii="宋体" w:hAnsi="宋体" w:eastAsia="宋体" w:cs="宋体"/>
          <w:b/>
          <w:bCs/>
          <w:color w:val="auto"/>
          <w:spacing w:val="0"/>
          <w:kern w:val="2"/>
          <w:sz w:val="24"/>
          <w:szCs w:val="24"/>
          <w:highlight w:val="none"/>
        </w:rPr>
        <w:t>文件）导入制作软件，最后按照章节分别编制响应文件各个部分</w:t>
      </w:r>
    </w:p>
    <w:p w14:paraId="6C19A339">
      <w:pPr>
        <w:keepNext w:val="0"/>
        <w:keepLines w:val="0"/>
        <w:pageBreakBefore w:val="0"/>
        <w:widowControl w:val="0"/>
        <w:tabs>
          <w:tab w:val="left" w:pos="1080"/>
        </w:tabs>
        <w:kinsoku/>
        <w:wordWrap w:val="0"/>
        <w:overflowPunct/>
        <w:topLinePunct/>
        <w:autoSpaceDE/>
        <w:autoSpaceDN/>
        <w:bidi w:val="0"/>
        <w:spacing w:line="360" w:lineRule="auto"/>
        <w:rPr>
          <w:rFonts w:hint="eastAsia" w:ascii="宋体" w:hAnsi="宋体" w:eastAsia="宋体" w:cs="宋体"/>
          <w:bCs/>
          <w:color w:val="auto"/>
          <w:spacing w:val="0"/>
          <w:kern w:val="2"/>
          <w:sz w:val="24"/>
          <w:szCs w:val="24"/>
          <w:highlight w:val="none"/>
        </w:rPr>
      </w:pPr>
      <w:r>
        <w:rPr>
          <w:rFonts w:hint="eastAsia" w:ascii="宋体" w:hAnsi="宋体" w:eastAsia="宋体" w:cs="宋体"/>
          <w:bCs/>
          <w:color w:val="auto"/>
          <w:spacing w:val="0"/>
          <w:kern w:val="2"/>
          <w:sz w:val="24"/>
          <w:szCs w:val="24"/>
          <w:highlight w:val="none"/>
        </w:rPr>
        <w:t>5. 响应文件的提交</w:t>
      </w:r>
    </w:p>
    <w:p w14:paraId="0F0119F2">
      <w:pPr>
        <w:keepNext w:val="0"/>
        <w:keepLines w:val="0"/>
        <w:pageBreakBefore w:val="0"/>
        <w:widowControl w:val="0"/>
        <w:tabs>
          <w:tab w:val="left" w:pos="1080"/>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5.1 响应文件的密封和标记</w:t>
      </w:r>
    </w:p>
    <w:p w14:paraId="2E64DB1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5.1.1本项目使用</w:t>
      </w:r>
      <w:r>
        <w:rPr>
          <w:rFonts w:hint="eastAsia" w:ascii="宋体" w:hAnsi="宋体" w:eastAsia="宋体" w:cs="宋体"/>
          <w:color w:val="auto"/>
          <w:spacing w:val="0"/>
          <w:kern w:val="2"/>
          <w:sz w:val="24"/>
          <w:szCs w:val="24"/>
          <w:highlight w:val="none"/>
          <w:lang w:val="en-US" w:eastAsia="zh-CN"/>
        </w:rPr>
        <w:t>【全国公共资源交易平台（陕西省·宝鸡市）】</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根据</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及交易平台供应商操作手册要求编制、生成并提交电子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w:t>
      </w:r>
    </w:p>
    <w:p w14:paraId="1AF63F2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5.1.2.在生成电子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时，需要使用CA锁对</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进行加密。</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应特别注意加密</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和开标时解密</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应当使用同一CA锁，否则，</w:t>
      </w:r>
      <w:r>
        <w:rPr>
          <w:rFonts w:hint="eastAsia" w:ascii="宋体" w:hAnsi="宋体" w:eastAsia="宋体" w:cs="宋体"/>
          <w:b/>
          <w:color w:val="auto"/>
          <w:spacing w:val="0"/>
          <w:kern w:val="2"/>
          <w:sz w:val="24"/>
          <w:szCs w:val="24"/>
          <w:highlight w:val="none"/>
        </w:rPr>
        <w:t>将会导致解密失败。</w:t>
      </w:r>
    </w:p>
    <w:p w14:paraId="7E6CDA7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5.1.3 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可于提交</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截止时间前任意时段，登录到</w:t>
      </w:r>
      <w:r>
        <w:rPr>
          <w:rFonts w:hint="eastAsia" w:ascii="宋体" w:hAnsi="宋体" w:eastAsia="宋体" w:cs="宋体"/>
          <w:color w:val="auto"/>
          <w:spacing w:val="0"/>
          <w:kern w:val="2"/>
          <w:sz w:val="24"/>
          <w:szCs w:val="24"/>
          <w:highlight w:val="none"/>
          <w:lang w:val="zh-CN"/>
        </w:rPr>
        <w:t>【全国公共资源交易平台（陕西省·宝鸡市）】</w:t>
      </w:r>
      <w:r>
        <w:rPr>
          <w:rFonts w:hint="eastAsia" w:ascii="宋体" w:hAnsi="宋体" w:eastAsia="宋体" w:cs="宋体"/>
          <w:color w:val="auto"/>
          <w:spacing w:val="0"/>
          <w:kern w:val="2"/>
          <w:sz w:val="24"/>
          <w:szCs w:val="24"/>
          <w:highlight w:val="none"/>
        </w:rPr>
        <w:t>〖首页·〉电子交易平台·〉企业端〗，再切换到〖我的项目〗模块下，依次点选〖项目流程·〉项目管理·〉上传响应文件〗，上传加密后的电子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（*.SXSTF）。上传成功后，</w:t>
      </w:r>
      <w:r>
        <w:rPr>
          <w:rFonts w:hint="eastAsia" w:ascii="宋体" w:hAnsi="宋体" w:eastAsia="宋体" w:cs="宋体"/>
          <w:color w:val="auto"/>
          <w:spacing w:val="0"/>
          <w:kern w:val="2"/>
          <w:sz w:val="24"/>
          <w:szCs w:val="24"/>
          <w:highlight w:val="none"/>
          <w:lang w:val="en-US" w:eastAsia="zh-CN"/>
        </w:rPr>
        <w:t>宝鸡市</w:t>
      </w:r>
      <w:r>
        <w:rPr>
          <w:rFonts w:hint="eastAsia" w:ascii="宋体" w:hAnsi="宋体" w:eastAsia="宋体" w:cs="宋体"/>
          <w:color w:val="auto"/>
          <w:spacing w:val="0"/>
          <w:kern w:val="2"/>
          <w:sz w:val="24"/>
          <w:szCs w:val="24"/>
          <w:highlight w:val="none"/>
        </w:rPr>
        <w:t>公共资源交易平台政府采购系统将予以记录。</w:t>
      </w:r>
    </w:p>
    <w:p w14:paraId="4D4E41B1">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5.1.4上传</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有误或需要重新提交的，可先撤销已经上传的</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，然后重新上传新的</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w:t>
      </w:r>
    </w:p>
    <w:p w14:paraId="39C58E2C">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w:t>
      </w:r>
      <w:r>
        <w:rPr>
          <w:rFonts w:hint="eastAsia" w:ascii="宋体" w:hAnsi="宋体" w:eastAsia="宋体" w:cs="宋体"/>
          <w:color w:val="auto"/>
          <w:spacing w:val="0"/>
          <w:kern w:val="2"/>
          <w:sz w:val="24"/>
          <w:szCs w:val="24"/>
          <w:highlight w:val="none"/>
          <w:lang w:val="en-US" w:eastAsia="zh-CN"/>
        </w:rPr>
        <w:t>1</w:t>
      </w:r>
      <w:r>
        <w:rPr>
          <w:rFonts w:hint="eastAsia" w:ascii="宋体" w:hAnsi="宋体" w:eastAsia="宋体" w:cs="宋体"/>
          <w:color w:val="auto"/>
          <w:spacing w:val="0"/>
          <w:kern w:val="2"/>
          <w:sz w:val="24"/>
          <w:szCs w:val="24"/>
          <w:highlight w:val="none"/>
        </w:rPr>
        <w:t>.5采购人及采购代理机构拒绝接受以下任一情况提交的</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w:t>
      </w:r>
    </w:p>
    <w:p w14:paraId="22B6E27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（1）通过电子交易平台以外任何形式提交的；</w:t>
      </w:r>
    </w:p>
    <w:p w14:paraId="69E41A28">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（2）误投的或采用旧版电子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制作的；</w:t>
      </w:r>
    </w:p>
    <w:p w14:paraId="224FFDEB">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（3）逾期提交的。</w:t>
      </w:r>
    </w:p>
    <w:p w14:paraId="36CCC09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5.1.6 </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须知前附表规定</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需提供样品的，</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应按照</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须知前附表规定的时间、地点和要求提交。</w:t>
      </w:r>
    </w:p>
    <w:p w14:paraId="104A3463">
      <w:pPr>
        <w:keepNext w:val="0"/>
        <w:keepLines w:val="0"/>
        <w:pageBreakBefore w:val="0"/>
        <w:widowControl w:val="0"/>
        <w:tabs>
          <w:tab w:val="left" w:pos="1080"/>
        </w:tabs>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5.2 响应文件的提交</w:t>
      </w:r>
    </w:p>
    <w:p w14:paraId="2D94C96E">
      <w:pPr>
        <w:keepNext w:val="0"/>
        <w:keepLines w:val="0"/>
        <w:pageBreakBefore w:val="0"/>
        <w:widowControl w:val="0"/>
        <w:tabs>
          <w:tab w:val="left" w:pos="1095"/>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5.2.1 供应商应在供应商须知前附表规定的提交首次响应文件截止时间前提交响应文件。</w:t>
      </w:r>
    </w:p>
    <w:p w14:paraId="6269F27A">
      <w:pPr>
        <w:keepNext w:val="0"/>
        <w:keepLines w:val="0"/>
        <w:pageBreakBefore w:val="0"/>
        <w:widowControl w:val="0"/>
        <w:tabs>
          <w:tab w:val="left" w:pos="1095"/>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5.2.2 供应商提交首次响应文件地点：见供应商须知前附表。</w:t>
      </w:r>
    </w:p>
    <w:p w14:paraId="6F151856">
      <w:pPr>
        <w:keepNext w:val="0"/>
        <w:keepLines w:val="0"/>
        <w:pageBreakBefore w:val="0"/>
        <w:widowControl w:val="0"/>
        <w:tabs>
          <w:tab w:val="left" w:pos="1095"/>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5.2.3 除供应商须知前附表另有规定外，供应商提交的响应文件不予退还。</w:t>
      </w:r>
    </w:p>
    <w:p w14:paraId="57BBC1ED">
      <w:pPr>
        <w:pStyle w:val="6"/>
        <w:keepNext w:val="0"/>
        <w:keepLines w:val="0"/>
        <w:pageBreakBefore w:val="0"/>
        <w:widowControl w:val="0"/>
        <w:kinsoku/>
        <w:wordWrap w:val="0"/>
        <w:overflowPunct/>
        <w:topLinePunct/>
        <w:autoSpaceDE/>
        <w:autoSpaceDN/>
        <w:bidi w:val="0"/>
        <w:spacing w:line="360" w:lineRule="auto"/>
        <w:ind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5.2.4采购代理机构收到响应文件后，应当如实记载响应文件的送达时间、份数、密封情况和提交人等信息。</w:t>
      </w:r>
    </w:p>
    <w:p w14:paraId="69A3CF3A">
      <w:pPr>
        <w:keepNext w:val="0"/>
        <w:keepLines w:val="0"/>
        <w:pageBreakBefore w:val="0"/>
        <w:widowControl w:val="0"/>
        <w:tabs>
          <w:tab w:val="left" w:pos="851"/>
          <w:tab w:val="left" w:pos="1095"/>
        </w:tabs>
        <w:kinsoku/>
        <w:wordWrap w:val="0"/>
        <w:overflowPunct/>
        <w:topLinePunct/>
        <w:autoSpaceDE/>
        <w:autoSpaceDN/>
        <w:bidi w:val="0"/>
        <w:spacing w:line="360" w:lineRule="auto"/>
        <w:ind w:firstLine="460" w:firstLineChars="19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5.2.5 逾期送达的响应文件，采购代理机构将予以拒收。</w:t>
      </w:r>
    </w:p>
    <w:p w14:paraId="49545C57">
      <w:pPr>
        <w:pStyle w:val="6"/>
        <w:keepNext w:val="0"/>
        <w:keepLines w:val="0"/>
        <w:pageBreakBefore w:val="0"/>
        <w:widowControl w:val="0"/>
        <w:kinsoku/>
        <w:wordWrap w:val="0"/>
        <w:overflowPunct/>
        <w:topLinePunct/>
        <w:autoSpaceDE/>
        <w:autoSpaceDN/>
        <w:bidi w:val="0"/>
        <w:spacing w:line="360" w:lineRule="auto"/>
        <w:ind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5.2.6 本次谈判不接受邮寄的响应文件。</w:t>
      </w:r>
    </w:p>
    <w:p w14:paraId="68CF1873">
      <w:pPr>
        <w:pStyle w:val="6"/>
        <w:keepNext w:val="0"/>
        <w:keepLines w:val="0"/>
        <w:pageBreakBefore w:val="0"/>
        <w:widowControl w:val="0"/>
        <w:kinsoku/>
        <w:wordWrap w:val="0"/>
        <w:overflowPunct/>
        <w:topLinePunct/>
        <w:autoSpaceDE/>
        <w:autoSpaceDN/>
        <w:bidi w:val="0"/>
        <w:spacing w:line="360" w:lineRule="auto"/>
        <w:ind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5.2.7供应商须知前附表规定提供样品的，供应商应当同响应文件一起提交。</w:t>
      </w:r>
    </w:p>
    <w:p w14:paraId="0CDE2532">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b/>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5.3 响应文件的修改和撤回</w:t>
      </w:r>
    </w:p>
    <w:p w14:paraId="3FB8A572">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5.3.1 在本章第5.2.1项规定的提交首次响应文件截止时间前，供应商可以补充、修改或者撤回已提交的响应文件，但应以书面形式通知采购代理机构。</w:t>
      </w:r>
    </w:p>
    <w:p w14:paraId="349264BF">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5.3.2 供应商的补充、修改或者撤回通知书，应由其法定代表人或委托代理人签署并盖单位章。补充、修改或者撤回通知书应按本章第5.1.2项规定进行密封，并在密封袋上标注“响应文件补充、修改”或“响应文件撤回通知”字样，“补充、修改文件”作为响应文件的组成部分。补充、修改内容与响应文件不一致的，以补充、修改的内容为准。</w:t>
      </w:r>
    </w:p>
    <w:p w14:paraId="15D53827">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5.3.3 供应商撤回响应文件的，采购代理机构自收到供应商书面撤回通知之日起5个工作日内退还已收取的谈判保证金。</w:t>
      </w:r>
    </w:p>
    <w:p w14:paraId="19276A6D">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5.3.4 在提交首次响应文件截止时间之后，供应商不得对其提交的响应文件做任何补充、修改或者撤销响应文件。</w:t>
      </w:r>
    </w:p>
    <w:p w14:paraId="5A620334">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6.开启响应文件</w:t>
      </w:r>
    </w:p>
    <w:p w14:paraId="3C6CF9B2">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6.1开启响应文件的时间和地点</w:t>
      </w:r>
    </w:p>
    <w:p w14:paraId="17CDC0F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6.1.1 采购代理机构在</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须知前附表中规定的</w:t>
      </w:r>
      <w:r>
        <w:rPr>
          <w:rFonts w:hint="eastAsia" w:ascii="宋体" w:hAnsi="宋体" w:eastAsia="宋体" w:cs="宋体"/>
          <w:color w:val="auto"/>
          <w:spacing w:val="0"/>
          <w:kern w:val="2"/>
          <w:sz w:val="24"/>
          <w:szCs w:val="24"/>
          <w:highlight w:val="none"/>
          <w:lang w:val="en-US" w:eastAsia="zh-CN"/>
        </w:rPr>
        <w:t>响应</w:t>
      </w:r>
      <w:r>
        <w:rPr>
          <w:rFonts w:hint="eastAsia" w:ascii="宋体" w:hAnsi="宋体" w:eastAsia="宋体" w:cs="宋体"/>
          <w:color w:val="auto"/>
          <w:spacing w:val="0"/>
          <w:kern w:val="2"/>
          <w:sz w:val="24"/>
          <w:szCs w:val="24"/>
          <w:highlight w:val="none"/>
        </w:rPr>
        <w:t>截止时间（开标时间）地点及开标形式进行公开开标</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b/>
          <w:bCs/>
          <w:color w:val="auto"/>
          <w:spacing w:val="0"/>
          <w:kern w:val="2"/>
          <w:sz w:val="24"/>
          <w:szCs w:val="24"/>
          <w:highlight w:val="none"/>
          <w:lang w:val="en-US" w:eastAsia="zh-CN"/>
        </w:rPr>
        <w:t>不见面开标</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，并邀请采购人、所有</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lang w:val="en-US" w:eastAsia="zh-CN"/>
        </w:rPr>
        <w:t>线上</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派代表准时参加并签到以证明其出席。</w:t>
      </w:r>
      <w:r>
        <w:rPr>
          <w:rFonts w:hint="eastAsia" w:ascii="宋体" w:hAnsi="宋体" w:eastAsia="宋体" w:cs="宋体"/>
          <w:color w:val="auto"/>
          <w:spacing w:val="0"/>
          <w:kern w:val="2"/>
          <w:sz w:val="24"/>
          <w:szCs w:val="24"/>
          <w:highlight w:val="none"/>
          <w:lang w:eastAsia="zh-CN"/>
        </w:rPr>
        <w:t>谈判小组成员</w:t>
      </w:r>
      <w:r>
        <w:rPr>
          <w:rFonts w:hint="eastAsia" w:ascii="宋体" w:hAnsi="宋体" w:eastAsia="宋体" w:cs="宋体"/>
          <w:color w:val="auto"/>
          <w:spacing w:val="0"/>
          <w:kern w:val="2"/>
          <w:sz w:val="24"/>
          <w:szCs w:val="24"/>
          <w:highlight w:val="none"/>
        </w:rPr>
        <w:t>不得参加开标活动。</w:t>
      </w:r>
    </w:p>
    <w:p w14:paraId="1BA4DDE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6.1.2本项目（包）使用</w:t>
      </w:r>
      <w:r>
        <w:rPr>
          <w:rFonts w:hint="eastAsia" w:ascii="宋体" w:hAnsi="宋体" w:eastAsia="宋体" w:cs="宋体"/>
          <w:color w:val="auto"/>
          <w:spacing w:val="0"/>
          <w:kern w:val="2"/>
          <w:sz w:val="24"/>
          <w:szCs w:val="24"/>
          <w:highlight w:val="none"/>
          <w:lang w:val="en-US" w:eastAsia="zh-CN"/>
        </w:rPr>
        <w:t>宝鸡</w:t>
      </w:r>
      <w:r>
        <w:rPr>
          <w:rFonts w:hint="eastAsia" w:ascii="宋体" w:hAnsi="宋体" w:eastAsia="宋体" w:cs="宋体"/>
          <w:color w:val="auto"/>
          <w:spacing w:val="0"/>
          <w:kern w:val="2"/>
          <w:sz w:val="24"/>
          <w:szCs w:val="24"/>
          <w:highlight w:val="none"/>
        </w:rPr>
        <w:t>市公共资源交易平台</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不见面系统</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进行开标。开标工作由采购代理机构组织实施，整个过程受同级政府采购监管机构的监督、管理。</w:t>
      </w:r>
    </w:p>
    <w:p w14:paraId="7D17AA9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6.1.3 </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不足3家的，不得开标。</w:t>
      </w:r>
    </w:p>
    <w:p w14:paraId="68966A85">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6.2.2.1本项目的电子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应当在线提交，但开标当日</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的法定代表人（或者负责人）或者其委托代理人仍</w:t>
      </w:r>
      <w:r>
        <w:rPr>
          <w:rFonts w:hint="eastAsia" w:ascii="宋体" w:hAnsi="宋体" w:eastAsia="宋体" w:cs="宋体"/>
          <w:b/>
          <w:bCs/>
          <w:color w:val="auto"/>
          <w:spacing w:val="0"/>
          <w:kern w:val="2"/>
          <w:sz w:val="24"/>
          <w:szCs w:val="24"/>
          <w:highlight w:val="none"/>
          <w:lang w:val="en-US" w:eastAsia="zh-CN"/>
        </w:rPr>
        <w:t>无</w:t>
      </w:r>
      <w:r>
        <w:rPr>
          <w:rFonts w:hint="eastAsia" w:ascii="宋体" w:hAnsi="宋体" w:eastAsia="宋体" w:cs="宋体"/>
          <w:b/>
          <w:bCs/>
          <w:color w:val="auto"/>
          <w:spacing w:val="0"/>
          <w:kern w:val="2"/>
          <w:sz w:val="24"/>
          <w:szCs w:val="24"/>
          <w:highlight w:val="none"/>
        </w:rPr>
        <w:t>需</w:t>
      </w:r>
      <w:r>
        <w:rPr>
          <w:rFonts w:hint="eastAsia" w:ascii="宋体" w:hAnsi="宋体" w:eastAsia="宋体" w:cs="宋体"/>
          <w:color w:val="auto"/>
          <w:spacing w:val="0"/>
          <w:kern w:val="2"/>
          <w:sz w:val="24"/>
          <w:szCs w:val="24"/>
          <w:highlight w:val="none"/>
        </w:rPr>
        <w:t>到达开标现场。</w:t>
      </w:r>
    </w:p>
    <w:p w14:paraId="1E8B0176">
      <w:pPr>
        <w:keepNext w:val="0"/>
        <w:keepLines w:val="0"/>
        <w:pageBreakBefore w:val="0"/>
        <w:widowControl w:val="0"/>
        <w:kinsoku/>
        <w:wordWrap w:val="0"/>
        <w:overflowPunct/>
        <w:topLinePunct/>
        <w:autoSpaceDE/>
        <w:autoSpaceDN/>
        <w:bidi w:val="0"/>
        <w:spacing w:line="480" w:lineRule="exact"/>
        <w:ind w:firstLine="480" w:firstLineChars="200"/>
        <w:rPr>
          <w:rFonts w:hint="eastAsia" w:ascii="宋体" w:hAnsi="宋体" w:eastAsia="宋体" w:cs="宋体"/>
          <w:spacing w:val="0"/>
          <w:kern w:val="2"/>
          <w:highlight w:val="none"/>
        </w:rPr>
      </w:pPr>
      <w:r>
        <w:rPr>
          <w:rFonts w:hint="eastAsia" w:ascii="宋体" w:hAnsi="宋体" w:eastAsia="宋体" w:cs="宋体"/>
          <w:snapToGrid w:val="0"/>
          <w:color w:val="auto"/>
          <w:spacing w:val="0"/>
          <w:kern w:val="2"/>
          <w:sz w:val="24"/>
          <w:szCs w:val="24"/>
          <w:highlight w:val="none"/>
        </w:rPr>
        <w:t>采购代理机构组织</w:t>
      </w:r>
      <w:r>
        <w:rPr>
          <w:rFonts w:hint="eastAsia" w:ascii="宋体" w:hAnsi="宋体" w:eastAsia="宋体" w:cs="宋体"/>
          <w:snapToGrid w:val="0"/>
          <w:color w:val="auto"/>
          <w:spacing w:val="0"/>
          <w:kern w:val="2"/>
          <w:sz w:val="24"/>
          <w:szCs w:val="24"/>
          <w:highlight w:val="none"/>
          <w:lang w:eastAsia="zh-CN"/>
        </w:rPr>
        <w:t>谈判：开标纪律</w:t>
      </w:r>
      <w:r>
        <w:rPr>
          <w:rFonts w:hint="eastAsia" w:ascii="宋体" w:hAnsi="宋体" w:eastAsia="宋体" w:cs="宋体"/>
          <w:snapToGrid w:val="0"/>
          <w:color w:val="auto"/>
          <w:spacing w:val="0"/>
          <w:kern w:val="2"/>
          <w:sz w:val="24"/>
          <w:szCs w:val="24"/>
          <w:highlight w:val="none"/>
        </w:rPr>
        <w:t>、</w:t>
      </w:r>
      <w:r>
        <w:rPr>
          <w:rFonts w:hint="eastAsia" w:ascii="宋体" w:hAnsi="宋体" w:eastAsia="宋体" w:cs="宋体"/>
          <w:snapToGrid w:val="0"/>
          <w:color w:val="auto"/>
          <w:spacing w:val="0"/>
          <w:kern w:val="2"/>
          <w:sz w:val="24"/>
          <w:szCs w:val="24"/>
          <w:highlight w:val="none"/>
          <w:lang w:eastAsia="zh-CN"/>
        </w:rPr>
        <w:t>公布投标人名单、投标文件解密、批量导入、唱标、异议回复、开标结束。进入到</w:t>
      </w:r>
      <w:r>
        <w:rPr>
          <w:rFonts w:hint="eastAsia" w:ascii="宋体" w:hAnsi="宋体" w:eastAsia="宋体" w:cs="宋体"/>
          <w:snapToGrid w:val="0"/>
          <w:color w:val="auto"/>
          <w:spacing w:val="0"/>
          <w:kern w:val="2"/>
          <w:sz w:val="24"/>
          <w:szCs w:val="24"/>
          <w:highlight w:val="none"/>
        </w:rPr>
        <w:t>评审工作，</w:t>
      </w:r>
      <w:r>
        <w:rPr>
          <w:rFonts w:hint="eastAsia" w:ascii="宋体" w:hAnsi="宋体" w:eastAsia="宋体" w:cs="宋体"/>
          <w:snapToGrid w:val="0"/>
          <w:color w:val="auto"/>
          <w:spacing w:val="0"/>
          <w:kern w:val="2"/>
          <w:sz w:val="24"/>
          <w:szCs w:val="24"/>
          <w:highlight w:val="none"/>
          <w:lang w:eastAsia="zh-CN"/>
        </w:rPr>
        <w:t>谈判</w:t>
      </w:r>
      <w:r>
        <w:rPr>
          <w:rFonts w:hint="eastAsia" w:ascii="宋体" w:hAnsi="宋体" w:eastAsia="宋体" w:cs="宋体"/>
          <w:snapToGrid w:val="0"/>
          <w:color w:val="auto"/>
          <w:spacing w:val="0"/>
          <w:kern w:val="2"/>
          <w:sz w:val="24"/>
          <w:szCs w:val="24"/>
          <w:highlight w:val="none"/>
        </w:rPr>
        <w:t>整个过程接受监督部门的监督。</w:t>
      </w:r>
    </w:p>
    <w:p w14:paraId="3B51901D">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6.2.2.2 </w:t>
      </w:r>
      <w:r>
        <w:rPr>
          <w:rFonts w:hint="eastAsia" w:ascii="宋体" w:hAnsi="宋体" w:eastAsia="宋体" w:cs="宋体"/>
          <w:b/>
          <w:color w:val="auto"/>
          <w:spacing w:val="0"/>
          <w:kern w:val="2"/>
          <w:sz w:val="24"/>
          <w:szCs w:val="24"/>
          <w:highlight w:val="none"/>
          <w:lang w:eastAsia="zh-CN"/>
        </w:rPr>
        <w:t>供应商</w:t>
      </w:r>
      <w:r>
        <w:rPr>
          <w:rFonts w:hint="eastAsia" w:ascii="宋体" w:hAnsi="宋体" w:eastAsia="宋体" w:cs="宋体"/>
          <w:b/>
          <w:color w:val="auto"/>
          <w:spacing w:val="0"/>
          <w:kern w:val="2"/>
          <w:sz w:val="24"/>
          <w:szCs w:val="24"/>
          <w:highlight w:val="none"/>
        </w:rPr>
        <w:t>签到：</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应按照</w:t>
      </w:r>
      <w:r>
        <w:rPr>
          <w:rFonts w:hint="eastAsia" w:ascii="宋体" w:hAnsi="宋体" w:eastAsia="宋体" w:cs="宋体"/>
          <w:color w:val="auto"/>
          <w:spacing w:val="0"/>
          <w:kern w:val="2"/>
          <w:sz w:val="24"/>
          <w:szCs w:val="24"/>
          <w:highlight w:val="none"/>
          <w:lang w:val="en-US" w:eastAsia="zh-CN"/>
        </w:rPr>
        <w:t>采购</w:t>
      </w:r>
      <w:r>
        <w:rPr>
          <w:rFonts w:hint="eastAsia" w:ascii="宋体" w:hAnsi="宋体" w:eastAsia="宋体" w:cs="宋体"/>
          <w:color w:val="auto"/>
          <w:spacing w:val="0"/>
          <w:kern w:val="2"/>
          <w:sz w:val="24"/>
          <w:szCs w:val="24"/>
          <w:highlight w:val="none"/>
          <w:lang w:eastAsia="zh-CN"/>
        </w:rPr>
        <w:t>文件</w:t>
      </w:r>
      <w:r>
        <w:rPr>
          <w:rFonts w:hint="eastAsia" w:ascii="宋体" w:hAnsi="宋体" w:eastAsia="宋体" w:cs="宋体"/>
          <w:color w:val="auto"/>
          <w:spacing w:val="0"/>
          <w:kern w:val="2"/>
          <w:sz w:val="24"/>
          <w:szCs w:val="24"/>
          <w:highlight w:val="none"/>
        </w:rPr>
        <w:t>规定的时间</w:t>
      </w:r>
      <w:r>
        <w:rPr>
          <w:rFonts w:hint="eastAsia" w:ascii="宋体" w:hAnsi="宋体" w:eastAsia="宋体" w:cs="宋体"/>
          <w:b/>
          <w:bCs/>
          <w:snapToGrid w:val="0"/>
          <w:color w:val="auto"/>
          <w:spacing w:val="0"/>
          <w:kern w:val="2"/>
          <w:sz w:val="24"/>
          <w:szCs w:val="24"/>
          <w:highlight w:val="none"/>
          <w:lang w:eastAsia="zh-CN"/>
        </w:rPr>
        <w:t>提前进入不见面开标大厅</w:t>
      </w:r>
      <w:r>
        <w:rPr>
          <w:rFonts w:hint="eastAsia" w:ascii="宋体" w:hAnsi="宋体" w:eastAsia="宋体" w:cs="宋体"/>
          <w:color w:val="auto"/>
          <w:spacing w:val="0"/>
          <w:kern w:val="2"/>
          <w:sz w:val="24"/>
          <w:szCs w:val="24"/>
          <w:highlight w:val="none"/>
        </w:rPr>
        <w:t>参加</w:t>
      </w:r>
      <w:r>
        <w:rPr>
          <w:rFonts w:hint="eastAsia" w:ascii="宋体" w:hAnsi="宋体" w:eastAsia="宋体" w:cs="宋体"/>
          <w:color w:val="auto"/>
          <w:spacing w:val="0"/>
          <w:kern w:val="2"/>
          <w:sz w:val="24"/>
          <w:szCs w:val="24"/>
          <w:highlight w:val="none"/>
          <w:lang w:val="en-US" w:eastAsia="zh-CN"/>
        </w:rPr>
        <w:t>线上</w:t>
      </w:r>
      <w:r>
        <w:rPr>
          <w:rFonts w:hint="eastAsia" w:ascii="宋体" w:hAnsi="宋体" w:eastAsia="宋体" w:cs="宋体"/>
          <w:color w:val="auto"/>
          <w:spacing w:val="0"/>
          <w:kern w:val="2"/>
          <w:sz w:val="24"/>
          <w:szCs w:val="24"/>
          <w:highlight w:val="none"/>
        </w:rPr>
        <w:t>开标，并</w:t>
      </w:r>
      <w:r>
        <w:rPr>
          <w:rFonts w:hint="eastAsia" w:ascii="宋体" w:hAnsi="宋体" w:eastAsia="宋体" w:cs="宋体"/>
          <w:color w:val="auto"/>
          <w:spacing w:val="0"/>
          <w:kern w:val="2"/>
          <w:sz w:val="24"/>
          <w:szCs w:val="24"/>
          <w:highlight w:val="none"/>
          <w:lang w:val="en-US" w:eastAsia="zh-CN"/>
        </w:rPr>
        <w:t>线上</w:t>
      </w:r>
      <w:r>
        <w:rPr>
          <w:rFonts w:hint="eastAsia" w:ascii="宋体" w:hAnsi="宋体" w:eastAsia="宋体" w:cs="宋体"/>
          <w:color w:val="auto"/>
          <w:spacing w:val="0"/>
          <w:kern w:val="2"/>
          <w:sz w:val="24"/>
          <w:szCs w:val="24"/>
          <w:highlight w:val="none"/>
        </w:rPr>
        <w:t>签名报到。</w:t>
      </w:r>
    </w:p>
    <w:p w14:paraId="035F4555">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6.2.2.3 </w:t>
      </w:r>
      <w:r>
        <w:rPr>
          <w:rFonts w:hint="eastAsia" w:ascii="宋体" w:hAnsi="宋体" w:eastAsia="宋体" w:cs="宋体"/>
          <w:b/>
          <w:color w:val="auto"/>
          <w:spacing w:val="0"/>
          <w:kern w:val="2"/>
          <w:sz w:val="24"/>
          <w:szCs w:val="24"/>
          <w:highlight w:val="none"/>
        </w:rPr>
        <w:t>主持人宣布开标：</w:t>
      </w:r>
      <w:r>
        <w:rPr>
          <w:rFonts w:hint="eastAsia" w:ascii="宋体" w:hAnsi="宋体" w:eastAsia="宋体" w:cs="宋体"/>
          <w:color w:val="auto"/>
          <w:spacing w:val="0"/>
          <w:kern w:val="2"/>
          <w:sz w:val="24"/>
          <w:szCs w:val="24"/>
          <w:highlight w:val="none"/>
        </w:rPr>
        <w:t>超过提交</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截止时间的，电子交易平台将不再接收任何</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。宣布开标纪律、有关注意事项和介绍参会有关人员。</w:t>
      </w:r>
    </w:p>
    <w:p w14:paraId="2389B019">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6.2.2.4 </w:t>
      </w:r>
      <w:r>
        <w:rPr>
          <w:rFonts w:hint="eastAsia" w:ascii="宋体" w:hAnsi="宋体" w:eastAsia="宋体" w:cs="宋体"/>
          <w:b/>
          <w:color w:val="auto"/>
          <w:spacing w:val="0"/>
          <w:kern w:val="2"/>
          <w:sz w:val="24"/>
          <w:szCs w:val="24"/>
          <w:highlight w:val="none"/>
        </w:rPr>
        <w:t>解密</w:t>
      </w:r>
      <w:r>
        <w:rPr>
          <w:rFonts w:hint="eastAsia" w:ascii="宋体" w:hAnsi="宋体" w:eastAsia="宋体" w:cs="宋体"/>
          <w:b/>
          <w:color w:val="auto"/>
          <w:spacing w:val="0"/>
          <w:kern w:val="2"/>
          <w:sz w:val="24"/>
          <w:szCs w:val="24"/>
          <w:highlight w:val="none"/>
          <w:lang w:eastAsia="zh-CN"/>
        </w:rPr>
        <w:t>响应文件</w:t>
      </w:r>
      <w:r>
        <w:rPr>
          <w:rFonts w:hint="eastAsia" w:ascii="宋体" w:hAnsi="宋体" w:eastAsia="宋体" w:cs="宋体"/>
          <w:b/>
          <w:color w:val="auto"/>
          <w:spacing w:val="0"/>
          <w:kern w:val="2"/>
          <w:sz w:val="24"/>
          <w:szCs w:val="24"/>
          <w:highlight w:val="none"/>
        </w:rPr>
        <w:t>：</w:t>
      </w:r>
      <w:r>
        <w:rPr>
          <w:rFonts w:hint="eastAsia" w:ascii="宋体" w:hAnsi="宋体" w:eastAsia="宋体" w:cs="宋体"/>
          <w:color w:val="auto"/>
          <w:spacing w:val="0"/>
          <w:kern w:val="2"/>
          <w:sz w:val="24"/>
          <w:szCs w:val="24"/>
          <w:highlight w:val="none"/>
        </w:rPr>
        <w:t>在收到主持人“开始解密”指令后，</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应当使用“加密该</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的CA锁（确保是同一把锁）”在</w:t>
      </w:r>
      <w:r>
        <w:rPr>
          <w:rFonts w:hint="eastAsia" w:ascii="宋体" w:hAnsi="宋体" w:eastAsia="宋体" w:cs="宋体"/>
          <w:color w:val="auto"/>
          <w:spacing w:val="0"/>
          <w:kern w:val="2"/>
          <w:sz w:val="24"/>
          <w:szCs w:val="24"/>
          <w:highlight w:val="none"/>
          <w:lang w:val="en-US" w:eastAsia="zh-CN"/>
        </w:rPr>
        <w:t>线上进行</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的解密。</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应在规定的解密时限内完成解密。</w:t>
      </w:r>
    </w:p>
    <w:p w14:paraId="02FA2835">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6.2.2.5</w:t>
      </w:r>
      <w:r>
        <w:rPr>
          <w:rFonts w:hint="eastAsia" w:ascii="宋体" w:hAnsi="宋体" w:eastAsia="宋体" w:cs="宋体"/>
          <w:b/>
          <w:bCs/>
          <w:color w:val="auto"/>
          <w:spacing w:val="0"/>
          <w:kern w:val="2"/>
          <w:sz w:val="24"/>
          <w:szCs w:val="24"/>
          <w:highlight w:val="none"/>
          <w:lang w:val="en-US" w:eastAsia="zh-CN"/>
        </w:rPr>
        <w:t>唱标：</w:t>
      </w:r>
      <w:r>
        <w:rPr>
          <w:rFonts w:hint="eastAsia" w:ascii="宋体" w:hAnsi="宋体" w:eastAsia="宋体" w:cs="宋体"/>
          <w:b w:val="0"/>
          <w:bCs/>
          <w:color w:val="auto"/>
          <w:spacing w:val="0"/>
          <w:kern w:val="2"/>
          <w:sz w:val="24"/>
          <w:szCs w:val="24"/>
          <w:highlight w:val="none"/>
          <w:lang w:eastAsia="zh-CN"/>
        </w:rPr>
        <w:t>谈判</w:t>
      </w:r>
      <w:r>
        <w:rPr>
          <w:rFonts w:hint="eastAsia" w:ascii="宋体" w:hAnsi="宋体" w:eastAsia="宋体" w:cs="宋体"/>
          <w:b w:val="0"/>
          <w:bCs/>
          <w:color w:val="auto"/>
          <w:spacing w:val="0"/>
          <w:kern w:val="2"/>
          <w:sz w:val="24"/>
          <w:szCs w:val="24"/>
          <w:highlight w:val="none"/>
        </w:rPr>
        <w:t>报价不当众宣读。</w:t>
      </w:r>
    </w:p>
    <w:p w14:paraId="477F45E7">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color w:val="auto"/>
          <w:spacing w:val="0"/>
          <w:kern w:val="2"/>
          <w:sz w:val="24"/>
          <w:szCs w:val="24"/>
          <w:highlight w:val="none"/>
        </w:rPr>
        <w:t>6.2.2.6</w:t>
      </w:r>
      <w:r>
        <w:rPr>
          <w:rFonts w:hint="eastAsia" w:ascii="宋体" w:hAnsi="宋体" w:eastAsia="宋体" w:cs="宋体"/>
          <w:b/>
          <w:color w:val="auto"/>
          <w:spacing w:val="0"/>
          <w:kern w:val="2"/>
          <w:sz w:val="24"/>
          <w:szCs w:val="24"/>
          <w:highlight w:val="none"/>
        </w:rPr>
        <w:t>开标结束：</w:t>
      </w:r>
      <w:r>
        <w:rPr>
          <w:rFonts w:hint="eastAsia" w:ascii="宋体" w:hAnsi="宋体" w:eastAsia="宋体" w:cs="宋体"/>
          <w:color w:val="auto"/>
          <w:spacing w:val="0"/>
          <w:kern w:val="2"/>
          <w:sz w:val="24"/>
          <w:szCs w:val="24"/>
          <w:highlight w:val="none"/>
        </w:rPr>
        <w:t>开标结束后进入评标环节，</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应在</w:t>
      </w:r>
      <w:r>
        <w:rPr>
          <w:rFonts w:hint="eastAsia" w:ascii="宋体" w:hAnsi="宋体" w:eastAsia="宋体" w:cs="宋体"/>
          <w:color w:val="auto"/>
          <w:spacing w:val="0"/>
          <w:kern w:val="2"/>
          <w:sz w:val="24"/>
          <w:szCs w:val="24"/>
          <w:highlight w:val="none"/>
          <w:lang w:val="en-US" w:eastAsia="zh-CN"/>
        </w:rPr>
        <w:t>线上</w:t>
      </w:r>
      <w:r>
        <w:rPr>
          <w:rFonts w:hint="eastAsia" w:ascii="宋体" w:hAnsi="宋体" w:eastAsia="宋体" w:cs="宋体"/>
          <w:color w:val="auto"/>
          <w:spacing w:val="0"/>
          <w:kern w:val="2"/>
          <w:sz w:val="24"/>
          <w:szCs w:val="24"/>
          <w:highlight w:val="none"/>
        </w:rPr>
        <w:t>等待，评标期间</w:t>
      </w:r>
      <w:r>
        <w:rPr>
          <w:rFonts w:hint="eastAsia" w:ascii="宋体" w:hAnsi="宋体" w:eastAsia="宋体" w:cs="宋体"/>
          <w:color w:val="auto"/>
          <w:spacing w:val="0"/>
          <w:kern w:val="2"/>
          <w:sz w:val="24"/>
          <w:szCs w:val="24"/>
          <w:highlight w:val="none"/>
          <w:lang w:eastAsia="zh-CN"/>
        </w:rPr>
        <w:t>谈判小组</w:t>
      </w:r>
      <w:r>
        <w:rPr>
          <w:rFonts w:hint="eastAsia" w:ascii="宋体" w:hAnsi="宋体" w:eastAsia="宋体" w:cs="宋体"/>
          <w:color w:val="auto"/>
          <w:spacing w:val="0"/>
          <w:kern w:val="2"/>
          <w:sz w:val="24"/>
          <w:szCs w:val="24"/>
          <w:highlight w:val="none"/>
        </w:rPr>
        <w:t>可能会要求</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做必要的澄清、说明和纠正</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snapToGrid w:val="0"/>
          <w:color w:val="auto"/>
          <w:spacing w:val="0"/>
          <w:kern w:val="2"/>
          <w:sz w:val="24"/>
          <w:szCs w:val="24"/>
          <w:highlight w:val="none"/>
          <w:lang w:eastAsia="zh-CN"/>
        </w:rPr>
        <w:t>等待二次报价</w:t>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snapToGrid w:val="0"/>
          <w:color w:val="auto"/>
          <w:spacing w:val="0"/>
          <w:kern w:val="2"/>
          <w:sz w:val="24"/>
          <w:szCs w:val="24"/>
          <w:highlight w:val="none"/>
          <w:lang w:eastAsia="zh-CN"/>
        </w:rPr>
        <w:t>。</w:t>
      </w:r>
      <w:r>
        <w:rPr>
          <w:rFonts w:hint="eastAsia" w:ascii="宋体" w:hAnsi="宋体" w:eastAsia="宋体" w:cs="宋体"/>
          <w:b/>
          <w:bCs/>
          <w:snapToGrid w:val="0"/>
          <w:color w:val="auto"/>
          <w:spacing w:val="0"/>
          <w:kern w:val="2"/>
          <w:sz w:val="24"/>
          <w:szCs w:val="24"/>
          <w:highlight w:val="none"/>
          <w:lang w:eastAsia="zh-CN"/>
        </w:rPr>
        <w:t>不可退出系统，</w:t>
      </w:r>
      <w:r>
        <w:rPr>
          <w:rFonts w:hint="eastAsia" w:ascii="宋体" w:hAnsi="宋体" w:eastAsia="宋体" w:cs="宋体"/>
          <w:b/>
          <w:bCs/>
          <w:color w:val="auto"/>
          <w:spacing w:val="0"/>
          <w:kern w:val="2"/>
          <w:sz w:val="24"/>
          <w:szCs w:val="24"/>
          <w:highlight w:val="none"/>
        </w:rPr>
        <w:t>因供应商擅自离席造成的不利后果，由</w:t>
      </w:r>
      <w:r>
        <w:rPr>
          <w:rFonts w:hint="eastAsia" w:ascii="宋体" w:hAnsi="宋体" w:eastAsia="宋体" w:cs="宋体"/>
          <w:b/>
          <w:bCs/>
          <w:color w:val="auto"/>
          <w:spacing w:val="0"/>
          <w:kern w:val="2"/>
          <w:sz w:val="24"/>
          <w:szCs w:val="24"/>
          <w:highlight w:val="none"/>
          <w:lang w:eastAsia="zh-CN"/>
        </w:rPr>
        <w:t>供应商</w:t>
      </w:r>
      <w:r>
        <w:rPr>
          <w:rFonts w:hint="eastAsia" w:ascii="宋体" w:hAnsi="宋体" w:eastAsia="宋体" w:cs="宋体"/>
          <w:b/>
          <w:bCs/>
          <w:color w:val="auto"/>
          <w:spacing w:val="0"/>
          <w:kern w:val="2"/>
          <w:sz w:val="24"/>
          <w:szCs w:val="24"/>
          <w:highlight w:val="none"/>
        </w:rPr>
        <w:t>自行承担。</w:t>
      </w:r>
    </w:p>
    <w:p w14:paraId="1DB22627">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6.2.2.7 </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对开标过程有疑义，以及认为采购人、采购代理机构相关工作人员有需要回避情形的，应</w:t>
      </w:r>
      <w:r>
        <w:rPr>
          <w:rFonts w:hint="eastAsia" w:ascii="宋体" w:hAnsi="宋体" w:eastAsia="宋体" w:cs="宋体"/>
          <w:color w:val="auto"/>
          <w:spacing w:val="0"/>
          <w:kern w:val="2"/>
          <w:sz w:val="24"/>
          <w:szCs w:val="24"/>
          <w:highlight w:val="none"/>
          <w:lang w:val="en-US" w:eastAsia="zh-CN"/>
        </w:rPr>
        <w:t>线上</w:t>
      </w:r>
      <w:r>
        <w:rPr>
          <w:rFonts w:hint="eastAsia" w:ascii="宋体" w:hAnsi="宋体" w:eastAsia="宋体" w:cs="宋体"/>
          <w:color w:val="auto"/>
          <w:spacing w:val="0"/>
          <w:kern w:val="2"/>
          <w:sz w:val="24"/>
          <w:szCs w:val="24"/>
          <w:highlight w:val="none"/>
        </w:rPr>
        <w:t>提出询问或者回避申请。采购人、采购代理机构对</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代表提出的询问或者回避申请应当及时处理，并制作记录。</w:t>
      </w:r>
    </w:p>
    <w:p w14:paraId="4849E9FA">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spacing w:val="0"/>
          <w:kern w:val="2"/>
          <w:highlight w:val="none"/>
        </w:rPr>
      </w:pPr>
      <w:r>
        <w:rPr>
          <w:rFonts w:hint="eastAsia" w:ascii="宋体" w:hAnsi="宋体" w:eastAsia="宋体" w:cs="宋体"/>
          <w:b/>
          <w:bCs/>
          <w:color w:val="auto"/>
          <w:spacing w:val="0"/>
          <w:kern w:val="2"/>
          <w:sz w:val="24"/>
          <w:szCs w:val="24"/>
          <w:highlight w:val="none"/>
        </w:rPr>
        <w:t>建议：为顺利实现本项目开评标的远程交互，建议投标人配置较高的硬件设施，包括高配置电脑、高速稳定的网络、电源（不间断）、CA锁、音视频设备（话筒、耳麦、高清摄像头、音响等），使用IE浏览器，且电脑已经正确安装了陕西省公共资源交易平台CA驱动。</w:t>
      </w:r>
    </w:p>
    <w:p w14:paraId="4CED31BF">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 xml:space="preserve">6.2.3  </w:t>
      </w:r>
      <w:r>
        <w:rPr>
          <w:rFonts w:hint="eastAsia" w:ascii="宋体" w:hAnsi="宋体" w:eastAsia="宋体" w:cs="宋体"/>
          <w:color w:val="auto"/>
          <w:spacing w:val="0"/>
          <w:kern w:val="2"/>
          <w:sz w:val="24"/>
          <w:szCs w:val="24"/>
          <w:highlight w:val="none"/>
        </w:rPr>
        <w:t>开标环节</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存在以下情形之一的</w:t>
      </w:r>
      <w:r>
        <w:rPr>
          <w:rFonts w:hint="eastAsia" w:ascii="宋体" w:hAnsi="宋体" w:eastAsia="宋体" w:cs="宋体"/>
          <w:b/>
          <w:color w:val="auto"/>
          <w:spacing w:val="0"/>
          <w:kern w:val="2"/>
          <w:sz w:val="24"/>
          <w:szCs w:val="24"/>
          <w:highlight w:val="none"/>
        </w:rPr>
        <w:t>，其投标无效：</w:t>
      </w:r>
    </w:p>
    <w:p w14:paraId="696B673E">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放弃或拒绝对电子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进行解密的；</w:t>
      </w:r>
    </w:p>
    <w:p w14:paraId="7C064653">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上传的电子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无法正常打开的；</w:t>
      </w:r>
    </w:p>
    <w:p w14:paraId="6C004273">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（3）因</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自身原因，导致未在规定的解密时限内完整解密的（如忘带CA锁、或CA锁与加密文件的CA锁不同、或使用旧版</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编制</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等）；</w:t>
      </w:r>
    </w:p>
    <w:p w14:paraId="53E75E51">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（4）法律法规规定的其他无效情形。</w:t>
      </w:r>
    </w:p>
    <w:p w14:paraId="3805AF78">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6.2.4 突发状况的应急处置</w:t>
      </w:r>
    </w:p>
    <w:p w14:paraId="403D0421">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在开评标过程中，因停电、断网、电子交易系统故障等特殊情况导致电子开标、评标工作无法正常进行的，采购代理机构应当及时向政府采购监管部门报告，并等待指令，是否中止后续采购活动。</w:t>
      </w:r>
    </w:p>
    <w:p w14:paraId="74D0F442">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7.谈判</w:t>
      </w:r>
    </w:p>
    <w:p w14:paraId="3909F06C">
      <w:pPr>
        <w:keepNext w:val="0"/>
        <w:keepLines w:val="0"/>
        <w:pageBreakBefore w:val="0"/>
        <w:widowControl w:val="0"/>
        <w:kinsoku/>
        <w:wordWrap w:val="0"/>
        <w:overflowPunct/>
        <w:topLinePunct/>
        <w:autoSpaceDE/>
        <w:autoSpaceDN/>
        <w:bidi w:val="0"/>
        <w:spacing w:line="360" w:lineRule="auto"/>
        <w:ind w:left="117" w:leftChars="50" w:hanging="12" w:hangingChars="5"/>
        <w:rPr>
          <w:rFonts w:hint="eastAsia" w:ascii="宋体" w:hAnsi="宋体" w:eastAsia="宋体" w:cs="宋体"/>
          <w:color w:val="auto"/>
          <w:spacing w:val="0"/>
          <w:kern w:val="2"/>
          <w:sz w:val="24"/>
          <w:szCs w:val="24"/>
          <w:highlight w:val="none"/>
        </w:rPr>
      </w:pPr>
      <w:r>
        <w:rPr>
          <w:rFonts w:hint="eastAsia" w:ascii="宋体" w:hAnsi="宋体" w:eastAsia="宋体" w:cs="宋体"/>
          <w:b/>
          <w:color w:val="auto"/>
          <w:spacing w:val="0"/>
          <w:kern w:val="2"/>
          <w:sz w:val="24"/>
          <w:szCs w:val="24"/>
          <w:highlight w:val="none"/>
        </w:rPr>
        <w:t>7.1 谈判小组</w:t>
      </w:r>
    </w:p>
    <w:p w14:paraId="0330047A">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7.1.1 谈判由采购代理机构依法组建的谈判小组负责。谈判小组由采购人代表和评审专家组成，成员由3人以上单数组成，或者达到公开招标限额标准的项目由5人以上单数组成，或者采购预算金额在1000万元以上、技术复杂的项目或者社会影响较大的项目由7人以上单数组成，其中评审专家不得少于成员总数的三分之二。</w:t>
      </w:r>
    </w:p>
    <w:p w14:paraId="79199FD4">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7.1.2 评审专家应当从省级财政部门设立的政府采购评审专家库内相关专业的专家名单中随机抽取。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221B5040">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7.1.3 谈判小组成员到位后，推荐一名评审专家担任谈判小组组长，并由谈判小组组长牵头组织本项目谈判工作。采购人代表，不得担任谈判小组组长。</w:t>
      </w:r>
    </w:p>
    <w:p w14:paraId="4974766A">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7.1.4 谈判小组成员有下列情形之一的，应当回避：</w:t>
      </w:r>
    </w:p>
    <w:p w14:paraId="216D1761">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（1）采购人或供应商的主要负责人的近亲属；</w:t>
      </w:r>
    </w:p>
    <w:p w14:paraId="39CB4F1D">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（2）与供应商有经济利益关系，可能影响对响应文件公正评审的；</w:t>
      </w:r>
    </w:p>
    <w:p w14:paraId="4D75783E">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（3）曾因在招标、评审以及其他与招标投标有关活动中从事违法行为而受过行政处罚或刑事处罚的。</w:t>
      </w:r>
    </w:p>
    <w:p w14:paraId="0F7C12A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zh-CN"/>
        </w:rPr>
      </w:pPr>
      <w:r>
        <w:rPr>
          <w:rFonts w:hint="eastAsia" w:ascii="宋体" w:hAnsi="宋体" w:eastAsia="宋体" w:cs="宋体"/>
          <w:color w:val="auto"/>
          <w:spacing w:val="0"/>
          <w:kern w:val="2"/>
          <w:sz w:val="24"/>
          <w:szCs w:val="24"/>
          <w:highlight w:val="none"/>
        </w:rPr>
        <w:t>7.1.5 谈判过程中，因谈判小组成员缺席、回避或者健康等特殊原因导致谈判小组组成不符合规定的，采购代理机构应当依法补足后继续谈判。被更换的谈判小组成员所作出的评审意见无效。无法及时补足谈判小组成员的，采购代理机构应当停止谈判活动，封存所有响应文件和开起响应文件、谈判和评审资料，依法重新组建谈判小组进行谈判。原谈判小组所作出的评审意见无效。</w:t>
      </w:r>
      <w:r>
        <w:rPr>
          <w:rFonts w:hint="eastAsia" w:ascii="宋体" w:hAnsi="宋体" w:eastAsia="宋体" w:cs="宋体"/>
          <w:color w:val="auto"/>
          <w:spacing w:val="0"/>
          <w:kern w:val="2"/>
          <w:sz w:val="24"/>
          <w:szCs w:val="24"/>
          <w:highlight w:val="none"/>
          <w:lang w:val="zh-CN"/>
        </w:rPr>
        <w:t>采购代理机构</w:t>
      </w:r>
      <w:r>
        <w:rPr>
          <w:rFonts w:hint="eastAsia" w:ascii="宋体" w:hAnsi="宋体" w:eastAsia="宋体" w:cs="宋体"/>
          <w:color w:val="auto"/>
          <w:spacing w:val="0"/>
          <w:kern w:val="2"/>
          <w:sz w:val="24"/>
          <w:szCs w:val="24"/>
          <w:highlight w:val="none"/>
        </w:rPr>
        <w:t>应当将变更、重新组建谈判小组的情况予以记录，并随采购文件一并存档。</w:t>
      </w:r>
    </w:p>
    <w:p w14:paraId="4B44184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7.1.6 谈判小组成员名单在成交结果公告前，应当保密。</w:t>
      </w:r>
    </w:p>
    <w:p w14:paraId="377E217C">
      <w:pPr>
        <w:keepNext w:val="0"/>
        <w:keepLines w:val="0"/>
        <w:pageBreakBefore w:val="0"/>
        <w:widowControl w:val="0"/>
        <w:kinsoku/>
        <w:wordWrap w:val="0"/>
        <w:overflowPunct/>
        <w:topLinePunct/>
        <w:autoSpaceDE/>
        <w:autoSpaceDN/>
        <w:bidi w:val="0"/>
        <w:spacing w:line="360" w:lineRule="auto"/>
        <w:ind w:right="51"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7.1.7 谈判小组及其成员，在谈判中不得有下列行为：</w:t>
      </w:r>
    </w:p>
    <w:p w14:paraId="28089CBE">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（1）确定参与谈判至谈判结束前私自接触供应商；</w:t>
      </w:r>
    </w:p>
    <w:p w14:paraId="2B1E1C86">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（2）接受供应商提出的与响应文件不一致的澄清和说明；</w:t>
      </w:r>
    </w:p>
    <w:p w14:paraId="41AEFC4B">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（3）征询采购人的倾向性意见；</w:t>
      </w:r>
    </w:p>
    <w:p w14:paraId="2101742B">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（4）对响应文件协商评审；</w:t>
      </w:r>
    </w:p>
    <w:p w14:paraId="2B2A434D">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（5）对客观评审因素评审不一致；</w:t>
      </w:r>
    </w:p>
    <w:p w14:paraId="28CF518B">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（6）在谈判过程中擅离职守，影响谈判程序正常进行的；</w:t>
      </w:r>
    </w:p>
    <w:p w14:paraId="469EC826">
      <w:pPr>
        <w:pStyle w:val="16"/>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（7）记录、复制或带走任何评审资料；</w:t>
      </w:r>
    </w:p>
    <w:p w14:paraId="433FBEC8">
      <w:pPr>
        <w:keepNext w:val="0"/>
        <w:keepLines w:val="0"/>
        <w:pageBreakBefore w:val="0"/>
        <w:widowControl w:val="0"/>
        <w:kinsoku/>
        <w:wordWrap w:val="0"/>
        <w:overflowPunct/>
        <w:topLinePunct/>
        <w:autoSpaceDE/>
        <w:autoSpaceDN/>
        <w:bidi w:val="0"/>
        <w:spacing w:line="360" w:lineRule="auto"/>
        <w:ind w:firstLine="480" w:firstLineChars="20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（8）其他不遵守评审纪律的行为。</w:t>
      </w:r>
    </w:p>
    <w:p w14:paraId="13E171FA">
      <w:pPr>
        <w:keepNext w:val="0"/>
        <w:keepLines w:val="0"/>
        <w:pageBreakBefore w:val="0"/>
        <w:widowControl w:val="0"/>
        <w:kinsoku/>
        <w:wordWrap w:val="0"/>
        <w:overflowPunct/>
        <w:topLinePunct/>
        <w:autoSpaceDE/>
        <w:autoSpaceDN/>
        <w:bidi w:val="0"/>
        <w:spacing w:line="360" w:lineRule="auto"/>
        <w:ind w:firstLine="480" w:firstLineChars="20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谈判小组成员有前款第一至四项行为之一的，其评审意见无效，并不得获取评审劳务报酬和报销异地评审差旅费。</w:t>
      </w:r>
    </w:p>
    <w:p w14:paraId="3CFE3E1B">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b/>
          <w:color w:val="auto"/>
          <w:spacing w:val="0"/>
          <w:kern w:val="2"/>
          <w:sz w:val="24"/>
          <w:szCs w:val="24"/>
          <w:highlight w:val="none"/>
        </w:rPr>
        <w:t>7.2 谈判原则</w:t>
      </w:r>
    </w:p>
    <w:p w14:paraId="2E7CDB37">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7.2.1“客观、公正、审慎”为本次谈判的基本原则，谈判小组按照这一原则的要求，公正、平等地对待各供应商。同时，在谈判中恪守以下原则：</w:t>
      </w:r>
    </w:p>
    <w:p w14:paraId="5A133F53">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（1）统一性原则：谈判小组将按照统一的谈判原则和方法，用统一标准进行评审。</w:t>
      </w:r>
    </w:p>
    <w:p w14:paraId="17B96AEE">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（2）独立性原则</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谈判工作在谈判小组内部独立进行，不受外界任何因素的干扰和影响。谈判小组成员对其出具的意见承担个人责任。供应商试图影响或干预评审的任何行为，将导致其丧失谈判的资格，并承担相应的法律责任。</w:t>
      </w:r>
    </w:p>
    <w:p w14:paraId="6F34B0C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（3）物有所值原则：通过首轮的谈判报价，激发供应商展开竞争，进一步优化方案，并使报价符合预期目标。</w:t>
      </w:r>
    </w:p>
    <w:p w14:paraId="562F0C15">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（4）客观性原则：谈判小组将严格按照谈判文件要求，对供应商的响应文件进行认真评审；谈判小组对响应文件的评审仅依据响应文件本身，而不依据响应文件以外的任何因素。</w:t>
      </w:r>
    </w:p>
    <w:p w14:paraId="593C4A78">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（5）保密性原则：采购代理机构应当采取必要的措施，保证评审在严格保密情况下进行。</w:t>
      </w:r>
    </w:p>
    <w:p w14:paraId="3B2C58C1">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70" w:firstLineChars="1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（6）综合性原则:谈判小组将综合分析、评审供应商的各项指标，而不以单项指标的优劣评定出成交供应商。</w:t>
      </w:r>
    </w:p>
    <w:p w14:paraId="797E858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7.2.2 谈判小组有权对整个谈判和评审过程中出现的所有问题，可根据《中华人民共和国政府采购法》及实施条例和《政府采购非招标采购方式管理办法》（财政部74号令）等相关规定进行处理。</w:t>
      </w:r>
    </w:p>
    <w:p w14:paraId="0BFE8341">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7.3谈判</w:t>
      </w:r>
    </w:p>
    <w:p w14:paraId="6A4693A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7.3.1 谈判小组根据谈判文件第四章“谈判办法”规定的方法、评审因素、标准和程序，在与单一供应商进行反复谈判的基础上，对其响应文件进行评审。第四章“谈判办法”没有规定的方法、评审因素和标准，不作为评审依据。</w:t>
      </w:r>
    </w:p>
    <w:p w14:paraId="5504686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7.3.2 谈判小组负责具体谈判事务，并独立履行下列职责：</w:t>
      </w:r>
    </w:p>
    <w:p w14:paraId="0A06456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（1）确认谈判文件；</w:t>
      </w:r>
    </w:p>
    <w:p w14:paraId="02A5EFB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（2）从符合相应资格条件的供应商名单中确定不少于3家的供应商参加谈判；</w:t>
      </w:r>
    </w:p>
    <w:p w14:paraId="5AF8F84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（3）审查供应商的响应文件并作出评价；</w:t>
      </w:r>
    </w:p>
    <w:p w14:paraId="5C9DD59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（4）要求供应商澄清或者说明其响应文件；</w:t>
      </w:r>
    </w:p>
    <w:p w14:paraId="7BDFCE7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（5）与合格的供应商分别就技术和商务事务进行谈判；</w:t>
      </w:r>
    </w:p>
    <w:p w14:paraId="1A91DEE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（6）推荐成交候选人名单，或者根据采购人委托直接确定成交供应商，并编写评审报告；</w:t>
      </w:r>
    </w:p>
    <w:p w14:paraId="5548C4B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（7）向采购人、采购代理机构或者有关部门报告非法干预谈判工作的行为。</w:t>
      </w:r>
    </w:p>
    <w:p w14:paraId="6A44757D">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7.3.3谈判小组成员应当履行下列义务：</w:t>
      </w:r>
    </w:p>
    <w:p w14:paraId="4F083060">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（1）遵纪守法，客观、公正、廉洁地履行职责；</w:t>
      </w:r>
    </w:p>
    <w:p w14:paraId="2810F36C">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（2）根据采购文件的规定独立进行评审，对个人的评审意见承担法律责任；</w:t>
      </w:r>
    </w:p>
    <w:p w14:paraId="3DA8D7C6">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（3）参与评审报告的起草；</w:t>
      </w:r>
    </w:p>
    <w:p w14:paraId="5FED23CE">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（4）配合采购人、采购代理机构答复供应商提出的质疑；</w:t>
      </w:r>
    </w:p>
    <w:p w14:paraId="35A3797F">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（5）配合财政部门的投诉处理和监督检查工作。</w:t>
      </w:r>
    </w:p>
    <w:p w14:paraId="27B517CF">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7.3.4 采购代理机构负责组织谈判工作并履行下列职责：</w:t>
      </w:r>
    </w:p>
    <w:p w14:paraId="4A41B572">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（1）核对评审专家身份和采购人代表授权函，对评审专家在政府采购活动中的职责履行情况予以记录，并及时将有关违法违规行为向财政部门报告；</w:t>
      </w:r>
    </w:p>
    <w:p w14:paraId="1B8076D5">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（2）宣布谈判纪律和开启录音录像设备；</w:t>
      </w:r>
    </w:p>
    <w:p w14:paraId="19501915">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（3）公布提交了响应文件的供应商名单，告知评审专家应当回避的情形；</w:t>
      </w:r>
    </w:p>
    <w:p w14:paraId="65348A71">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（4）组织谈判小组成员推选谈判小组组长，采购人代表不得担任组长；</w:t>
      </w:r>
    </w:p>
    <w:p w14:paraId="1EAC128E">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（5）在谈判期间采取必要的通讯管理措施，保证谈判活动不受外界干扰；</w:t>
      </w:r>
    </w:p>
    <w:p w14:paraId="0B99F140">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（6）根据谈判小组的要求介绍政府采购相关政策法规、谈判文件；</w:t>
      </w:r>
    </w:p>
    <w:p w14:paraId="671CE30E">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（7）维护谈判秩序，监督谈判小组依照谈判文件规定的谈判程序、评审方法和标准进行独立评审，对采购人代表、谈判小组成员的倾向性言论或违法违规行为及时制止和纠正；</w:t>
      </w:r>
    </w:p>
    <w:p w14:paraId="06FBD159">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（8）核对评审结果，存在《政府采购非招标采购方式管理办法》（财政部74号令）第二十一条规定情形的，要求谈判小组复核或书面说明理由，谈判小组拒绝的，应予记录并向采购人本级财政部门报告；</w:t>
      </w:r>
    </w:p>
    <w:p w14:paraId="606E3D48">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（9）谈判工作完成后，按照规定向评审专家支付劳务报酬和异地评审差旅费，不得向评审专家以外的其他人员支付评审劳务报酬；</w:t>
      </w:r>
    </w:p>
    <w:p w14:paraId="3A853A14">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（10）处理与谈判有关的其他事项。</w:t>
      </w:r>
    </w:p>
    <w:p w14:paraId="6BD767FA">
      <w:pPr>
        <w:keepNext w:val="0"/>
        <w:keepLines w:val="0"/>
        <w:pageBreakBefore w:val="0"/>
        <w:widowControl w:val="0"/>
        <w:kinsoku/>
        <w:wordWrap w:val="0"/>
        <w:overflowPunct/>
        <w:topLinePunct/>
        <w:autoSpaceDE/>
        <w:autoSpaceDN/>
        <w:bidi w:val="0"/>
        <w:spacing w:line="360" w:lineRule="auto"/>
        <w:ind w:firstLine="504" w:firstLineChars="21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7.3.5 采购人可以在谈判前介绍项目背景和采购需求，介绍内容不得含有歧视性、倾向性意见，不得超出谈判文件所述范围。介绍应当提交书面介绍材料，并随采购文件一并存档。</w:t>
      </w:r>
    </w:p>
    <w:p w14:paraId="5A35E72C">
      <w:pPr>
        <w:keepNext w:val="0"/>
        <w:keepLines w:val="0"/>
        <w:pageBreakBefore w:val="0"/>
        <w:widowControl w:val="0"/>
        <w:kinsoku/>
        <w:wordWrap w:val="0"/>
        <w:overflowPunct/>
        <w:topLinePunct/>
        <w:autoSpaceDE/>
        <w:autoSpaceDN/>
        <w:bidi w:val="0"/>
        <w:spacing w:line="360" w:lineRule="auto"/>
        <w:ind w:left="120" w:leftChars="57"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7.3.6 谈判过程严格保密</w:t>
      </w:r>
    </w:p>
    <w:p w14:paraId="32CA0991">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7.3.6.1 采购人、采购代理机构应当采取必要措施，保证谈判在严格保密的情况下进行。除采购人代表、谈判现场组织人员外，采购人的其他工作人员以及与谈判工作无关的人员不得进入谈判现场。</w:t>
      </w:r>
    </w:p>
    <w:p w14:paraId="4BAEFA52">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7.3.6.2 有关人员对谈判情况以及在谈判过程中获悉的国家秘密、商业秘密负有保密责任。开启响应文件后，直至授予成交供应商合同为止，凡属于对响应文件的审查、澄清、评价和比较的有关资料以及成交候选人的推荐情况，与谈判有关的其他任何情况均严格保密。</w:t>
      </w:r>
    </w:p>
    <w:p w14:paraId="230EB912">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7.3.7 供应商对谈判小组的谈判过程或合同授予决定施加影响的任何行为都可能导致其响应文件无效。</w:t>
      </w:r>
    </w:p>
    <w:p w14:paraId="18A166A0">
      <w:pPr>
        <w:keepNext w:val="0"/>
        <w:keepLines w:val="0"/>
        <w:pageBreakBefore w:val="0"/>
        <w:widowControl w:val="0"/>
        <w:tabs>
          <w:tab w:val="left" w:pos="426"/>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7.3.8谈判完成后，谈判小组应当向采购人提交书面评审报告，并由采购代理机构转送。</w:t>
      </w:r>
    </w:p>
    <w:p w14:paraId="0D6F413F">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w:t>
      </w:r>
      <w:bookmarkStart w:id="36" w:name="_Toc217446061"/>
      <w:r>
        <w:rPr>
          <w:rFonts w:hint="eastAsia" w:ascii="宋体" w:hAnsi="宋体" w:eastAsia="宋体" w:cs="宋体"/>
          <w:color w:val="auto"/>
          <w:spacing w:val="0"/>
          <w:kern w:val="2"/>
          <w:sz w:val="24"/>
          <w:szCs w:val="24"/>
          <w:highlight w:val="none"/>
        </w:rPr>
        <w:t>.确定成交供应商</w:t>
      </w:r>
    </w:p>
    <w:p w14:paraId="1C4D802D">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8.1确定成交供应商原则</w:t>
      </w:r>
      <w:bookmarkEnd w:id="36"/>
    </w:p>
    <w:p w14:paraId="7BD03657">
      <w:pPr>
        <w:keepNext w:val="0"/>
        <w:keepLines w:val="0"/>
        <w:pageBreakBefore w:val="0"/>
        <w:widowControl w:val="0"/>
        <w:kinsoku/>
        <w:wordWrap w:val="0"/>
        <w:overflowPunct/>
        <w:topLinePunct/>
        <w:autoSpaceDE/>
        <w:autoSpaceDN/>
        <w:bidi w:val="0"/>
        <w:spacing w:line="360" w:lineRule="auto"/>
        <w:ind w:firstLine="470" w:firstLineChars="196"/>
        <w:rPr>
          <w:rFonts w:hint="eastAsia" w:ascii="宋体" w:hAnsi="宋体" w:eastAsia="宋体" w:cs="宋体"/>
          <w:color w:val="auto"/>
          <w:spacing w:val="0"/>
          <w:kern w:val="2"/>
          <w:sz w:val="24"/>
          <w:szCs w:val="24"/>
          <w:highlight w:val="none"/>
        </w:rPr>
      </w:pPr>
      <w:bookmarkStart w:id="37" w:name="_Toc217446062"/>
      <w:r>
        <w:rPr>
          <w:rFonts w:hint="eastAsia" w:ascii="宋体" w:hAnsi="宋体" w:eastAsia="宋体" w:cs="宋体"/>
          <w:color w:val="auto"/>
          <w:spacing w:val="0"/>
          <w:kern w:val="2"/>
          <w:sz w:val="24"/>
          <w:szCs w:val="24"/>
          <w:highlight w:val="none"/>
        </w:rPr>
        <w:t>采购人或其授权的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小组按照评审报告中提出的成交候人中，按</w:t>
      </w:r>
      <w:r>
        <w:rPr>
          <w:rFonts w:hint="eastAsia" w:ascii="宋体" w:hAnsi="宋体" w:eastAsia="宋体" w:cs="宋体"/>
          <w:color w:val="auto"/>
          <w:spacing w:val="0"/>
          <w:kern w:val="2"/>
          <w:sz w:val="24"/>
          <w:szCs w:val="24"/>
          <w:highlight w:val="none"/>
          <w:lang w:val="en-US" w:eastAsia="zh-CN"/>
        </w:rPr>
        <w:t>最终报价</w:t>
      </w:r>
      <w:r>
        <w:rPr>
          <w:rFonts w:hint="eastAsia" w:ascii="宋体" w:hAnsi="宋体" w:eastAsia="宋体" w:cs="宋体"/>
          <w:color w:val="auto"/>
          <w:spacing w:val="0"/>
          <w:kern w:val="2"/>
          <w:sz w:val="24"/>
          <w:szCs w:val="24"/>
          <w:highlight w:val="none"/>
        </w:rPr>
        <w:t>由</w:t>
      </w:r>
      <w:r>
        <w:rPr>
          <w:rFonts w:hint="eastAsia" w:ascii="宋体" w:hAnsi="宋体" w:eastAsia="宋体" w:cs="宋体"/>
          <w:color w:val="auto"/>
          <w:spacing w:val="0"/>
          <w:kern w:val="2"/>
          <w:sz w:val="24"/>
          <w:szCs w:val="24"/>
          <w:highlight w:val="none"/>
          <w:lang w:val="en-US" w:eastAsia="zh-CN"/>
        </w:rPr>
        <w:t>低</w:t>
      </w:r>
      <w:r>
        <w:rPr>
          <w:rFonts w:hint="eastAsia" w:ascii="宋体" w:hAnsi="宋体" w:eastAsia="宋体" w:cs="宋体"/>
          <w:color w:val="auto"/>
          <w:spacing w:val="0"/>
          <w:kern w:val="2"/>
          <w:sz w:val="24"/>
          <w:szCs w:val="24"/>
          <w:highlight w:val="none"/>
        </w:rPr>
        <w:t>到</w:t>
      </w:r>
      <w:r>
        <w:rPr>
          <w:rFonts w:hint="eastAsia" w:ascii="宋体" w:hAnsi="宋体" w:eastAsia="宋体" w:cs="宋体"/>
          <w:color w:val="auto"/>
          <w:spacing w:val="0"/>
          <w:kern w:val="2"/>
          <w:sz w:val="24"/>
          <w:szCs w:val="24"/>
          <w:highlight w:val="none"/>
          <w:lang w:val="en-US" w:eastAsia="zh-CN"/>
        </w:rPr>
        <w:t>高</w:t>
      </w:r>
      <w:r>
        <w:rPr>
          <w:rFonts w:hint="eastAsia" w:ascii="宋体" w:hAnsi="宋体" w:eastAsia="宋体" w:cs="宋体"/>
          <w:color w:val="auto"/>
          <w:spacing w:val="0"/>
          <w:kern w:val="2"/>
          <w:sz w:val="24"/>
          <w:szCs w:val="24"/>
          <w:highlight w:val="none"/>
        </w:rPr>
        <w:t>的原则确定成交供应商。</w:t>
      </w:r>
    </w:p>
    <w:p w14:paraId="746CE0AC">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8.2 确定成交供应商程序</w:t>
      </w:r>
      <w:bookmarkEnd w:id="37"/>
    </w:p>
    <w:p w14:paraId="53FCC18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8.2.1 谈判小组从质量和服务均能满足采购文件实质性响应要求的供应商所提交的最后报价</w:t>
      </w:r>
      <w:r>
        <w:rPr>
          <w:rFonts w:hint="eastAsia" w:ascii="宋体" w:hAnsi="宋体" w:eastAsia="宋体" w:cs="宋体"/>
          <w:color w:val="auto"/>
          <w:spacing w:val="0"/>
          <w:kern w:val="2"/>
          <w:sz w:val="24"/>
          <w:szCs w:val="24"/>
          <w:highlight w:val="none"/>
          <w:lang w:val="en-US" w:eastAsia="zh-CN"/>
        </w:rPr>
        <w:t>比较</w:t>
      </w:r>
      <w:r>
        <w:rPr>
          <w:rFonts w:hint="eastAsia" w:ascii="宋体" w:hAnsi="宋体" w:eastAsia="宋体" w:cs="宋体"/>
          <w:color w:val="auto"/>
          <w:spacing w:val="0"/>
          <w:kern w:val="2"/>
          <w:sz w:val="24"/>
          <w:szCs w:val="24"/>
          <w:highlight w:val="none"/>
        </w:rPr>
        <w:t>，并依据</w:t>
      </w:r>
      <w:r>
        <w:rPr>
          <w:rFonts w:hint="eastAsia" w:ascii="宋体" w:hAnsi="宋体" w:eastAsia="宋体" w:cs="宋体"/>
          <w:color w:val="auto"/>
          <w:spacing w:val="0"/>
          <w:kern w:val="2"/>
          <w:sz w:val="24"/>
          <w:szCs w:val="24"/>
          <w:highlight w:val="none"/>
          <w:lang w:val="en-US" w:eastAsia="zh-CN"/>
        </w:rPr>
        <w:t>最终</w:t>
      </w:r>
      <w:r>
        <w:rPr>
          <w:rFonts w:hint="eastAsia" w:ascii="宋体" w:hAnsi="宋体" w:eastAsia="宋体" w:cs="宋体"/>
          <w:b/>
          <w:bCs/>
          <w:color w:val="auto"/>
          <w:spacing w:val="0"/>
          <w:kern w:val="2"/>
          <w:sz w:val="24"/>
          <w:szCs w:val="24"/>
          <w:highlight w:val="none"/>
        </w:rPr>
        <w:t>价格按照由低到高</w:t>
      </w:r>
      <w:r>
        <w:rPr>
          <w:rFonts w:hint="eastAsia" w:ascii="宋体" w:hAnsi="宋体" w:eastAsia="宋体" w:cs="宋体"/>
          <w:color w:val="auto"/>
          <w:spacing w:val="0"/>
          <w:kern w:val="2"/>
          <w:sz w:val="24"/>
          <w:szCs w:val="24"/>
          <w:highlight w:val="none"/>
        </w:rPr>
        <w:t>的顺序提出3名以上成交候选人。</w:t>
      </w:r>
    </w:p>
    <w:p w14:paraId="4D86691C">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若供应商的最后报价相同的，按技术</w:t>
      </w:r>
      <w:r>
        <w:rPr>
          <w:rFonts w:hint="eastAsia" w:ascii="宋体" w:hAnsi="宋体" w:eastAsia="宋体" w:cs="宋体"/>
          <w:color w:val="auto"/>
          <w:spacing w:val="0"/>
          <w:kern w:val="2"/>
          <w:sz w:val="24"/>
          <w:szCs w:val="24"/>
          <w:highlight w:val="none"/>
          <w:lang w:val="en-US" w:eastAsia="zh-CN"/>
        </w:rPr>
        <w:t>要求</w:t>
      </w:r>
      <w:r>
        <w:rPr>
          <w:rFonts w:hint="eastAsia" w:ascii="宋体" w:hAnsi="宋体" w:eastAsia="宋体" w:cs="宋体"/>
          <w:color w:val="auto"/>
          <w:spacing w:val="0"/>
          <w:kern w:val="2"/>
          <w:sz w:val="24"/>
          <w:szCs w:val="24"/>
          <w:highlight w:val="none"/>
        </w:rPr>
        <w:t>参数（条款）的优劣确定成交人；报价相同，技术</w:t>
      </w:r>
      <w:r>
        <w:rPr>
          <w:rFonts w:hint="eastAsia" w:ascii="宋体" w:hAnsi="宋体" w:eastAsia="宋体" w:cs="宋体"/>
          <w:color w:val="auto"/>
          <w:spacing w:val="0"/>
          <w:kern w:val="2"/>
          <w:sz w:val="24"/>
          <w:szCs w:val="24"/>
          <w:highlight w:val="none"/>
          <w:lang w:val="en-US" w:eastAsia="zh-CN"/>
        </w:rPr>
        <w:t>要求</w:t>
      </w:r>
      <w:r>
        <w:rPr>
          <w:rFonts w:hint="eastAsia" w:ascii="宋体" w:hAnsi="宋体" w:eastAsia="宋体" w:cs="宋体"/>
          <w:color w:val="auto"/>
          <w:spacing w:val="0"/>
          <w:kern w:val="2"/>
          <w:sz w:val="24"/>
          <w:szCs w:val="24"/>
          <w:highlight w:val="none"/>
        </w:rPr>
        <w:t>参数（条款）也相同的，按商务条款优劣确定成交人；报价相同，且技术和商务相同或不具有可比性则在相同报价供应商中以抽签形式确定成交人。</w:t>
      </w:r>
    </w:p>
    <w:p w14:paraId="3DA1A78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8.2.2 采购代理机构在评审结束后2个工作日内将评审报告送采购人确认。</w:t>
      </w:r>
    </w:p>
    <w:p w14:paraId="43AC1D4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8.2.3 采购人应当在收到评审报告后5个工作日内，按照评审报告中推荐的成交候选人中，按照</w:t>
      </w:r>
      <w:r>
        <w:rPr>
          <w:rFonts w:hint="eastAsia" w:ascii="宋体" w:hAnsi="宋体" w:eastAsia="宋体" w:cs="宋体"/>
          <w:color w:val="auto"/>
          <w:spacing w:val="0"/>
          <w:kern w:val="2"/>
          <w:sz w:val="24"/>
          <w:szCs w:val="24"/>
          <w:highlight w:val="none"/>
          <w:lang w:val="en-US" w:eastAsia="zh-CN"/>
        </w:rPr>
        <w:t>最终报价由低到高顺序</w:t>
      </w:r>
      <w:r>
        <w:rPr>
          <w:rFonts w:hint="eastAsia" w:ascii="宋体" w:hAnsi="宋体" w:eastAsia="宋体" w:cs="宋体"/>
          <w:color w:val="auto"/>
          <w:spacing w:val="0"/>
          <w:kern w:val="2"/>
          <w:sz w:val="24"/>
          <w:szCs w:val="24"/>
          <w:highlight w:val="none"/>
        </w:rPr>
        <w:t>确定成交供应商。同时，将确定成交供应商的结果复函至采购代理机构。</w:t>
      </w:r>
    </w:p>
    <w:p w14:paraId="52E65A5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采购人逾期未确定成交供应商，且不提出异议的，视同确定评审报告提出的排名第一的成交候选人为成交供应商。</w:t>
      </w:r>
    </w:p>
    <w:p w14:paraId="69B1B1B2">
      <w:pPr>
        <w:keepNext w:val="0"/>
        <w:keepLines w:val="0"/>
        <w:pageBreakBefore w:val="0"/>
        <w:widowControl w:val="0"/>
        <w:kinsoku/>
        <w:wordWrap w:val="0"/>
        <w:overflowPunct/>
        <w:topLinePunct/>
        <w:autoSpaceDE/>
        <w:autoSpaceDN/>
        <w:bidi w:val="0"/>
        <w:spacing w:line="360" w:lineRule="auto"/>
        <w:ind w:firstLine="540" w:firstLineChars="225"/>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8.2.4采购代理机构应当在接到采购人“定标”复函之日起2个工作日内，根据采购人确定的成交供应商，在省级以上财政部门指定的媒体上公告成交结果，谈判文件应当随成交结果同时公告；成交供应商的《中小企业声明函》或者《残疾人福利性单位声明函》</w:t>
      </w:r>
      <w:r>
        <w:rPr>
          <w:rFonts w:hint="eastAsia" w:ascii="宋体" w:hAnsi="宋体" w:eastAsia="宋体" w:cs="宋体"/>
          <w:color w:val="auto"/>
          <w:spacing w:val="0"/>
          <w:kern w:val="2"/>
          <w:sz w:val="24"/>
          <w:szCs w:val="24"/>
          <w:highlight w:val="none"/>
          <w:lang w:val="en-US" w:eastAsia="zh-CN"/>
        </w:rPr>
        <w:t>或者</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监狱企业</w:t>
      </w:r>
      <w:r>
        <w:rPr>
          <w:rFonts w:hint="eastAsia" w:ascii="宋体" w:hAnsi="宋体" w:eastAsia="宋体" w:cs="宋体"/>
          <w:color w:val="auto"/>
          <w:spacing w:val="0"/>
          <w:kern w:val="2"/>
          <w:sz w:val="24"/>
          <w:szCs w:val="24"/>
          <w:highlight w:val="none"/>
        </w:rPr>
        <w:t>》也应随成交结果同时公告。</w:t>
      </w:r>
    </w:p>
    <w:p w14:paraId="47026253">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8.3 成交通知书</w:t>
      </w:r>
    </w:p>
    <w:p w14:paraId="41C5D8AA">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8.3</w:t>
      </w:r>
      <w:r>
        <w:rPr>
          <w:rFonts w:hint="eastAsia" w:ascii="宋体" w:hAnsi="宋体" w:eastAsia="宋体" w:cs="宋体"/>
          <w:b/>
          <w:bCs/>
          <w:color w:val="auto"/>
          <w:spacing w:val="0"/>
          <w:kern w:val="2"/>
          <w:sz w:val="24"/>
          <w:szCs w:val="24"/>
          <w:highlight w:val="none"/>
        </w:rPr>
        <w:t>.</w:t>
      </w:r>
      <w:r>
        <w:rPr>
          <w:rFonts w:hint="eastAsia" w:ascii="宋体" w:hAnsi="宋体" w:eastAsia="宋体" w:cs="宋体"/>
          <w:color w:val="auto"/>
          <w:spacing w:val="0"/>
          <w:kern w:val="2"/>
          <w:sz w:val="24"/>
          <w:szCs w:val="24"/>
          <w:highlight w:val="none"/>
        </w:rPr>
        <w:t>1 成交通知书为签订政府采购合同的依据之一，是合同的有效组成部分。</w:t>
      </w:r>
    </w:p>
    <w:p w14:paraId="0EC16B28">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8.3.2 成交通知书对采购人和成交供应商均具有法律效力。成交通知书发出后，采购人不得违法改变成交结果，成交供应商无正当理由不得放弃成交资格。否则，应当承担相应的法律责任。</w:t>
      </w:r>
    </w:p>
    <w:p w14:paraId="6E41FAC5">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8.3.3 成交供应商应当在接到采购代理机构通知之日起2个工作日内领取《成交通知书》。</w:t>
      </w:r>
    </w:p>
    <w:p w14:paraId="31EEA90D">
      <w:pPr>
        <w:keepNext w:val="0"/>
        <w:keepLines w:val="0"/>
        <w:pageBreakBefore w:val="0"/>
        <w:widowControl w:val="0"/>
        <w:tabs>
          <w:tab w:val="left" w:pos="7665"/>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8.3.4 在《成交通知书》发出后，发现成交供应商有政府采购法律法规规章制度规定的成交无效情形的，采购代理机构应当宣布发出的成交通知书无效，并收回已发出的成交通知书（成交供应商也应当交回），依法重新确定成交供应商或者重新开展采购活动，同时向同级财政部门报告。</w:t>
      </w:r>
    </w:p>
    <w:p w14:paraId="2A9FA052">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9.合同授予</w:t>
      </w:r>
    </w:p>
    <w:p w14:paraId="53CBD660">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9.1 履约保证金</w:t>
      </w:r>
    </w:p>
    <w:p w14:paraId="13189213">
      <w:pPr>
        <w:keepNext w:val="0"/>
        <w:keepLines w:val="0"/>
        <w:pageBreakBefore w:val="0"/>
        <w:widowControl w:val="0"/>
        <w:tabs>
          <w:tab w:val="left" w:pos="7665"/>
        </w:tabs>
        <w:kinsoku/>
        <w:wordWrap w:val="0"/>
        <w:overflowPunct/>
        <w:topLinePunct/>
        <w:autoSpaceDE/>
        <w:autoSpaceDN/>
        <w:bidi w:val="0"/>
        <w:spacing w:line="360" w:lineRule="auto"/>
        <w:ind w:firstLine="48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9.1.1按照供应商须知前附表的规定本项目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27C3724F">
      <w:pPr>
        <w:keepNext w:val="0"/>
        <w:keepLines w:val="0"/>
        <w:pageBreakBefore w:val="0"/>
        <w:widowControl w:val="0"/>
        <w:tabs>
          <w:tab w:val="left" w:pos="7665"/>
        </w:tabs>
        <w:kinsoku/>
        <w:wordWrap w:val="0"/>
        <w:overflowPunct/>
        <w:topLinePunct/>
        <w:autoSpaceDE/>
        <w:autoSpaceDN/>
        <w:bidi w:val="0"/>
        <w:spacing w:line="360" w:lineRule="auto"/>
        <w:ind w:firstLine="482"/>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9.1.2 成交供应商不能按照本章第9.1.1项规定提交履约保证金或履约担保的，视为放弃成交资格，有谈判保证金的不予退还，给采购人造成损失的，成交供应商应当予以赔偿。</w:t>
      </w:r>
    </w:p>
    <w:p w14:paraId="3594BC3A">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9.2 签订合同</w:t>
      </w:r>
    </w:p>
    <w:p w14:paraId="4EEB3E4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9.2.1采购人应当自《成交通知书》发出之日起30日内，按照谈判文件和成交供应商响应文件的的规定，与成交供应商签订书面合同。成交供应商无正当理由拒签合同，或者在签订合同时向采购人提出附件条件，采购人有权取消其成交资格，有谈判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w:t>
      </w:r>
    </w:p>
    <w:p w14:paraId="1B6DA73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9.2.2 发出成交通知书后，采购人不得向成交供应商提出任何不合理要求，作为签订合同的条件，不得与成交供应商私下订立背离合同实质性内容的任何协议，所签订的合同不得对谈判文件确定的事项和成交供应商响应文件做实质性修改。</w:t>
      </w:r>
    </w:p>
    <w:p w14:paraId="533E119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9.2.3 联合体成交的，联合体各方应当与采购人签订采购合同，就成交项目向采购人承担连带责任。</w:t>
      </w:r>
    </w:p>
    <w:p w14:paraId="4AF5323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9.2.4 采购人应当自政府采购合同签订之日起2个工作日内，在省级以上财政部门指定的媒体上对合同进行公示，但政府采购合同中涉及国家秘密、商业秘密的内容除外。</w:t>
      </w:r>
    </w:p>
    <w:p w14:paraId="45C356D2">
      <w:pPr>
        <w:keepNext w:val="0"/>
        <w:keepLines w:val="0"/>
        <w:pageBreakBefore w:val="0"/>
        <w:widowControl w:val="0"/>
        <w:tabs>
          <w:tab w:val="left" w:pos="426"/>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9.2.5 采购人应当自合同签订之日起7个工作日内将政府采购合同报送监管机构备案。</w:t>
      </w:r>
    </w:p>
    <w:p w14:paraId="7E6E3BCE">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rPr>
        <w:t>9.3 合同履行</w:t>
      </w:r>
    </w:p>
    <w:p w14:paraId="579D70B5">
      <w:pPr>
        <w:keepNext w:val="0"/>
        <w:keepLines w:val="0"/>
        <w:pageBreakBefore w:val="0"/>
        <w:widowControl w:val="0"/>
        <w:tabs>
          <w:tab w:val="left" w:pos="426"/>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9.3.1 政府采购合同一经签订，双方应严格履行合同规定的义务。在合同履行过程中，如发生合同纠纷，合同双方应按照《中华人民共和国民法典》及合同条款的有关规定进行处理。</w:t>
      </w:r>
    </w:p>
    <w:p w14:paraId="52E4DEB4">
      <w:pPr>
        <w:keepNext w:val="0"/>
        <w:keepLines w:val="0"/>
        <w:pageBreakBefore w:val="0"/>
        <w:widowControl w:val="0"/>
        <w:tabs>
          <w:tab w:val="left" w:pos="426"/>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bCs/>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9.3.2 </w:t>
      </w:r>
      <w:r>
        <w:rPr>
          <w:rFonts w:hint="eastAsia" w:ascii="宋体" w:hAnsi="宋体" w:eastAsia="宋体" w:cs="宋体"/>
          <w:color w:val="auto"/>
          <w:spacing w:val="0"/>
          <w:kern w:val="2"/>
          <w:sz w:val="24"/>
          <w:szCs w:val="24"/>
          <w:highlight w:val="none"/>
          <w:lang w:eastAsia="zh-TW"/>
        </w:rPr>
        <w:t>政府采购合同订立后，合同各方不得擅自变更</w:t>
      </w:r>
      <w:r>
        <w:rPr>
          <w:rFonts w:hint="eastAsia" w:ascii="宋体" w:hAnsi="宋体" w:eastAsia="宋体" w:cs="宋体"/>
          <w:color w:val="auto"/>
          <w:spacing w:val="0"/>
          <w:kern w:val="2"/>
          <w:sz w:val="24"/>
          <w:szCs w:val="24"/>
          <w:highlight w:val="none"/>
        </w:rPr>
        <w:t>或者</w:t>
      </w:r>
      <w:r>
        <w:rPr>
          <w:rFonts w:hint="eastAsia" w:ascii="宋体" w:hAnsi="宋体" w:eastAsia="宋体" w:cs="宋体"/>
          <w:color w:val="auto"/>
          <w:spacing w:val="0"/>
          <w:kern w:val="2"/>
          <w:sz w:val="24"/>
          <w:szCs w:val="24"/>
          <w:highlight w:val="none"/>
          <w:lang w:eastAsia="zh-TW"/>
        </w:rPr>
        <w:t>中止或者终止合同。政府采购合同需要变更的，采购人应将有关合同变更内容，以书面形式报政府采购监督管理</w:t>
      </w:r>
      <w:r>
        <w:rPr>
          <w:rFonts w:hint="eastAsia" w:ascii="宋体" w:hAnsi="宋体" w:eastAsia="宋体" w:cs="宋体"/>
          <w:color w:val="auto"/>
          <w:spacing w:val="0"/>
          <w:kern w:val="2"/>
          <w:sz w:val="24"/>
          <w:szCs w:val="24"/>
          <w:highlight w:val="none"/>
        </w:rPr>
        <w:t>部门</w:t>
      </w:r>
      <w:r>
        <w:rPr>
          <w:rFonts w:hint="eastAsia" w:ascii="宋体" w:hAnsi="宋体" w:eastAsia="宋体" w:cs="宋体"/>
          <w:color w:val="auto"/>
          <w:spacing w:val="0"/>
          <w:kern w:val="2"/>
          <w:sz w:val="24"/>
          <w:szCs w:val="24"/>
          <w:highlight w:val="none"/>
          <w:lang w:eastAsia="zh-TW"/>
        </w:rPr>
        <w:t>备案；因特殊情况需要中止或终止合同的，采购人应将中止或终止合同的理由以及相应措施，以书面形式报政府采购监督管理</w:t>
      </w:r>
      <w:r>
        <w:rPr>
          <w:rFonts w:hint="eastAsia" w:ascii="宋体" w:hAnsi="宋体" w:eastAsia="宋体" w:cs="宋体"/>
          <w:color w:val="auto"/>
          <w:spacing w:val="0"/>
          <w:kern w:val="2"/>
          <w:sz w:val="24"/>
          <w:szCs w:val="24"/>
          <w:highlight w:val="none"/>
        </w:rPr>
        <w:t>部门</w:t>
      </w:r>
      <w:r>
        <w:rPr>
          <w:rFonts w:hint="eastAsia" w:ascii="宋体" w:hAnsi="宋体" w:eastAsia="宋体" w:cs="宋体"/>
          <w:color w:val="auto"/>
          <w:spacing w:val="0"/>
          <w:kern w:val="2"/>
          <w:sz w:val="24"/>
          <w:szCs w:val="24"/>
          <w:highlight w:val="none"/>
          <w:lang w:eastAsia="zh-TW"/>
        </w:rPr>
        <w:t>备案。</w:t>
      </w:r>
    </w:p>
    <w:p w14:paraId="127C1DF4">
      <w:pPr>
        <w:keepNext w:val="0"/>
        <w:keepLines w:val="0"/>
        <w:pageBreakBefore w:val="0"/>
        <w:widowControl w:val="0"/>
        <w:tabs>
          <w:tab w:val="left" w:pos="426"/>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9.3.3 </w:t>
      </w:r>
      <w:r>
        <w:rPr>
          <w:rFonts w:hint="eastAsia" w:ascii="宋体" w:hAnsi="宋体" w:eastAsia="宋体" w:cs="宋体"/>
          <w:color w:val="auto"/>
          <w:spacing w:val="0"/>
          <w:kern w:val="2"/>
          <w:sz w:val="24"/>
          <w:szCs w:val="24"/>
          <w:highlight w:val="none"/>
          <w:lang w:eastAsia="zh-TW"/>
        </w:rPr>
        <w:t>政府采购合同履行中，采购人需追加与合同标的相同的货物的，在不改变合同其他条款的前提下，可以与</w:t>
      </w:r>
      <w:r>
        <w:rPr>
          <w:rFonts w:hint="eastAsia" w:ascii="宋体" w:hAnsi="宋体" w:eastAsia="宋体" w:cs="宋体"/>
          <w:color w:val="auto"/>
          <w:spacing w:val="0"/>
          <w:kern w:val="2"/>
          <w:sz w:val="24"/>
          <w:szCs w:val="24"/>
          <w:highlight w:val="none"/>
        </w:rPr>
        <w:t>成交供应商</w:t>
      </w:r>
      <w:r>
        <w:rPr>
          <w:rFonts w:hint="eastAsia" w:ascii="宋体" w:hAnsi="宋体" w:eastAsia="宋体" w:cs="宋体"/>
          <w:color w:val="auto"/>
          <w:spacing w:val="0"/>
          <w:kern w:val="2"/>
          <w:sz w:val="24"/>
          <w:szCs w:val="24"/>
          <w:highlight w:val="none"/>
          <w:lang w:eastAsia="zh-TW"/>
        </w:rPr>
        <w:t>签订补充合同，但所补充合同的采购金额不得超过原</w:t>
      </w:r>
      <w:r>
        <w:rPr>
          <w:rFonts w:hint="eastAsia" w:ascii="宋体" w:hAnsi="宋体" w:eastAsia="宋体" w:cs="宋体"/>
          <w:color w:val="auto"/>
          <w:spacing w:val="0"/>
          <w:kern w:val="2"/>
          <w:sz w:val="24"/>
          <w:szCs w:val="24"/>
          <w:highlight w:val="none"/>
        </w:rPr>
        <w:t>合同</w:t>
      </w:r>
      <w:r>
        <w:rPr>
          <w:rFonts w:hint="eastAsia" w:ascii="宋体" w:hAnsi="宋体" w:eastAsia="宋体" w:cs="宋体"/>
          <w:color w:val="auto"/>
          <w:spacing w:val="0"/>
          <w:kern w:val="2"/>
          <w:sz w:val="24"/>
          <w:szCs w:val="24"/>
          <w:highlight w:val="none"/>
          <w:lang w:eastAsia="zh-TW"/>
        </w:rPr>
        <w:t>采购金额的百分之十。签订补充合同的</w:t>
      </w:r>
      <w:r>
        <w:rPr>
          <w:rFonts w:hint="eastAsia" w:ascii="宋体" w:hAnsi="宋体" w:eastAsia="宋体" w:cs="宋体"/>
          <w:color w:val="auto"/>
          <w:spacing w:val="0"/>
          <w:kern w:val="2"/>
          <w:sz w:val="24"/>
          <w:szCs w:val="24"/>
          <w:highlight w:val="none"/>
        </w:rPr>
        <w:t>应</w:t>
      </w:r>
      <w:r>
        <w:rPr>
          <w:rFonts w:hint="eastAsia" w:ascii="宋体" w:hAnsi="宋体" w:eastAsia="宋体" w:cs="宋体"/>
          <w:color w:val="auto"/>
          <w:spacing w:val="0"/>
          <w:kern w:val="2"/>
          <w:sz w:val="24"/>
          <w:szCs w:val="24"/>
          <w:highlight w:val="none"/>
          <w:lang w:eastAsia="zh-TW"/>
        </w:rPr>
        <w:t>按规定备案。</w:t>
      </w:r>
    </w:p>
    <w:p w14:paraId="138B8BE8">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10.终止谈判</w:t>
      </w:r>
    </w:p>
    <w:p w14:paraId="1062AA0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10.1出现下列情形之一的，采购人或者采购代理机构应当终止本次竞争性谈判采购活动，发布终止公告并说明原因，重新开展采购活动：</w:t>
      </w:r>
    </w:p>
    <w:p w14:paraId="589708C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（1）因情况变化，不再符合规定的竞争性谈判采购方式适用情形的；</w:t>
      </w:r>
    </w:p>
    <w:p w14:paraId="1852F96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（2）出现影响采购公正的违法、违规行为的；</w:t>
      </w:r>
    </w:p>
    <w:p w14:paraId="1DC184D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（3）除《政府采购竞争性谈判采购方式管理暂行办法》办法第21条第3款规定的情形外，在采购过程中符合要求的供应商或者谈判报价未超过采购预算的供应商不足3家的。</w:t>
      </w:r>
    </w:p>
    <w:p w14:paraId="53C29FF0">
      <w:pPr>
        <w:pStyle w:val="6"/>
        <w:keepNext w:val="0"/>
        <w:keepLines w:val="0"/>
        <w:pageBreakBefore w:val="0"/>
        <w:widowControl w:val="0"/>
        <w:kinsoku/>
        <w:wordWrap w:val="0"/>
        <w:overflowPunct/>
        <w:topLinePunct/>
        <w:autoSpaceDE/>
        <w:autoSpaceDN/>
        <w:bidi w:val="0"/>
        <w:spacing w:line="360" w:lineRule="auto"/>
        <w:ind w:firstLine="525"/>
        <w:rPr>
          <w:rFonts w:hint="eastAsia" w:ascii="宋体" w:hAnsi="宋体" w:eastAsia="宋体" w:cs="宋体"/>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 xml:space="preserve">10.2 </w:t>
      </w:r>
      <w:r>
        <w:rPr>
          <w:rFonts w:hint="eastAsia" w:ascii="宋体" w:hAnsi="宋体" w:eastAsia="宋体" w:cs="宋体"/>
          <w:color w:val="auto"/>
          <w:spacing w:val="0"/>
          <w:kern w:val="2"/>
          <w:sz w:val="24"/>
          <w:szCs w:val="24"/>
          <w:highlight w:val="none"/>
        </w:rPr>
        <w:t>符合资格条件的供应商少于3家情形的，应当按照《政府采购促进中小企业发展管理办法》（财库[2020]46号）第十条的规定，视同未预留份额的采购项目或者采购包，重新组织采购活动。</w:t>
      </w:r>
    </w:p>
    <w:p w14:paraId="19034562">
      <w:pPr>
        <w:pStyle w:val="25"/>
        <w:keepNext w:val="0"/>
        <w:keepLines w:val="0"/>
        <w:pageBreakBefore w:val="0"/>
        <w:widowControl w:val="0"/>
        <w:kinsoku/>
        <w:wordWrap w:val="0"/>
        <w:overflowPunct/>
        <w:topLinePunct/>
        <w:autoSpaceDE/>
        <w:autoSpaceDN/>
        <w:bidi w:val="0"/>
        <w:snapToGrid w:val="0"/>
        <w:spacing w:before="0" w:beforeLines="0" w:beforeAutospacing="0" w:after="0" w:afterLines="0" w:afterAutospacing="0" w:line="360" w:lineRule="auto"/>
        <w:ind w:firstLine="480"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10.3在采购活动中因重大变故，采购任务取消的，采购人或者采购代理机构应当终止</w:t>
      </w:r>
      <w:r>
        <w:rPr>
          <w:rFonts w:hint="eastAsia" w:ascii="宋体" w:hAnsi="宋体" w:eastAsia="宋体" w:cs="宋体"/>
          <w:b/>
          <w:snapToGrid w:val="0"/>
          <w:color w:val="auto"/>
          <w:spacing w:val="0"/>
          <w:kern w:val="2"/>
          <w:sz w:val="24"/>
          <w:szCs w:val="24"/>
          <w:highlight w:val="none"/>
        </w:rPr>
        <w:t>项目</w:t>
      </w:r>
      <w:r>
        <w:rPr>
          <w:rFonts w:hint="eastAsia" w:ascii="宋体" w:hAnsi="宋体" w:eastAsia="宋体" w:cs="宋体"/>
          <w:snapToGrid w:val="0"/>
          <w:color w:val="auto"/>
          <w:spacing w:val="0"/>
          <w:kern w:val="2"/>
          <w:sz w:val="24"/>
          <w:szCs w:val="24"/>
          <w:highlight w:val="none"/>
        </w:rPr>
        <w:t>采购活动，通知所有参加采购活动的供应商，并将项目实施情况和采购任务取消原因报送本级财政部门。</w:t>
      </w:r>
    </w:p>
    <w:p w14:paraId="1ABA5C74">
      <w:pPr>
        <w:keepNext w:val="0"/>
        <w:keepLines w:val="0"/>
        <w:pageBreakBefore w:val="0"/>
        <w:widowControl w:val="0"/>
        <w:tabs>
          <w:tab w:val="left" w:pos="426"/>
        </w:tabs>
        <w:kinsoku/>
        <w:wordWrap w:val="0"/>
        <w:overflowPunct/>
        <w:topLinePunct/>
        <w:autoSpaceDE/>
        <w:autoSpaceDN/>
        <w:bidi w:val="0"/>
        <w:adjustRightInd w:val="0"/>
        <w:snapToGrid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11.质疑与投诉</w:t>
      </w:r>
    </w:p>
    <w:p w14:paraId="5E0474EE">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11.1质疑</w:t>
      </w:r>
    </w:p>
    <w:p w14:paraId="636CDAC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11.1.1 如供应商对本次采购活动有疑问，认为需要提出质疑和投诉的，应当按照《政府采购质疑投诉办法》（财政部94号令）的有关规定办理。</w:t>
      </w:r>
    </w:p>
    <w:p w14:paraId="542BB2C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11.1.2 供应商对采购文件、采购过程或成交结果使自身的合法权益受到损害，应当在法定期限内，按照质疑函范本格式要求以书面形式向采购代理机构或采购人提出质疑，并附必要的证明材料。</w:t>
      </w:r>
    </w:p>
    <w:p w14:paraId="540DC9D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11.1.3 质疑函应当包括下列内容：</w:t>
      </w:r>
    </w:p>
    <w:p w14:paraId="6191748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（1）供应商的姓名或者名称、地址、邮编、联系人及联系电话；</w:t>
      </w:r>
    </w:p>
    <w:p w14:paraId="710A49F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（2）质疑项目的名称、编号；</w:t>
      </w:r>
    </w:p>
    <w:p w14:paraId="2A33341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（3）具体、明确的质疑事项和与质疑事项相关的请求；</w:t>
      </w:r>
    </w:p>
    <w:p w14:paraId="3BB281B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（4）事实依据；</w:t>
      </w:r>
    </w:p>
    <w:p w14:paraId="7CBE200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（5）必要的法律依据；</w:t>
      </w:r>
    </w:p>
    <w:p w14:paraId="78C7F50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（6）提出质疑的日期。</w:t>
      </w:r>
    </w:p>
    <w:p w14:paraId="065D1E9A">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供应商为法人的，应当由法定代表人或者其委托代理人签名或者盖章，并加盖单位章。</w:t>
      </w:r>
    </w:p>
    <w:p w14:paraId="35A07A6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11.1.4质疑人可以委托代理人办理质疑事项，代理人办理质疑事项时，除提交质疑函外，还应当提交质疑人的授权委托书及代理人的有效身份证明，授权委托书应当载明委托代理的具体权限期限和相关事项。</w:t>
      </w:r>
    </w:p>
    <w:p w14:paraId="114A75C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11.1.5 质疑函范本格式在中国政府采购网站（http://www.ccgp.gov.cn/）自行下载。</w:t>
      </w:r>
    </w:p>
    <w:p w14:paraId="70A2662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11.1.6 接收质疑函的联系部门、联系电话和通讯地址同谈判公告。</w:t>
      </w:r>
    </w:p>
    <w:p w14:paraId="095A711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11.1.7 有下列情形之一的，属于无效质疑：</w:t>
      </w:r>
    </w:p>
    <w:p w14:paraId="67396E4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（1）对采购文件提出质疑的质疑人不是依法获取采购文件的潜在供应商；对采购过程、成交结果提出质疑的不是参与本次政府采购项目的供应商；</w:t>
      </w:r>
    </w:p>
    <w:p w14:paraId="466768B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（2）质疑人与质疑事项不存在利害关系的；</w:t>
      </w:r>
    </w:p>
    <w:p w14:paraId="3B14920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（3）未在法定期限内提出质疑的；</w:t>
      </w:r>
    </w:p>
    <w:p w14:paraId="69C3D1A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（4）质疑未以书面形式提出，以传真、电子邮件、移动通信等形式即时收悉提交的质疑材料；</w:t>
      </w:r>
    </w:p>
    <w:p w14:paraId="189B3E72">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（5）质疑未按质疑函范本格式提出的；</w:t>
      </w:r>
    </w:p>
    <w:p w14:paraId="7C9EC66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（6）未提交营业执照或法人证书复印件，由授权代表签名的，未提交授权委托书；</w:t>
      </w:r>
    </w:p>
    <w:p w14:paraId="537D0B9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（7）质疑书没有合法有效的签名、盖章的；</w:t>
      </w:r>
    </w:p>
    <w:p w14:paraId="0A4A7A2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（8）以非法手段取得证据、材料的；</w:t>
      </w:r>
    </w:p>
    <w:p w14:paraId="629B006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（9）质疑答复后，同一质疑人就同一事项再次提出质疑的；</w:t>
      </w:r>
    </w:p>
    <w:p w14:paraId="5D6847E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（10）不符合法律、法规、规章和政府采购监管机构规定的其他条件的。</w:t>
      </w:r>
    </w:p>
    <w:p w14:paraId="3B72736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11.1.8 采购代理机构或采购人将在收到书面质疑后7个工作日内做出答复，并以书面形式通知质疑人和其他有关供应商。</w:t>
      </w:r>
    </w:p>
    <w:p w14:paraId="65B23C32">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11.2 投诉</w:t>
      </w:r>
    </w:p>
    <w:p w14:paraId="7178AD4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11.2.1 质疑人对采购代理机构或采购人的答复不满意，或者采购人、采购代理机构未在规定时间内作出答复的，可以在答复期满后15个工作日内向</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太白县财政局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（财政部门）提起投诉。</w:t>
      </w:r>
    </w:p>
    <w:p w14:paraId="1B26B21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11.2.2 供应商投诉时,应当提交投诉书和必要的证明材料，并按照被投诉采购人、采购代理机构（以下简称被投诉人）和与投诉事项有关的供应商数量提供投诉书的副本。投诉书应当包括下列内容：</w:t>
      </w:r>
    </w:p>
    <w:p w14:paraId="6B3DE68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（1）投诉人和被投诉人的姓名或者名称、通讯地址、邮编、联系人及联系电话；</w:t>
      </w:r>
    </w:p>
    <w:p w14:paraId="3179E78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（2）质疑和质疑答复情况说明及相关证明材料；</w:t>
      </w:r>
    </w:p>
    <w:p w14:paraId="0EE310D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（3）具体、明确的投诉事项和与投诉事项相关的投诉请求；</w:t>
      </w:r>
    </w:p>
    <w:p w14:paraId="2E124B6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（4）事实依据；</w:t>
      </w:r>
    </w:p>
    <w:p w14:paraId="131F49D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（5）法律依据；</w:t>
      </w:r>
    </w:p>
    <w:p w14:paraId="643C5CD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（6）提起投诉的日期。</w:t>
      </w:r>
    </w:p>
    <w:p w14:paraId="0EB5B1E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投诉人为自然人的，应当由本人签名；投诉人为法人或者其他组织的，应当由法定代表人、主要负责人，或者其委托代理人签名或者盖章，并加盖单位章。</w:t>
      </w:r>
    </w:p>
    <w:p w14:paraId="4EA1157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11.2.3 投诉书范本格式在中国政府采购网站（http://www.ccgp.gov.cn/）自行下载。</w:t>
      </w:r>
    </w:p>
    <w:p w14:paraId="51B34B4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11.2.4 投诉人提起投诉应当符合下列条件：</w:t>
      </w:r>
    </w:p>
    <w:p w14:paraId="2D8419D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（1）提起投诉前已依法进行质疑；</w:t>
      </w:r>
    </w:p>
    <w:p w14:paraId="6A04E89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（2）投诉书内容符合财政部94号令的规定；</w:t>
      </w:r>
    </w:p>
    <w:p w14:paraId="0B975C3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（3）在投诉有效期限内提起投诉；</w:t>
      </w:r>
    </w:p>
    <w:p w14:paraId="3B2D63A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（4）同一投诉事项未经财政部门投诉处理；</w:t>
      </w:r>
    </w:p>
    <w:p w14:paraId="35F67BD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（5）财政部规定的其他条件。</w:t>
      </w:r>
    </w:p>
    <w:p w14:paraId="46F9736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11.2.5  投诉人投诉的事项不得超出已质疑事项的范围，但基于质疑答复内容提出的投诉事项除外。</w:t>
      </w:r>
    </w:p>
    <w:p w14:paraId="28D9A2EC">
      <w:pPr>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11.3恶意质疑、投诉的法律后果</w:t>
      </w:r>
    </w:p>
    <w:p w14:paraId="3812B86A">
      <w:pPr>
        <w:keepNext w:val="0"/>
        <w:keepLines w:val="0"/>
        <w:pageBreakBefore w:val="0"/>
        <w:widowControl w:val="0"/>
        <w:kinsoku/>
        <w:wordWrap w:val="0"/>
        <w:overflowPunct/>
        <w:topLinePunct/>
        <w:autoSpaceDE/>
        <w:autoSpaceDN/>
        <w:bidi w:val="0"/>
        <w:spacing w:line="360" w:lineRule="auto"/>
        <w:ind w:firstLine="482" w:firstLineChars="200"/>
        <w:jc w:val="left"/>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11.3.1对捏造事实、提供虚假材料进行质疑、投诉的行为将予以严肃处理：</w:t>
      </w:r>
    </w:p>
    <w:p w14:paraId="4B244A67">
      <w:pPr>
        <w:keepNext w:val="0"/>
        <w:keepLines w:val="0"/>
        <w:pageBreakBefore w:val="0"/>
        <w:widowControl w:val="0"/>
        <w:kinsoku/>
        <w:wordWrap w:val="0"/>
        <w:overflowPunct/>
        <w:topLinePunct/>
        <w:autoSpaceDE/>
        <w:autoSpaceDN/>
        <w:bidi w:val="0"/>
        <w:spacing w:line="360" w:lineRule="auto"/>
        <w:ind w:firstLine="480" w:firstLineChars="20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56741ED7">
      <w:pPr>
        <w:keepNext w:val="0"/>
        <w:keepLines w:val="0"/>
        <w:pageBreakBefore w:val="0"/>
        <w:widowControl w:val="0"/>
        <w:kinsoku/>
        <w:wordWrap w:val="0"/>
        <w:overflowPunct/>
        <w:topLinePunct/>
        <w:autoSpaceDE/>
        <w:autoSpaceDN/>
        <w:bidi w:val="0"/>
        <w:spacing w:line="360" w:lineRule="auto"/>
        <w:ind w:firstLine="482" w:firstLineChars="200"/>
        <w:jc w:val="left"/>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11.3.2对捏造事实诬告陷害他人、诽谤他人的法律适用：</w:t>
      </w:r>
    </w:p>
    <w:p w14:paraId="47AD253D">
      <w:pPr>
        <w:keepNext w:val="0"/>
        <w:keepLines w:val="0"/>
        <w:pageBreakBefore w:val="0"/>
        <w:widowControl w:val="0"/>
        <w:kinsoku/>
        <w:wordWrap w:val="0"/>
        <w:overflowPunct/>
        <w:topLinePunct/>
        <w:autoSpaceDE/>
        <w:autoSpaceDN/>
        <w:bidi w:val="0"/>
        <w:spacing w:line="360" w:lineRule="auto"/>
        <w:ind w:firstLine="480" w:firstLineChars="20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（1）《中华人民共和国刑法》第243条【诬告陷害罪】捏造事实诬告陷害他人，意图使他人受刑事追究，情节严重的，处三年以下有期徒刑、拘役或者管制；造成严重后果的，处三年以上十年以下有期徒刑。</w:t>
      </w:r>
    </w:p>
    <w:p w14:paraId="1D425024">
      <w:pPr>
        <w:keepNext w:val="0"/>
        <w:keepLines w:val="0"/>
        <w:pageBreakBefore w:val="0"/>
        <w:widowControl w:val="0"/>
        <w:kinsoku/>
        <w:wordWrap w:val="0"/>
        <w:overflowPunct/>
        <w:topLinePunct/>
        <w:autoSpaceDE/>
        <w:autoSpaceDN/>
        <w:bidi w:val="0"/>
        <w:spacing w:line="360" w:lineRule="auto"/>
        <w:ind w:firstLine="480" w:firstLineChars="20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（2）《中华人民共和国刑法》第246条【侮辱罪、诽谤罪】以暴力或者其他方法公然侮辱他人或者捏造事实诽谤他人，情节严重的，处三年以下有期徒刑、拘役、管制或者剥夺政治权利。</w:t>
      </w:r>
    </w:p>
    <w:p w14:paraId="69C6E144">
      <w:pPr>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12.其他</w:t>
      </w:r>
    </w:p>
    <w:p w14:paraId="4352ADFB">
      <w:pPr>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12.</w:t>
      </w:r>
      <w:r>
        <w:rPr>
          <w:rFonts w:hint="eastAsia" w:ascii="宋体" w:hAnsi="宋体" w:eastAsia="宋体" w:cs="宋体"/>
          <w:b/>
          <w:color w:val="auto"/>
          <w:spacing w:val="0"/>
          <w:kern w:val="2"/>
          <w:sz w:val="24"/>
          <w:szCs w:val="24"/>
          <w:highlight w:val="none"/>
          <w:lang w:val="en-US" w:eastAsia="zh-CN"/>
        </w:rPr>
        <w:t>1</w:t>
      </w:r>
      <w:r>
        <w:rPr>
          <w:rFonts w:hint="eastAsia" w:ascii="宋体" w:hAnsi="宋体" w:eastAsia="宋体" w:cs="宋体"/>
          <w:b/>
          <w:color w:val="auto"/>
          <w:spacing w:val="0"/>
          <w:kern w:val="2"/>
          <w:sz w:val="24"/>
          <w:szCs w:val="24"/>
          <w:highlight w:val="none"/>
        </w:rPr>
        <w:t>采购代理服务费</w:t>
      </w:r>
    </w:p>
    <w:p w14:paraId="6247A45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1</w:t>
      </w:r>
      <w:r>
        <w:rPr>
          <w:rFonts w:hint="eastAsia" w:ascii="宋体" w:hAnsi="宋体" w:eastAsia="宋体" w:cs="宋体"/>
          <w:color w:val="auto"/>
          <w:spacing w:val="0"/>
          <w:kern w:val="2"/>
          <w:sz w:val="24"/>
          <w:szCs w:val="24"/>
          <w:highlight w:val="none"/>
        </w:rPr>
        <w:t>.1由成交供应商支付采购代理服务费</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成交供应商在领取《成交通知书》之前，应向采购代理机构交纳采购代理服务费。</w:t>
      </w:r>
    </w:p>
    <w:p w14:paraId="4E80703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1</w:t>
      </w:r>
      <w:r>
        <w:rPr>
          <w:rFonts w:hint="eastAsia" w:ascii="宋体" w:hAnsi="宋体" w:eastAsia="宋体" w:cs="宋体"/>
          <w:color w:val="auto"/>
          <w:spacing w:val="0"/>
          <w:kern w:val="2"/>
          <w:sz w:val="24"/>
          <w:szCs w:val="24"/>
          <w:highlight w:val="none"/>
        </w:rPr>
        <w:t>.2 采购代理服务费</w:t>
      </w:r>
      <w:r>
        <w:rPr>
          <w:rFonts w:hint="eastAsia" w:ascii="宋体" w:hAnsi="宋体" w:eastAsia="宋体" w:cs="宋体"/>
          <w:color w:val="auto"/>
          <w:spacing w:val="0"/>
          <w:kern w:val="2"/>
          <w:sz w:val="24"/>
          <w:szCs w:val="24"/>
          <w:highlight w:val="none"/>
          <w:lang w:val="en-US" w:eastAsia="zh-CN"/>
        </w:rPr>
        <w:t>参照</w:t>
      </w:r>
      <w:r>
        <w:rPr>
          <w:rFonts w:hint="eastAsia" w:ascii="宋体" w:hAnsi="宋体" w:eastAsia="宋体" w:cs="宋体"/>
          <w:color w:val="auto"/>
          <w:spacing w:val="0"/>
          <w:kern w:val="2"/>
          <w:sz w:val="24"/>
          <w:szCs w:val="24"/>
          <w:highlight w:val="none"/>
        </w:rPr>
        <w:t>《国家计委关于印发招标代理服务收费管理暂行办法的通知》（计价格〔2002〕1980号）和国家发改委办公厅颁发的《关于招标代理服务收费有关问题的通知》（发改办价格〔2003〕857号）文件规定标准收取。具体收费金额将在成交公告中公布。</w:t>
      </w:r>
    </w:p>
    <w:p w14:paraId="04E7189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12.</w:t>
      </w:r>
      <w:r>
        <w:rPr>
          <w:rFonts w:hint="eastAsia" w:ascii="宋体" w:hAnsi="宋体" w:eastAsia="宋体" w:cs="宋体"/>
          <w:color w:val="auto"/>
          <w:spacing w:val="0"/>
          <w:kern w:val="2"/>
          <w:sz w:val="24"/>
          <w:szCs w:val="24"/>
          <w:highlight w:val="none"/>
          <w:lang w:val="en-US" w:eastAsia="zh-CN"/>
        </w:rPr>
        <w:t>1</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 xml:space="preserve"> 供应商须知前附表要求供应商提交谈判保证金的，成交供应商不得用谈判保证金冲抵</w:t>
      </w:r>
      <w:r>
        <w:rPr>
          <w:rFonts w:hint="eastAsia" w:ascii="宋体" w:hAnsi="宋体" w:eastAsia="宋体" w:cs="宋体"/>
          <w:color w:val="auto"/>
          <w:spacing w:val="0"/>
          <w:kern w:val="2"/>
          <w:sz w:val="24"/>
          <w:szCs w:val="24"/>
          <w:highlight w:val="none"/>
          <w:lang w:val="en-US" w:eastAsia="zh-CN"/>
        </w:rPr>
        <w:t>代理服务费</w:t>
      </w:r>
      <w:r>
        <w:rPr>
          <w:rFonts w:hint="eastAsia" w:ascii="宋体" w:hAnsi="宋体" w:eastAsia="宋体" w:cs="宋体"/>
          <w:color w:val="auto"/>
          <w:spacing w:val="0"/>
          <w:kern w:val="2"/>
          <w:sz w:val="24"/>
          <w:szCs w:val="24"/>
          <w:highlight w:val="none"/>
        </w:rPr>
        <w:t>，未按本章第12.</w:t>
      </w:r>
      <w:r>
        <w:rPr>
          <w:rFonts w:hint="eastAsia" w:ascii="宋体" w:hAnsi="宋体" w:eastAsia="宋体" w:cs="宋体"/>
          <w:color w:val="auto"/>
          <w:spacing w:val="0"/>
          <w:kern w:val="2"/>
          <w:sz w:val="24"/>
          <w:szCs w:val="24"/>
          <w:highlight w:val="none"/>
          <w:lang w:val="en-US" w:eastAsia="zh-CN"/>
        </w:rPr>
        <w:t>1</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2</w:t>
      </w:r>
      <w:r>
        <w:rPr>
          <w:rFonts w:hint="eastAsia" w:ascii="宋体" w:hAnsi="宋体" w:eastAsia="宋体" w:cs="宋体"/>
          <w:color w:val="auto"/>
          <w:spacing w:val="0"/>
          <w:kern w:val="2"/>
          <w:sz w:val="24"/>
          <w:szCs w:val="24"/>
          <w:highlight w:val="none"/>
        </w:rPr>
        <w:t>项规定交纳采购代理服务费的，其谈判保证金将被采购代理机构全额没收。</w:t>
      </w:r>
    </w:p>
    <w:p w14:paraId="3808BF69">
      <w:pPr>
        <w:rPr>
          <w:rFonts w:hint="eastAsia" w:ascii="宋体" w:hAnsi="宋体" w:eastAsia="宋体" w:cs="宋体"/>
          <w:spacing w:val="0"/>
          <w:kern w:val="2"/>
          <w:sz w:val="28"/>
          <w:szCs w:val="28"/>
          <w:lang w:val="en-US" w:eastAsia="zh-CN"/>
        </w:rPr>
      </w:pPr>
      <w:bookmarkStart w:id="38" w:name="_Toc27407"/>
      <w:bookmarkStart w:id="39" w:name="_Toc7531"/>
      <w:bookmarkStart w:id="40" w:name="_Toc11173"/>
      <w:r>
        <w:rPr>
          <w:rFonts w:hint="eastAsia" w:ascii="宋体" w:hAnsi="宋体" w:eastAsia="宋体" w:cs="宋体"/>
          <w:spacing w:val="0"/>
          <w:kern w:val="2"/>
          <w:sz w:val="28"/>
          <w:szCs w:val="28"/>
          <w:lang w:val="en-US" w:eastAsia="zh-CN"/>
        </w:rPr>
        <w:br w:type="page"/>
      </w:r>
    </w:p>
    <w:p w14:paraId="7320EA13">
      <w:pPr>
        <w:pStyle w:val="4"/>
        <w:keepNext w:val="0"/>
        <w:keepLines w:val="0"/>
        <w:pageBreakBefore w:val="0"/>
        <w:widowControl w:val="0"/>
        <w:kinsoku/>
        <w:wordWrap w:val="0"/>
        <w:overflowPunct/>
        <w:topLinePunct/>
        <w:autoSpaceDE/>
        <w:autoSpaceDN/>
        <w:bidi w:val="0"/>
        <w:jc w:val="center"/>
        <w:rPr>
          <w:rFonts w:hint="eastAsia" w:ascii="宋体" w:hAnsi="宋体" w:eastAsia="宋体" w:cs="宋体"/>
          <w:spacing w:val="0"/>
          <w:kern w:val="2"/>
          <w:sz w:val="28"/>
          <w:szCs w:val="28"/>
          <w:lang w:val="en-US" w:eastAsia="zh-CN"/>
        </w:rPr>
      </w:pPr>
      <w:r>
        <w:rPr>
          <w:rFonts w:hint="eastAsia" w:ascii="宋体" w:hAnsi="宋体" w:eastAsia="宋体" w:cs="宋体"/>
          <w:spacing w:val="0"/>
          <w:kern w:val="2"/>
          <w:sz w:val="28"/>
          <w:szCs w:val="28"/>
          <w:lang w:val="en-US" w:eastAsia="zh-CN"/>
        </w:rPr>
        <w:t>第三章  资格审查办法</w:t>
      </w:r>
      <w:bookmarkEnd w:id="38"/>
      <w:bookmarkEnd w:id="39"/>
      <w:bookmarkEnd w:id="40"/>
    </w:p>
    <w:p w14:paraId="4AF028E5">
      <w:pPr>
        <w:keepNext w:val="0"/>
        <w:keepLines w:val="0"/>
        <w:pageBreakBefore w:val="0"/>
        <w:widowControl w:val="0"/>
        <w:kinsoku/>
        <w:wordWrap w:val="0"/>
        <w:overflowPunct/>
        <w:topLinePunct/>
        <w:autoSpaceDE/>
        <w:autoSpaceDN/>
        <w:bidi w:val="0"/>
        <w:spacing w:line="5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根据《中华人民共和国政府采购法》及其实施条例和财政部《政府采购非招标采购方式管理办法》（财政部第74号令）等法律法规的规定，结合采购项目特点，制定本资格审查办法。</w:t>
      </w:r>
    </w:p>
    <w:p w14:paraId="7DBC9BDE">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1.资格审查小组</w:t>
      </w:r>
    </w:p>
    <w:p w14:paraId="341B0B2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 根据陕西省财政厅2022年9月30日发布的陕财办采【2022】9号文陕西省财政厅关于印发《政府采购项目电子化交易规则(试行)》通知的第二十六条，竞争性</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，由采购人或采购人委托的采购代理机构或评审专家通过电子化交易平台进行资格审查。</w:t>
      </w:r>
    </w:p>
    <w:p w14:paraId="2A4F7DA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 资格审查小组，由</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小组担任，</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小组组长担任资格审查小组组长。</w:t>
      </w:r>
    </w:p>
    <w:p w14:paraId="0E64563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 资格审查小组成立后，全体小组成员应当在签到表中签到。</w:t>
      </w:r>
    </w:p>
    <w:p w14:paraId="5A995C4C">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2.资格审查程序</w:t>
      </w:r>
    </w:p>
    <w:p w14:paraId="5BABAF5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资格审查按下列程序进行：</w:t>
      </w:r>
    </w:p>
    <w:p w14:paraId="21F9627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（1）供应商基本</w:t>
      </w:r>
      <w:r>
        <w:rPr>
          <w:rFonts w:hint="eastAsia" w:ascii="宋体" w:hAnsi="宋体" w:eastAsia="宋体" w:cs="宋体"/>
          <w:color w:val="auto"/>
          <w:spacing w:val="0"/>
          <w:kern w:val="2"/>
          <w:sz w:val="24"/>
          <w:szCs w:val="24"/>
          <w:highlight w:val="none"/>
          <w:lang w:val="en-US" w:eastAsia="zh-CN"/>
        </w:rPr>
        <w:t>及特定</w:t>
      </w:r>
      <w:r>
        <w:rPr>
          <w:rFonts w:hint="eastAsia" w:ascii="宋体" w:hAnsi="宋体" w:eastAsia="宋体" w:cs="宋体"/>
          <w:color w:val="auto"/>
          <w:spacing w:val="0"/>
          <w:kern w:val="2"/>
          <w:sz w:val="24"/>
          <w:szCs w:val="24"/>
          <w:highlight w:val="none"/>
        </w:rPr>
        <w:t>资格条件审查；</w:t>
      </w:r>
    </w:p>
    <w:p w14:paraId="711EEFF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（2）供应商落实政府采购政策资格条件审查（</w:t>
      </w:r>
      <w:r>
        <w:rPr>
          <w:rFonts w:hint="eastAsia" w:ascii="宋体" w:hAnsi="宋体" w:eastAsia="宋体" w:cs="宋体"/>
          <w:color w:val="auto"/>
          <w:spacing w:val="0"/>
          <w:kern w:val="2"/>
          <w:sz w:val="24"/>
          <w:szCs w:val="24"/>
          <w:highlight w:val="none"/>
          <w:lang w:val="en-US" w:eastAsia="zh-CN"/>
        </w:rPr>
        <w:t>本项目专门面向中小企业采购，供应商应当为中小企业（含残疾人福利性单位、监狱企业）</w:t>
      </w:r>
      <w:r>
        <w:rPr>
          <w:rFonts w:hint="eastAsia" w:ascii="宋体" w:hAnsi="宋体" w:eastAsia="宋体" w:cs="宋体"/>
          <w:color w:val="auto"/>
          <w:spacing w:val="0"/>
          <w:kern w:val="2"/>
          <w:sz w:val="24"/>
          <w:szCs w:val="24"/>
          <w:highlight w:val="none"/>
        </w:rPr>
        <w:t>）</w:t>
      </w:r>
    </w:p>
    <w:p w14:paraId="6D352D12">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70" w:firstLineChars="196"/>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）编写供应商资格审查报告。</w:t>
      </w:r>
    </w:p>
    <w:p w14:paraId="31B5A076">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3.资格审查方法和标准</w:t>
      </w:r>
    </w:p>
    <w:p w14:paraId="7D725103">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3.1 资格审查依据</w:t>
      </w:r>
    </w:p>
    <w:p w14:paraId="1728EFA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2"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3.3.1供应商落实政府采购政策资格条件审查方法：</w:t>
      </w:r>
    </w:p>
    <w:p w14:paraId="0450998B">
      <w:pPr>
        <w:keepNext w:val="0"/>
        <w:keepLines w:val="0"/>
        <w:pageBreakBefore w:val="0"/>
        <w:widowControl w:val="0"/>
        <w:kinsoku/>
        <w:wordWrap w:val="0"/>
        <w:overflowPunct/>
        <w:topLinePunct/>
        <w:autoSpaceDE/>
        <w:autoSpaceDN/>
        <w:bidi w:val="0"/>
        <w:spacing w:line="500" w:lineRule="exact"/>
        <w:ind w:firstLine="723" w:firstLineChars="300"/>
        <w:textAlignment w:val="auto"/>
        <w:rPr>
          <w:rFonts w:hint="eastAsia" w:ascii="宋体" w:hAnsi="宋体" w:eastAsia="宋体" w:cs="宋体"/>
          <w:b/>
          <w:bCs/>
          <w:i w:val="0"/>
          <w:iCs w:val="0"/>
          <w:caps w:val="0"/>
          <w:color w:val="auto"/>
          <w:spacing w:val="0"/>
          <w:kern w:val="2"/>
          <w:sz w:val="24"/>
          <w:szCs w:val="24"/>
          <w:highlight w:val="none"/>
          <w:shd w:val="clear" w:color="auto" w:fill="FFFFFF"/>
          <w:lang w:val="en-US" w:eastAsia="zh-CN"/>
        </w:rPr>
      </w:pPr>
      <w:r>
        <w:rPr>
          <w:rFonts w:hint="eastAsia" w:ascii="宋体" w:hAnsi="宋体" w:eastAsia="宋体" w:cs="宋体"/>
          <w:b/>
          <w:bCs/>
          <w:i w:val="0"/>
          <w:iCs w:val="0"/>
          <w:caps w:val="0"/>
          <w:color w:val="auto"/>
          <w:spacing w:val="0"/>
          <w:kern w:val="2"/>
          <w:sz w:val="24"/>
          <w:szCs w:val="24"/>
          <w:highlight w:val="none"/>
          <w:shd w:val="clear" w:color="auto" w:fill="FFFFFF"/>
          <w:lang w:val="en-US" w:eastAsia="zh-CN"/>
        </w:rPr>
        <w:t>本项目专门面向中小企业采购，供应商应当为中小企业（含残疾人福利性单位、监狱企业）</w:t>
      </w:r>
    </w:p>
    <w:p w14:paraId="2F286C14">
      <w:pPr>
        <w:pStyle w:val="2"/>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（1）审查供应商提供的《中小企业声明函》或者《残疾人福利性单位声明函》或者《监狱企业》盖章证明文件。</w:t>
      </w:r>
    </w:p>
    <w:p w14:paraId="0964B7C6">
      <w:pPr>
        <w:pStyle w:val="2"/>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供应商提供的《中小企业声明函》或者《残疾人福利性单位声明函》或者《监狱企业》存在明显错误的，资格审查小组可以按照第四章第1.3条款的规定，要求供应商作出澄清；澄清后，符合中小企业条件的，予以通过资格审查；否则，不予通过资格审查，</w:t>
      </w:r>
      <w:r>
        <w:rPr>
          <w:rFonts w:hint="eastAsia" w:ascii="宋体" w:hAnsi="宋体" w:eastAsia="宋体" w:cs="宋体"/>
          <w:b/>
          <w:bCs/>
          <w:color w:val="auto"/>
          <w:spacing w:val="0"/>
          <w:kern w:val="2"/>
          <w:sz w:val="24"/>
          <w:szCs w:val="24"/>
          <w:highlight w:val="none"/>
          <w:lang w:val="en-US" w:eastAsia="zh-CN" w:bidi="ar-SA"/>
        </w:rPr>
        <w:t>其响应文件无效。</w:t>
      </w:r>
    </w:p>
    <w:p w14:paraId="10B3B3EC">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3.2供应商资格条件的审查</w:t>
      </w:r>
    </w:p>
    <w:p w14:paraId="0AB503E2">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2"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3.2.1 资格条件审查方法</w:t>
      </w:r>
      <w:r>
        <w:rPr>
          <w:rFonts w:hint="eastAsia" w:ascii="宋体" w:hAnsi="宋体" w:eastAsia="宋体" w:cs="宋体"/>
          <w:b/>
          <w:color w:val="auto"/>
          <w:spacing w:val="0"/>
          <w:kern w:val="2"/>
          <w:sz w:val="24"/>
          <w:szCs w:val="24"/>
          <w:highlight w:val="none"/>
          <w:lang w:eastAsia="zh-CN"/>
        </w:rPr>
        <w:t>（</w:t>
      </w:r>
      <w:r>
        <w:rPr>
          <w:rFonts w:hint="eastAsia" w:ascii="宋体" w:hAnsi="宋体" w:eastAsia="宋体" w:cs="宋体"/>
          <w:b/>
          <w:color w:val="auto"/>
          <w:spacing w:val="0"/>
          <w:kern w:val="2"/>
          <w:sz w:val="24"/>
          <w:szCs w:val="24"/>
          <w:highlight w:val="none"/>
          <w:lang w:val="en-US" w:eastAsia="zh-CN"/>
        </w:rPr>
        <w:t>含基本资格和特定资格</w:t>
      </w:r>
      <w:r>
        <w:rPr>
          <w:rFonts w:hint="eastAsia" w:ascii="宋体" w:hAnsi="宋体" w:eastAsia="宋体" w:cs="宋体"/>
          <w:b/>
          <w:color w:val="auto"/>
          <w:spacing w:val="0"/>
          <w:kern w:val="2"/>
          <w:sz w:val="24"/>
          <w:szCs w:val="24"/>
          <w:highlight w:val="none"/>
          <w:lang w:eastAsia="zh-CN"/>
        </w:rPr>
        <w:t>）</w:t>
      </w:r>
      <w:r>
        <w:rPr>
          <w:rFonts w:hint="eastAsia" w:ascii="宋体" w:hAnsi="宋体" w:eastAsia="宋体" w:cs="宋体"/>
          <w:b/>
          <w:color w:val="auto"/>
          <w:spacing w:val="0"/>
          <w:kern w:val="2"/>
          <w:sz w:val="24"/>
          <w:szCs w:val="24"/>
          <w:highlight w:val="none"/>
        </w:rPr>
        <w:t>：</w:t>
      </w:r>
    </w:p>
    <w:p w14:paraId="1C1B1A0E">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r>
        <w:rPr>
          <w:rFonts w:hint="eastAsia" w:ascii="宋体" w:hAnsi="宋体" w:eastAsia="宋体" w:cs="宋体"/>
          <w:color w:val="auto"/>
          <w:spacing w:val="0"/>
          <w:kern w:val="2"/>
          <w:sz w:val="24"/>
          <w:szCs w:val="24"/>
          <w:highlight w:val="none"/>
          <w:lang w:val="en-US" w:eastAsia="zh-CN"/>
        </w:rPr>
        <w:t>对</w:t>
      </w:r>
      <w:r>
        <w:rPr>
          <w:rFonts w:hint="eastAsia" w:ascii="宋体" w:hAnsi="宋体" w:eastAsia="宋体" w:cs="宋体"/>
          <w:color w:val="auto"/>
          <w:spacing w:val="0"/>
          <w:kern w:val="2"/>
          <w:sz w:val="24"/>
          <w:szCs w:val="24"/>
          <w:highlight w:val="none"/>
        </w:rPr>
        <w:t>供应商营业执照，不审查原件，通过国家企业信用信息公示系统进行相关信息的核实；</w:t>
      </w:r>
    </w:p>
    <w:p w14:paraId="7D48331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2"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3.2.2资格条件审查标准：</w:t>
      </w:r>
    </w:p>
    <w:p w14:paraId="34E87D1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（1）资格审查小组将按下表所列举的审查标准对供应商资格条件进行审查，供应商若有一项不合格，即判定其资格条件审查结果为不合格，</w:t>
      </w:r>
      <w:r>
        <w:rPr>
          <w:rFonts w:hint="eastAsia" w:ascii="宋体" w:hAnsi="宋体" w:eastAsia="宋体" w:cs="宋体"/>
          <w:b/>
          <w:color w:val="auto"/>
          <w:spacing w:val="0"/>
          <w:kern w:val="2"/>
          <w:sz w:val="24"/>
          <w:szCs w:val="24"/>
          <w:highlight w:val="none"/>
        </w:rPr>
        <w:t>其响应文件无效</w:t>
      </w:r>
      <w:r>
        <w:rPr>
          <w:rFonts w:hint="eastAsia" w:ascii="宋体" w:hAnsi="宋体" w:eastAsia="宋体" w:cs="宋体"/>
          <w:color w:val="auto"/>
          <w:spacing w:val="0"/>
          <w:kern w:val="2"/>
          <w:sz w:val="24"/>
          <w:szCs w:val="24"/>
          <w:highlight w:val="none"/>
        </w:rPr>
        <w:t>。</w:t>
      </w:r>
    </w:p>
    <w:tbl>
      <w:tblPr>
        <w:tblStyle w:val="29"/>
        <w:tblW w:w="82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5255"/>
        <w:gridCol w:w="1050"/>
        <w:gridCol w:w="1225"/>
      </w:tblGrid>
      <w:tr w14:paraId="4526E3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705" w:type="dxa"/>
            <w:noWrap w:val="0"/>
            <w:vAlign w:val="center"/>
          </w:tcPr>
          <w:p w14:paraId="0992249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序号</w:t>
            </w:r>
          </w:p>
        </w:tc>
        <w:tc>
          <w:tcPr>
            <w:tcW w:w="5255" w:type="dxa"/>
            <w:noWrap w:val="0"/>
            <w:vAlign w:val="center"/>
          </w:tcPr>
          <w:p w14:paraId="5519DF6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0" w:firstLineChars="20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审查因素</w:t>
            </w:r>
          </w:p>
        </w:tc>
        <w:tc>
          <w:tcPr>
            <w:tcW w:w="1050" w:type="dxa"/>
            <w:noWrap w:val="0"/>
            <w:vAlign w:val="center"/>
          </w:tcPr>
          <w:p w14:paraId="5CA46B8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审查</w:t>
            </w:r>
          </w:p>
          <w:p w14:paraId="3D754F4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标准</w:t>
            </w:r>
          </w:p>
        </w:tc>
        <w:tc>
          <w:tcPr>
            <w:tcW w:w="1225" w:type="dxa"/>
            <w:noWrap w:val="0"/>
            <w:vAlign w:val="center"/>
          </w:tcPr>
          <w:p w14:paraId="76EE7A43">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备注</w:t>
            </w:r>
          </w:p>
        </w:tc>
      </w:tr>
      <w:tr w14:paraId="74582A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05" w:type="dxa"/>
            <w:noWrap w:val="0"/>
            <w:vAlign w:val="center"/>
          </w:tcPr>
          <w:p w14:paraId="60F441A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p>
        </w:tc>
        <w:tc>
          <w:tcPr>
            <w:tcW w:w="5255" w:type="dxa"/>
            <w:noWrap w:val="0"/>
            <w:vAlign w:val="center"/>
          </w:tcPr>
          <w:p w14:paraId="27BBAEA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具有独立承担民事责任能力的法人、其他组织或自然人，并出具合法有效的统一社会信用代码的营业执照或事业单位法人证书等国家规定的相关证明，自然人参与的提供其身份证明。</w:t>
            </w:r>
          </w:p>
        </w:tc>
        <w:tc>
          <w:tcPr>
            <w:tcW w:w="1050" w:type="dxa"/>
            <w:noWrap w:val="0"/>
            <w:vAlign w:val="center"/>
          </w:tcPr>
          <w:p w14:paraId="5F344E5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13B9F5C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668E1A32">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6EB807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5" w:type="dxa"/>
            <w:noWrap w:val="0"/>
            <w:vAlign w:val="center"/>
          </w:tcPr>
          <w:p w14:paraId="3C9FB633">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w:t>
            </w:r>
          </w:p>
        </w:tc>
        <w:tc>
          <w:tcPr>
            <w:tcW w:w="5255" w:type="dxa"/>
            <w:noWrap w:val="0"/>
            <w:vAlign w:val="center"/>
          </w:tcPr>
          <w:p w14:paraId="59C63D8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供应商是生产厂家的须提供有效的《食品生产许可证》及《食品经营许可证》;供应商为经销商的须提供有效的《食品经营许可证》；</w:t>
            </w:r>
          </w:p>
        </w:tc>
        <w:tc>
          <w:tcPr>
            <w:tcW w:w="1050" w:type="dxa"/>
            <w:noWrap w:val="0"/>
            <w:vAlign w:val="center"/>
          </w:tcPr>
          <w:p w14:paraId="3CC8ECAA">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5CFEA24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24CDC67E">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671BFA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5" w:type="dxa"/>
            <w:noWrap w:val="0"/>
            <w:vAlign w:val="center"/>
          </w:tcPr>
          <w:p w14:paraId="5DC71EB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3</w:t>
            </w:r>
          </w:p>
        </w:tc>
        <w:tc>
          <w:tcPr>
            <w:tcW w:w="5255" w:type="dxa"/>
            <w:noWrap w:val="0"/>
            <w:vAlign w:val="center"/>
          </w:tcPr>
          <w:p w14:paraId="73F6EBB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应授权合法的人员参加谈判全过程，其中法定代表人直接参加谈判的，须出具法定代表人身份证明，并与营业执照上信息一致，法定代表人授权代表参加谈判的，须出具法定代表人授权书及授权代表身份证；</w:t>
            </w:r>
          </w:p>
        </w:tc>
        <w:tc>
          <w:tcPr>
            <w:tcW w:w="1050" w:type="dxa"/>
            <w:noWrap w:val="0"/>
            <w:vAlign w:val="center"/>
          </w:tcPr>
          <w:p w14:paraId="366D43B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76091B4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4108629A">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谈判文件提供的格式</w:t>
            </w:r>
          </w:p>
        </w:tc>
      </w:tr>
      <w:tr w14:paraId="402BEB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5" w:type="dxa"/>
            <w:noWrap w:val="0"/>
            <w:vAlign w:val="center"/>
          </w:tcPr>
          <w:p w14:paraId="5D87250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4</w:t>
            </w:r>
          </w:p>
        </w:tc>
        <w:tc>
          <w:tcPr>
            <w:tcW w:w="5255" w:type="dxa"/>
            <w:shd w:val="clear" w:color="auto" w:fill="auto"/>
            <w:noWrap w:val="0"/>
            <w:vAlign w:val="center"/>
          </w:tcPr>
          <w:p w14:paraId="7830970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财务状况：提供2025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p>
        </w:tc>
        <w:tc>
          <w:tcPr>
            <w:tcW w:w="1050" w:type="dxa"/>
            <w:shd w:val="clear" w:color="auto" w:fill="auto"/>
            <w:noWrap w:val="0"/>
            <w:vAlign w:val="center"/>
          </w:tcPr>
          <w:p w14:paraId="1D6685A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09460B2A">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有效</w:t>
            </w:r>
          </w:p>
        </w:tc>
        <w:tc>
          <w:tcPr>
            <w:tcW w:w="1225" w:type="dxa"/>
            <w:shd w:val="clear" w:color="auto" w:fill="auto"/>
            <w:noWrap w:val="0"/>
            <w:vAlign w:val="center"/>
          </w:tcPr>
          <w:p w14:paraId="1E0C254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4D4459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705" w:type="dxa"/>
            <w:noWrap w:val="0"/>
            <w:vAlign w:val="center"/>
          </w:tcPr>
          <w:p w14:paraId="78964B0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5</w:t>
            </w:r>
          </w:p>
        </w:tc>
        <w:tc>
          <w:tcPr>
            <w:tcW w:w="5255" w:type="dxa"/>
            <w:noWrap w:val="0"/>
            <w:vAlign w:val="center"/>
          </w:tcPr>
          <w:p w14:paraId="06DF74E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社会保障资金缴纳证明：提供2025年7月至今已缴存的至少3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 </w:t>
            </w:r>
          </w:p>
        </w:tc>
        <w:tc>
          <w:tcPr>
            <w:tcW w:w="1050" w:type="dxa"/>
            <w:noWrap w:val="0"/>
            <w:vAlign w:val="center"/>
          </w:tcPr>
          <w:p w14:paraId="5BEEDE4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17D17C9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59E8399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56B4BC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05" w:type="dxa"/>
            <w:noWrap w:val="0"/>
            <w:vAlign w:val="center"/>
          </w:tcPr>
          <w:p w14:paraId="152A69A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6</w:t>
            </w:r>
          </w:p>
        </w:tc>
        <w:tc>
          <w:tcPr>
            <w:tcW w:w="5255" w:type="dxa"/>
            <w:noWrap w:val="0"/>
            <w:vAlign w:val="center"/>
          </w:tcPr>
          <w:p w14:paraId="3F8F43B3">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税收缴纳证明：提供2025年7月至今已缴纳的至少3个月的纳税证明或完税证明，依法免税的单位应提供相关证明材料（注册时间不满3个月的，应当提供注册时至参加政府采购活动时相应期限内本单位税收缴纳的相关证明文件）；</w:t>
            </w:r>
          </w:p>
        </w:tc>
        <w:tc>
          <w:tcPr>
            <w:tcW w:w="1050" w:type="dxa"/>
            <w:noWrap w:val="0"/>
            <w:vAlign w:val="center"/>
          </w:tcPr>
          <w:p w14:paraId="6918A92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7821F68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731572C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3790E2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05" w:type="dxa"/>
            <w:noWrap w:val="0"/>
            <w:vAlign w:val="center"/>
          </w:tcPr>
          <w:p w14:paraId="6C06C9EA">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7</w:t>
            </w:r>
          </w:p>
        </w:tc>
        <w:tc>
          <w:tcPr>
            <w:tcW w:w="5255" w:type="dxa"/>
            <w:noWrap w:val="0"/>
            <w:vAlign w:val="center"/>
          </w:tcPr>
          <w:p w14:paraId="7CEE651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参加本次政府采购活动前三年内，在经营活动中没有重大违法记录声明。</w:t>
            </w:r>
          </w:p>
        </w:tc>
        <w:tc>
          <w:tcPr>
            <w:tcW w:w="1050" w:type="dxa"/>
            <w:noWrap w:val="0"/>
            <w:vAlign w:val="center"/>
          </w:tcPr>
          <w:p w14:paraId="33764323">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09F8D57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57524A1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3AED6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05" w:type="dxa"/>
            <w:noWrap w:val="0"/>
            <w:vAlign w:val="center"/>
          </w:tcPr>
          <w:p w14:paraId="51A6B47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8</w:t>
            </w:r>
          </w:p>
        </w:tc>
        <w:tc>
          <w:tcPr>
            <w:tcW w:w="5255" w:type="dxa"/>
            <w:noWrap w:val="0"/>
            <w:vAlign w:val="center"/>
          </w:tcPr>
          <w:p w14:paraId="2DA7E68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提供具有履行合同所必需的设备和专业技术能力的承诺函；</w:t>
            </w:r>
          </w:p>
        </w:tc>
        <w:tc>
          <w:tcPr>
            <w:tcW w:w="1050" w:type="dxa"/>
            <w:noWrap w:val="0"/>
            <w:vAlign w:val="center"/>
          </w:tcPr>
          <w:p w14:paraId="069C4ED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51982D4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1A42239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0C8CE3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705" w:type="dxa"/>
            <w:noWrap w:val="0"/>
            <w:vAlign w:val="center"/>
          </w:tcPr>
          <w:p w14:paraId="19BD32A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9</w:t>
            </w:r>
          </w:p>
        </w:tc>
        <w:tc>
          <w:tcPr>
            <w:tcW w:w="5255" w:type="dxa"/>
            <w:noWrap w:val="0"/>
            <w:vAlign w:val="center"/>
          </w:tcPr>
          <w:p w14:paraId="73C572E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不得为“信用中国”网站(http://www.creditchina.gov.cn)列入“失信被执行人（页面跳转至“中国执行信息公开网”http://zxgk.court.gov.cn/shixin/）、重大税收违法失信主体的供应商；不得为中国政府采购网(http://www.ccgp.gov.cn)“政府采购严重违法失信行为记录名单”中的供应商；</w:t>
            </w:r>
          </w:p>
        </w:tc>
        <w:tc>
          <w:tcPr>
            <w:tcW w:w="1050" w:type="dxa"/>
            <w:noWrap w:val="0"/>
            <w:vAlign w:val="center"/>
          </w:tcPr>
          <w:p w14:paraId="6399DA6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69775CDE">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0148DC7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04E309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705" w:type="dxa"/>
            <w:noWrap w:val="0"/>
            <w:vAlign w:val="center"/>
          </w:tcPr>
          <w:p w14:paraId="4E66D51E">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10</w:t>
            </w:r>
          </w:p>
        </w:tc>
        <w:tc>
          <w:tcPr>
            <w:tcW w:w="5255" w:type="dxa"/>
            <w:noWrap w:val="0"/>
            <w:vAlign w:val="center"/>
          </w:tcPr>
          <w:p w14:paraId="5B0DE79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本项目不接受联合体谈判</w:t>
            </w:r>
            <w:r>
              <w:rPr>
                <w:rFonts w:hint="eastAsia" w:ascii="宋体" w:hAnsi="宋体" w:eastAsia="宋体" w:cs="宋体"/>
                <w:color w:val="auto"/>
                <w:spacing w:val="0"/>
                <w:kern w:val="2"/>
                <w:sz w:val="24"/>
                <w:szCs w:val="24"/>
                <w:highlight w:val="none"/>
                <w:lang w:eastAsia="zh-CN"/>
              </w:rPr>
              <w:t>；</w:t>
            </w:r>
          </w:p>
        </w:tc>
        <w:tc>
          <w:tcPr>
            <w:tcW w:w="1050" w:type="dxa"/>
            <w:noWrap w:val="0"/>
            <w:vAlign w:val="center"/>
          </w:tcPr>
          <w:p w14:paraId="18FAC43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2B77854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44AEB87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221CF3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05" w:type="dxa"/>
            <w:noWrap w:val="0"/>
            <w:vAlign w:val="center"/>
          </w:tcPr>
          <w:p w14:paraId="1A025B6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11</w:t>
            </w:r>
          </w:p>
        </w:tc>
        <w:tc>
          <w:tcPr>
            <w:tcW w:w="5255" w:type="dxa"/>
            <w:noWrap w:val="0"/>
            <w:vAlign w:val="center"/>
          </w:tcPr>
          <w:p w14:paraId="653EE0C2">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本项目为专门面向中小企业采购项目，需提供中小企业声明函。</w:t>
            </w:r>
          </w:p>
        </w:tc>
        <w:tc>
          <w:tcPr>
            <w:tcW w:w="1050" w:type="dxa"/>
            <w:noWrap w:val="0"/>
            <w:vAlign w:val="center"/>
          </w:tcPr>
          <w:p w14:paraId="7EB44CAE">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7C193AE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1C5C585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54B3DA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05" w:type="dxa"/>
            <w:noWrap w:val="0"/>
            <w:vAlign w:val="center"/>
          </w:tcPr>
          <w:p w14:paraId="51E7B25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12</w:t>
            </w:r>
          </w:p>
        </w:tc>
        <w:tc>
          <w:tcPr>
            <w:tcW w:w="5255" w:type="dxa"/>
            <w:noWrap w:val="0"/>
            <w:vAlign w:val="center"/>
          </w:tcPr>
          <w:p w14:paraId="0F86CEBC">
            <w:pPr>
              <w:pStyle w:val="2"/>
              <w:ind w:left="0" w:leftChars="0" w:firstLine="0" w:firstLineChars="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bidi="ar-SA"/>
              </w:rPr>
              <w:t>谈判保证金</w:t>
            </w:r>
          </w:p>
        </w:tc>
        <w:tc>
          <w:tcPr>
            <w:tcW w:w="1050" w:type="dxa"/>
            <w:noWrap w:val="0"/>
            <w:vAlign w:val="center"/>
          </w:tcPr>
          <w:p w14:paraId="2DC3AEE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1BD87DF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372FCC9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提供复印件</w:t>
            </w:r>
          </w:p>
        </w:tc>
      </w:tr>
    </w:tbl>
    <w:p w14:paraId="3CEB7642">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3.3供应商落实政府采购政策资格条件审查</w:t>
      </w:r>
    </w:p>
    <w:p w14:paraId="4B5708E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2"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3.3.1供应商落实政府采购政策资格条件审查方法：</w:t>
      </w:r>
    </w:p>
    <w:p w14:paraId="05E5505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2" w:firstLineChars="200"/>
        <w:textAlignment w:val="auto"/>
        <w:rPr>
          <w:rFonts w:hint="eastAsia" w:ascii="宋体" w:hAnsi="宋体" w:eastAsia="宋体" w:cs="宋体"/>
          <w:b/>
          <w:bCs/>
          <w:i w:val="0"/>
          <w:iCs w:val="0"/>
          <w:caps w:val="0"/>
          <w:color w:val="auto"/>
          <w:spacing w:val="0"/>
          <w:kern w:val="2"/>
          <w:sz w:val="24"/>
          <w:szCs w:val="24"/>
          <w:highlight w:val="none"/>
          <w:shd w:val="clear" w:color="auto" w:fill="FFFFFF"/>
          <w:lang w:val="en-US" w:eastAsia="zh-CN"/>
        </w:rPr>
      </w:pPr>
      <w:r>
        <w:rPr>
          <w:rFonts w:hint="eastAsia" w:ascii="宋体" w:hAnsi="宋体" w:eastAsia="宋体" w:cs="宋体"/>
          <w:b/>
          <w:bCs/>
          <w:i w:val="0"/>
          <w:iCs w:val="0"/>
          <w:caps w:val="0"/>
          <w:color w:val="auto"/>
          <w:spacing w:val="0"/>
          <w:kern w:val="2"/>
          <w:sz w:val="24"/>
          <w:szCs w:val="24"/>
          <w:highlight w:val="none"/>
          <w:shd w:val="clear" w:color="auto" w:fill="FFFFFF"/>
          <w:lang w:val="en-US" w:eastAsia="zh-CN"/>
        </w:rPr>
        <w:t>本项目专门面向中小企业采购，供应商应当为中小企业（含残疾人福利性单位、监狱企业）</w:t>
      </w:r>
    </w:p>
    <w:p w14:paraId="49C0312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2"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b/>
          <w:color w:val="auto"/>
          <w:spacing w:val="0"/>
          <w:kern w:val="2"/>
          <w:sz w:val="24"/>
          <w:szCs w:val="24"/>
          <w:highlight w:val="none"/>
        </w:rPr>
        <w:t>3.</w:t>
      </w:r>
      <w:r>
        <w:rPr>
          <w:rFonts w:hint="eastAsia" w:ascii="宋体" w:hAnsi="宋体" w:eastAsia="宋体" w:cs="宋体"/>
          <w:b/>
          <w:color w:val="auto"/>
          <w:spacing w:val="0"/>
          <w:kern w:val="2"/>
          <w:sz w:val="24"/>
          <w:szCs w:val="24"/>
          <w:highlight w:val="none"/>
          <w:lang w:val="en-US" w:eastAsia="zh-CN"/>
        </w:rPr>
        <w:t>4</w:t>
      </w:r>
      <w:r>
        <w:rPr>
          <w:rFonts w:hint="eastAsia" w:ascii="宋体" w:hAnsi="宋体" w:eastAsia="宋体" w:cs="宋体"/>
          <w:color w:val="auto"/>
          <w:spacing w:val="0"/>
          <w:kern w:val="2"/>
          <w:sz w:val="24"/>
          <w:szCs w:val="24"/>
          <w:highlight w:val="none"/>
        </w:rPr>
        <w:t>资格审查小组将依据供应商响应文件之资格证明文件和通过国家企业信用信息公示系统（http://www.gsxt.gov.cn/index.html）对供应商之间存在隶属关系或者其他利害关系进行相关信息的核实。</w:t>
      </w:r>
    </w:p>
    <w:p w14:paraId="0B77258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（1）供应商存在第二章第1.3.2条列举情形之一的，审查不予通过，即判定其限定资格条件审查结果为不合格，</w:t>
      </w:r>
      <w:r>
        <w:rPr>
          <w:rFonts w:hint="eastAsia" w:ascii="宋体" w:hAnsi="宋体" w:eastAsia="宋体" w:cs="宋体"/>
          <w:b/>
          <w:color w:val="auto"/>
          <w:spacing w:val="0"/>
          <w:kern w:val="2"/>
          <w:sz w:val="24"/>
          <w:szCs w:val="24"/>
          <w:highlight w:val="none"/>
        </w:rPr>
        <w:t>其响应文件无效</w:t>
      </w:r>
      <w:r>
        <w:rPr>
          <w:rFonts w:hint="eastAsia" w:ascii="宋体" w:hAnsi="宋体" w:eastAsia="宋体" w:cs="宋体"/>
          <w:color w:val="auto"/>
          <w:spacing w:val="0"/>
          <w:kern w:val="2"/>
          <w:sz w:val="24"/>
          <w:szCs w:val="24"/>
          <w:highlight w:val="none"/>
        </w:rPr>
        <w:t>。</w:t>
      </w:r>
    </w:p>
    <w:p w14:paraId="67C22F29">
      <w:pPr>
        <w:keepNext w:val="0"/>
        <w:keepLines w:val="0"/>
        <w:pageBreakBefore w:val="0"/>
        <w:widowControl w:val="0"/>
        <w:kinsoku/>
        <w:wordWrap w:val="0"/>
        <w:overflowPunct/>
        <w:topLinePunct/>
        <w:autoSpaceDE/>
        <w:autoSpaceDN/>
        <w:bidi w:val="0"/>
        <w:spacing w:line="500" w:lineRule="exact"/>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4.资格审查报告</w:t>
      </w:r>
    </w:p>
    <w:p w14:paraId="70BC4D04">
      <w:pPr>
        <w:keepNext w:val="0"/>
        <w:keepLines w:val="0"/>
        <w:pageBreakBefore w:val="0"/>
        <w:widowControl w:val="0"/>
        <w:kinsoku/>
        <w:wordWrap w:val="0"/>
        <w:overflowPunct/>
        <w:topLinePunct/>
        <w:autoSpaceDE/>
        <w:autoSpaceDN/>
        <w:bidi w:val="0"/>
        <w:spacing w:line="5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4.1 资格审查报告由资格审查小组负责编制，以采购代理机构名义向采购人提交，其附表《供应商资格审查表》应当经资格审查小组全体成员签名确认。资格审查报告经采购人盖章确认后随采购文件一并存档。</w:t>
      </w:r>
    </w:p>
    <w:p w14:paraId="4223902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0" w:firstLineChars="200"/>
        <w:textAlignment w:val="auto"/>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val="en-US" w:eastAsia="zh-CN"/>
        </w:rPr>
        <w:t>2</w:t>
      </w:r>
      <w:r>
        <w:rPr>
          <w:rFonts w:hint="eastAsia" w:ascii="宋体" w:hAnsi="宋体" w:eastAsia="宋体" w:cs="宋体"/>
          <w:b/>
          <w:color w:val="auto"/>
          <w:spacing w:val="0"/>
          <w:kern w:val="2"/>
          <w:sz w:val="24"/>
          <w:szCs w:val="24"/>
          <w:highlight w:val="none"/>
        </w:rPr>
        <w:t xml:space="preserve"> 未通过资格审查的供应商，不得进入后续谈判、评审环节。</w:t>
      </w:r>
    </w:p>
    <w:p w14:paraId="27D9C5EE">
      <w:pPr>
        <w:keepNext w:val="0"/>
        <w:keepLines w:val="0"/>
        <w:pageBreakBefore w:val="0"/>
        <w:widowControl w:val="0"/>
        <w:kinsoku/>
        <w:wordWrap w:val="0"/>
        <w:overflowPunct/>
        <w:topLinePunct/>
        <w:autoSpaceDE/>
        <w:autoSpaceDN/>
        <w:bidi w:val="0"/>
        <w:spacing w:line="360" w:lineRule="auto"/>
        <w:ind w:firstLine="964" w:firstLineChars="400"/>
        <w:jc w:val="both"/>
        <w:rPr>
          <w:rFonts w:hint="eastAsia" w:ascii="宋体" w:hAnsi="宋体" w:eastAsia="宋体" w:cs="宋体"/>
          <w:b/>
          <w:color w:val="auto"/>
          <w:spacing w:val="0"/>
          <w:kern w:val="2"/>
          <w:sz w:val="24"/>
          <w:szCs w:val="24"/>
          <w:highlight w:val="none"/>
        </w:rPr>
      </w:pPr>
    </w:p>
    <w:p w14:paraId="3A3DF74E">
      <w:pPr>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4"/>
          <w:szCs w:val="24"/>
          <w:highlight w:val="none"/>
        </w:rPr>
      </w:pPr>
      <w:bookmarkStart w:id="41" w:name="_Toc29621"/>
      <w:r>
        <w:rPr>
          <w:rFonts w:hint="eastAsia" w:ascii="宋体" w:hAnsi="宋体" w:eastAsia="宋体" w:cs="宋体"/>
          <w:b/>
          <w:color w:val="auto"/>
          <w:spacing w:val="0"/>
          <w:kern w:val="2"/>
          <w:sz w:val="24"/>
          <w:szCs w:val="24"/>
          <w:highlight w:val="none"/>
        </w:rPr>
        <w:br w:type="page"/>
      </w:r>
    </w:p>
    <w:p w14:paraId="74BD59E4">
      <w:pPr>
        <w:pStyle w:val="4"/>
        <w:keepNext w:val="0"/>
        <w:keepLines w:val="0"/>
        <w:pageBreakBefore w:val="0"/>
        <w:widowControl w:val="0"/>
        <w:kinsoku/>
        <w:wordWrap w:val="0"/>
        <w:overflowPunct/>
        <w:topLinePunct/>
        <w:autoSpaceDE/>
        <w:autoSpaceDN/>
        <w:bidi w:val="0"/>
        <w:jc w:val="center"/>
        <w:rPr>
          <w:rFonts w:hint="eastAsia" w:ascii="宋体" w:hAnsi="宋体" w:eastAsia="宋体" w:cs="宋体"/>
          <w:spacing w:val="0"/>
          <w:kern w:val="2"/>
          <w:sz w:val="28"/>
          <w:szCs w:val="28"/>
          <w:lang w:val="en-US" w:eastAsia="zh-CN"/>
        </w:rPr>
      </w:pPr>
      <w:bookmarkStart w:id="42" w:name="_Toc9021"/>
      <w:bookmarkStart w:id="43" w:name="_Toc25409"/>
      <w:r>
        <w:rPr>
          <w:rFonts w:hint="eastAsia" w:ascii="宋体" w:hAnsi="宋体" w:eastAsia="宋体" w:cs="宋体"/>
          <w:spacing w:val="0"/>
          <w:kern w:val="2"/>
          <w:sz w:val="28"/>
          <w:szCs w:val="28"/>
          <w:lang w:val="en-US" w:eastAsia="zh-CN"/>
        </w:rPr>
        <w:t>第四章  谈判办法</w:t>
      </w:r>
      <w:bookmarkEnd w:id="41"/>
      <w:bookmarkEnd w:id="42"/>
      <w:bookmarkEnd w:id="43"/>
    </w:p>
    <w:p w14:paraId="369D7E8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根据《中华人民共和国政府采购法》及其实施条例和《政府采购非招标采购方式管理办法》（财政部令第74号）等法律法规的规定，结合采购项目特点，制定本谈判办法。</w:t>
      </w:r>
    </w:p>
    <w:p w14:paraId="30F36DD6">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1.谈判程序</w:t>
      </w:r>
    </w:p>
    <w:p w14:paraId="6FA49EC3">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b/>
          <w:color w:val="auto"/>
          <w:spacing w:val="0"/>
          <w:kern w:val="2"/>
          <w:sz w:val="24"/>
          <w:szCs w:val="24"/>
          <w:highlight w:val="none"/>
        </w:rPr>
        <w:t>1.1 谈判按下列程序进行：</w:t>
      </w:r>
    </w:p>
    <w:p w14:paraId="264C264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（1）响应文件符合性；</w:t>
      </w:r>
    </w:p>
    <w:p w14:paraId="292AB2A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（2）响应文件的澄清；</w:t>
      </w:r>
    </w:p>
    <w:p w14:paraId="307E180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（3）技术文件评审；</w:t>
      </w:r>
    </w:p>
    <w:p w14:paraId="4DA45FD6">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（4）谈判（包括技术谈判、商务谈判、提交最后报价）；</w:t>
      </w:r>
    </w:p>
    <w:p w14:paraId="6E29343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（5）最后报价评审；</w:t>
      </w:r>
    </w:p>
    <w:p w14:paraId="7CFC929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（6）复核与核对评审结果；</w:t>
      </w:r>
    </w:p>
    <w:p w14:paraId="597FB9D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（7）确定成交候选人名单；</w:t>
      </w:r>
    </w:p>
    <w:p w14:paraId="1DE9B90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（8）编写评审报告。</w:t>
      </w:r>
    </w:p>
    <w:p w14:paraId="3B8E18D6">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1.2 响应文件符合性审查</w:t>
      </w:r>
    </w:p>
    <w:p w14:paraId="73F71C8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1.2.1 谈判小组依法对通过资格条件审查的供应商响应文件进行符合性审查。谈判小组从响应文件的有效性、完整性和对谈判文件的响应程度进行审查，以确定其是否对谈判文件实质性要求作出响应，有无恶意串通行为。</w:t>
      </w:r>
    </w:p>
    <w:p w14:paraId="60FCBDB7">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1.2.2 谈判小组将按下列评审标准对供应商的响应文件进行符合性审查，</w:t>
      </w:r>
      <w:r>
        <w:rPr>
          <w:rFonts w:hint="eastAsia" w:ascii="宋体" w:hAnsi="宋体" w:eastAsia="宋体" w:cs="宋体"/>
          <w:bCs/>
          <w:color w:val="auto"/>
          <w:spacing w:val="0"/>
          <w:kern w:val="2"/>
          <w:sz w:val="24"/>
          <w:szCs w:val="24"/>
          <w:highlight w:val="none"/>
        </w:rPr>
        <w:t>供应商若</w:t>
      </w:r>
      <w:r>
        <w:rPr>
          <w:rFonts w:hint="eastAsia" w:ascii="宋体" w:hAnsi="宋体" w:eastAsia="宋体" w:cs="宋体"/>
          <w:color w:val="auto"/>
          <w:spacing w:val="0"/>
          <w:kern w:val="2"/>
          <w:sz w:val="24"/>
          <w:szCs w:val="24"/>
          <w:highlight w:val="none"/>
        </w:rPr>
        <w:t>有一项不合格，即判定其符合性审查结果为不合格，将不具备谈判资格，</w:t>
      </w:r>
      <w:r>
        <w:rPr>
          <w:rFonts w:hint="eastAsia" w:ascii="宋体" w:hAnsi="宋体" w:eastAsia="宋体" w:cs="宋体"/>
          <w:b/>
          <w:color w:val="auto"/>
          <w:spacing w:val="0"/>
          <w:kern w:val="2"/>
          <w:sz w:val="24"/>
          <w:szCs w:val="24"/>
          <w:highlight w:val="none"/>
        </w:rPr>
        <w:t>其响应文件无效</w:t>
      </w:r>
      <w:r>
        <w:rPr>
          <w:rFonts w:hint="eastAsia" w:ascii="宋体" w:hAnsi="宋体" w:eastAsia="宋体" w:cs="宋体"/>
          <w:color w:val="auto"/>
          <w:spacing w:val="0"/>
          <w:kern w:val="2"/>
          <w:sz w:val="24"/>
          <w:szCs w:val="24"/>
          <w:highlight w:val="none"/>
        </w:rPr>
        <w:t>。</w:t>
      </w:r>
    </w:p>
    <w:p w14:paraId="5B2FA82F">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6E4E88D0">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445A3387">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4AB372CD">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38B0231A">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1F0D5DA3">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tbl>
      <w:tblPr>
        <w:tblStyle w:val="29"/>
        <w:tblW w:w="8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32"/>
        <w:gridCol w:w="724"/>
        <w:gridCol w:w="1794"/>
        <w:gridCol w:w="5120"/>
      </w:tblGrid>
      <w:tr w14:paraId="01A2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32" w:type="dxa"/>
            <w:shd w:val="clear" w:color="auto" w:fill="auto"/>
            <w:noWrap w:val="0"/>
            <w:vAlign w:val="center"/>
          </w:tcPr>
          <w:p w14:paraId="219ADBB3">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both"/>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21"/>
                <w:szCs w:val="21"/>
                <w:highlight w:val="none"/>
              </w:rPr>
              <w:t>序号</w:t>
            </w:r>
          </w:p>
        </w:tc>
        <w:tc>
          <w:tcPr>
            <w:tcW w:w="2518" w:type="dxa"/>
            <w:gridSpan w:val="2"/>
            <w:shd w:val="clear" w:color="auto" w:fill="auto"/>
            <w:noWrap w:val="0"/>
            <w:vAlign w:val="center"/>
          </w:tcPr>
          <w:p w14:paraId="41F74FEF">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jc w:val="center"/>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21"/>
                <w:szCs w:val="21"/>
                <w:highlight w:val="none"/>
              </w:rPr>
              <w:t>评审因素</w:t>
            </w:r>
          </w:p>
        </w:tc>
        <w:tc>
          <w:tcPr>
            <w:tcW w:w="5120" w:type="dxa"/>
            <w:shd w:val="clear" w:color="auto" w:fill="auto"/>
            <w:noWrap w:val="0"/>
            <w:vAlign w:val="center"/>
          </w:tcPr>
          <w:p w14:paraId="7373D4A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jc w:val="center"/>
              <w:textAlignment w:val="auto"/>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21"/>
                <w:szCs w:val="21"/>
                <w:highlight w:val="none"/>
              </w:rPr>
              <w:t>评审标准</w:t>
            </w:r>
          </w:p>
        </w:tc>
      </w:tr>
      <w:tr w14:paraId="4652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8" w:hRule="atLeast"/>
        </w:trPr>
        <w:tc>
          <w:tcPr>
            <w:tcW w:w="732" w:type="dxa"/>
            <w:vMerge w:val="restart"/>
            <w:shd w:val="clear" w:color="auto" w:fill="auto"/>
            <w:noWrap w:val="0"/>
            <w:vAlign w:val="center"/>
          </w:tcPr>
          <w:p w14:paraId="3C3D9D51">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w:t>
            </w:r>
          </w:p>
        </w:tc>
        <w:tc>
          <w:tcPr>
            <w:tcW w:w="724" w:type="dxa"/>
            <w:vMerge w:val="restart"/>
            <w:shd w:val="clear" w:color="auto" w:fill="auto"/>
            <w:noWrap w:val="0"/>
            <w:vAlign w:val="center"/>
          </w:tcPr>
          <w:p w14:paraId="7CDCACB6">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有效性审查</w:t>
            </w:r>
          </w:p>
        </w:tc>
        <w:tc>
          <w:tcPr>
            <w:tcW w:w="1794" w:type="dxa"/>
            <w:shd w:val="clear" w:color="auto" w:fill="auto"/>
            <w:noWrap w:val="0"/>
            <w:vAlign w:val="center"/>
          </w:tcPr>
          <w:p w14:paraId="4917D2F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（1）响应文件的签署盖章</w:t>
            </w:r>
          </w:p>
        </w:tc>
        <w:tc>
          <w:tcPr>
            <w:tcW w:w="5120" w:type="dxa"/>
            <w:shd w:val="clear" w:color="auto" w:fill="auto"/>
            <w:noWrap w:val="0"/>
            <w:vAlign w:val="center"/>
          </w:tcPr>
          <w:p w14:paraId="0ADB9FAB">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符合第二章“供应商须知”第4.6条款的规定</w:t>
            </w:r>
          </w:p>
        </w:tc>
      </w:tr>
      <w:tr w14:paraId="2E8F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5" w:hRule="atLeast"/>
        </w:trPr>
        <w:tc>
          <w:tcPr>
            <w:tcW w:w="732" w:type="dxa"/>
            <w:vMerge w:val="continue"/>
            <w:shd w:val="clear" w:color="auto" w:fill="auto"/>
            <w:noWrap w:val="0"/>
            <w:vAlign w:val="top"/>
          </w:tcPr>
          <w:p w14:paraId="5593BC90">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617BE0CF">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7A1564B4">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（2）响应文件格式</w:t>
            </w:r>
          </w:p>
        </w:tc>
        <w:tc>
          <w:tcPr>
            <w:tcW w:w="5120" w:type="dxa"/>
            <w:shd w:val="clear" w:color="auto" w:fill="auto"/>
            <w:noWrap w:val="0"/>
            <w:vAlign w:val="center"/>
          </w:tcPr>
          <w:p w14:paraId="75091E84">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符合第七章“响应文件格式”的规定</w:t>
            </w:r>
          </w:p>
        </w:tc>
      </w:tr>
      <w:tr w14:paraId="426E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732" w:type="dxa"/>
            <w:vMerge w:val="continue"/>
            <w:shd w:val="clear" w:color="auto" w:fill="auto"/>
            <w:noWrap w:val="0"/>
            <w:vAlign w:val="top"/>
          </w:tcPr>
          <w:p w14:paraId="31AFA256">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660C209F">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28E7AE70">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both"/>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rPr>
              <w:t>（3）报价</w:t>
            </w:r>
            <w:r>
              <w:rPr>
                <w:rFonts w:hint="eastAsia" w:ascii="宋体" w:hAnsi="宋体" w:eastAsia="宋体" w:cs="宋体"/>
                <w:color w:val="auto"/>
                <w:spacing w:val="0"/>
                <w:kern w:val="2"/>
                <w:sz w:val="21"/>
                <w:szCs w:val="21"/>
                <w:highlight w:val="none"/>
                <w:lang w:val="en-US" w:eastAsia="zh-CN"/>
              </w:rPr>
              <w:t>唯一</w:t>
            </w:r>
          </w:p>
        </w:tc>
        <w:tc>
          <w:tcPr>
            <w:tcW w:w="5120" w:type="dxa"/>
            <w:shd w:val="clear" w:color="auto" w:fill="auto"/>
            <w:noWrap w:val="0"/>
            <w:vAlign w:val="center"/>
          </w:tcPr>
          <w:p w14:paraId="7D7C3B1B">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只能有一个有效报价，不得提交选择性报价，且报价不超过第二章“供应商须知”前附表规定的采购预算金额或最高限价</w:t>
            </w:r>
          </w:p>
        </w:tc>
      </w:tr>
      <w:tr w14:paraId="106E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8" w:hRule="atLeast"/>
        </w:trPr>
        <w:tc>
          <w:tcPr>
            <w:tcW w:w="732" w:type="dxa"/>
            <w:vMerge w:val="continue"/>
            <w:shd w:val="clear" w:color="auto" w:fill="auto"/>
            <w:noWrap w:val="0"/>
            <w:vAlign w:val="top"/>
          </w:tcPr>
          <w:p w14:paraId="27406737">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2309E6AF">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2A72F88B">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（4）电子文件解密</w:t>
            </w:r>
          </w:p>
        </w:tc>
        <w:tc>
          <w:tcPr>
            <w:tcW w:w="5120" w:type="dxa"/>
            <w:shd w:val="clear" w:color="auto" w:fill="auto"/>
            <w:noWrap w:val="0"/>
            <w:vAlign w:val="center"/>
          </w:tcPr>
          <w:p w14:paraId="05755F7D">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不存在第二章“供应商须知”第6.2.3条款规定的任何一种情形</w:t>
            </w:r>
          </w:p>
        </w:tc>
      </w:tr>
      <w:tr w14:paraId="7D1D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732" w:type="dxa"/>
            <w:vMerge w:val="continue"/>
            <w:shd w:val="clear" w:color="auto" w:fill="auto"/>
            <w:noWrap w:val="0"/>
            <w:vAlign w:val="top"/>
          </w:tcPr>
          <w:p w14:paraId="64C91DBA">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6F00FD6B">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25E35BA6">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（5）附加条件</w:t>
            </w:r>
          </w:p>
        </w:tc>
        <w:tc>
          <w:tcPr>
            <w:tcW w:w="5120" w:type="dxa"/>
            <w:shd w:val="clear" w:color="auto" w:fill="auto"/>
            <w:noWrap w:val="0"/>
            <w:vAlign w:val="center"/>
          </w:tcPr>
          <w:p w14:paraId="406B0326">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响应文件未含有采购人不能接受的附加条件</w:t>
            </w:r>
          </w:p>
        </w:tc>
      </w:tr>
      <w:tr w14:paraId="625F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8" w:hRule="atLeast"/>
        </w:trPr>
        <w:tc>
          <w:tcPr>
            <w:tcW w:w="732" w:type="dxa"/>
            <w:vMerge w:val="continue"/>
            <w:shd w:val="clear" w:color="auto" w:fill="auto"/>
            <w:noWrap w:val="0"/>
            <w:vAlign w:val="center"/>
          </w:tcPr>
          <w:p w14:paraId="54326DE9">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jc w:val="center"/>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center"/>
          </w:tcPr>
          <w:p w14:paraId="3230B620">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jc w:val="center"/>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2E44C72B">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（6）不存在恶意串通的情形</w:t>
            </w:r>
          </w:p>
        </w:tc>
        <w:tc>
          <w:tcPr>
            <w:tcW w:w="5120" w:type="dxa"/>
            <w:shd w:val="clear" w:color="auto" w:fill="auto"/>
            <w:noWrap w:val="0"/>
            <w:vAlign w:val="center"/>
          </w:tcPr>
          <w:p w14:paraId="6EF15FE8">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不存在本章第1.2.3条款规定的任何一种情形</w:t>
            </w:r>
          </w:p>
        </w:tc>
      </w:tr>
      <w:tr w14:paraId="1FB4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8" w:hRule="atLeast"/>
        </w:trPr>
        <w:tc>
          <w:tcPr>
            <w:tcW w:w="732" w:type="dxa"/>
            <w:vMerge w:val="restart"/>
            <w:shd w:val="clear" w:color="auto" w:fill="auto"/>
            <w:noWrap w:val="0"/>
            <w:vAlign w:val="center"/>
          </w:tcPr>
          <w:p w14:paraId="2A86B8A2">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2</w:t>
            </w:r>
          </w:p>
        </w:tc>
        <w:tc>
          <w:tcPr>
            <w:tcW w:w="724" w:type="dxa"/>
            <w:vMerge w:val="restart"/>
            <w:shd w:val="clear" w:color="auto" w:fill="auto"/>
            <w:noWrap w:val="0"/>
            <w:vAlign w:val="center"/>
          </w:tcPr>
          <w:p w14:paraId="3654B887">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完整性审查</w:t>
            </w:r>
          </w:p>
        </w:tc>
        <w:tc>
          <w:tcPr>
            <w:tcW w:w="1794" w:type="dxa"/>
            <w:shd w:val="clear" w:color="auto" w:fill="auto"/>
            <w:noWrap w:val="0"/>
            <w:vAlign w:val="center"/>
          </w:tcPr>
          <w:p w14:paraId="4B566612">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（7）响应文件份数</w:t>
            </w:r>
          </w:p>
        </w:tc>
        <w:tc>
          <w:tcPr>
            <w:tcW w:w="5120" w:type="dxa"/>
            <w:shd w:val="clear" w:color="auto" w:fill="auto"/>
            <w:noWrap w:val="0"/>
            <w:vAlign w:val="center"/>
          </w:tcPr>
          <w:p w14:paraId="797B45F8">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符合第二章“供应商须知”第</w:t>
            </w:r>
            <w:r>
              <w:rPr>
                <w:rFonts w:hint="eastAsia" w:ascii="宋体" w:hAnsi="宋体" w:eastAsia="宋体" w:cs="宋体"/>
                <w:color w:val="auto"/>
                <w:spacing w:val="0"/>
                <w:kern w:val="2"/>
                <w:sz w:val="21"/>
                <w:szCs w:val="21"/>
                <w:highlight w:val="none"/>
                <w:lang w:val="en-US" w:eastAsia="zh-CN"/>
              </w:rPr>
              <w:t>24</w:t>
            </w:r>
            <w:r>
              <w:rPr>
                <w:rFonts w:hint="eastAsia" w:ascii="宋体" w:hAnsi="宋体" w:eastAsia="宋体" w:cs="宋体"/>
                <w:color w:val="auto"/>
                <w:spacing w:val="0"/>
                <w:kern w:val="2"/>
                <w:sz w:val="21"/>
                <w:szCs w:val="21"/>
                <w:highlight w:val="none"/>
              </w:rPr>
              <w:t>条款的规定</w:t>
            </w:r>
          </w:p>
        </w:tc>
      </w:tr>
      <w:tr w14:paraId="4454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8" w:hRule="atLeast"/>
        </w:trPr>
        <w:tc>
          <w:tcPr>
            <w:tcW w:w="732" w:type="dxa"/>
            <w:vMerge w:val="continue"/>
            <w:shd w:val="clear" w:color="auto" w:fill="auto"/>
            <w:noWrap w:val="0"/>
            <w:vAlign w:val="top"/>
          </w:tcPr>
          <w:p w14:paraId="53B02ED5">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6A9B25E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5E62A842">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（8）响应内容</w:t>
            </w:r>
          </w:p>
        </w:tc>
        <w:tc>
          <w:tcPr>
            <w:tcW w:w="5120" w:type="dxa"/>
            <w:shd w:val="clear" w:color="auto" w:fill="auto"/>
            <w:noWrap w:val="0"/>
            <w:vAlign w:val="center"/>
          </w:tcPr>
          <w:p w14:paraId="326B08DB">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符合第五章“采购需求”规定的</w:t>
            </w:r>
            <w:r>
              <w:rPr>
                <w:rFonts w:hint="eastAsia" w:ascii="宋体" w:hAnsi="宋体" w:eastAsia="宋体" w:cs="宋体"/>
                <w:color w:val="auto"/>
                <w:spacing w:val="0"/>
                <w:kern w:val="2"/>
                <w:sz w:val="21"/>
                <w:szCs w:val="21"/>
                <w:highlight w:val="none"/>
                <w:lang w:val="en-US" w:eastAsia="zh-CN"/>
              </w:rPr>
              <w:t>服务</w:t>
            </w:r>
            <w:r>
              <w:rPr>
                <w:rFonts w:hint="eastAsia" w:ascii="宋体" w:hAnsi="宋体" w:eastAsia="宋体" w:cs="宋体"/>
                <w:color w:val="auto"/>
                <w:spacing w:val="0"/>
                <w:kern w:val="2"/>
                <w:sz w:val="21"/>
                <w:szCs w:val="21"/>
                <w:highlight w:val="none"/>
              </w:rPr>
              <w:t>范围</w:t>
            </w:r>
          </w:p>
        </w:tc>
      </w:tr>
      <w:tr w14:paraId="1352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2" w:hRule="atLeast"/>
        </w:trPr>
        <w:tc>
          <w:tcPr>
            <w:tcW w:w="732" w:type="dxa"/>
            <w:vMerge w:val="restart"/>
            <w:shd w:val="clear" w:color="auto" w:fill="auto"/>
            <w:noWrap w:val="0"/>
            <w:vAlign w:val="center"/>
          </w:tcPr>
          <w:p w14:paraId="7A41839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3</w:t>
            </w:r>
          </w:p>
        </w:tc>
        <w:tc>
          <w:tcPr>
            <w:tcW w:w="724" w:type="dxa"/>
            <w:vMerge w:val="restart"/>
            <w:shd w:val="clear" w:color="auto" w:fill="auto"/>
            <w:noWrap w:val="0"/>
            <w:vAlign w:val="center"/>
          </w:tcPr>
          <w:p w14:paraId="5FFE91E6">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jc w:val="center"/>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响应性审查</w:t>
            </w:r>
          </w:p>
        </w:tc>
        <w:tc>
          <w:tcPr>
            <w:tcW w:w="1794" w:type="dxa"/>
            <w:shd w:val="clear" w:color="auto" w:fill="auto"/>
            <w:noWrap w:val="0"/>
            <w:vAlign w:val="center"/>
          </w:tcPr>
          <w:p w14:paraId="7B080360">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w:t>
            </w:r>
            <w:r>
              <w:rPr>
                <w:rFonts w:hint="eastAsia" w:ascii="宋体" w:hAnsi="宋体" w:eastAsia="宋体" w:cs="宋体"/>
                <w:color w:val="auto"/>
                <w:spacing w:val="0"/>
                <w:kern w:val="2"/>
                <w:sz w:val="21"/>
                <w:szCs w:val="21"/>
                <w:highlight w:val="none"/>
                <w:lang w:val="en-US" w:eastAsia="zh-CN"/>
              </w:rPr>
              <w:t>9</w:t>
            </w:r>
            <w:r>
              <w:rPr>
                <w:rFonts w:hint="eastAsia" w:ascii="宋体" w:hAnsi="宋体" w:eastAsia="宋体" w:cs="宋体"/>
                <w:color w:val="auto"/>
                <w:spacing w:val="0"/>
                <w:kern w:val="2"/>
                <w:sz w:val="21"/>
                <w:szCs w:val="21"/>
                <w:highlight w:val="none"/>
              </w:rPr>
              <w:t>）对谈判文件响应程度</w:t>
            </w:r>
          </w:p>
        </w:tc>
        <w:tc>
          <w:tcPr>
            <w:tcW w:w="5120" w:type="dxa"/>
            <w:shd w:val="clear" w:color="auto" w:fill="auto"/>
            <w:noWrap w:val="0"/>
            <w:vAlign w:val="center"/>
          </w:tcPr>
          <w:p w14:paraId="3847B3F8">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符合谈判文件实质性要求的规定</w:t>
            </w:r>
          </w:p>
        </w:tc>
      </w:tr>
      <w:tr w14:paraId="21A1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7" w:hRule="atLeast"/>
        </w:trPr>
        <w:tc>
          <w:tcPr>
            <w:tcW w:w="732" w:type="dxa"/>
            <w:vMerge w:val="continue"/>
            <w:shd w:val="clear" w:color="auto" w:fill="auto"/>
            <w:noWrap w:val="0"/>
            <w:vAlign w:val="top"/>
          </w:tcPr>
          <w:p w14:paraId="69155625">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7A1EF4D4">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0259EEA0">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rPr>
              <w:t>（</w:t>
            </w:r>
            <w:r>
              <w:rPr>
                <w:rFonts w:hint="eastAsia" w:ascii="宋体" w:hAnsi="宋体" w:eastAsia="宋体" w:cs="宋体"/>
                <w:color w:val="auto"/>
                <w:spacing w:val="0"/>
                <w:kern w:val="2"/>
                <w:sz w:val="21"/>
                <w:szCs w:val="21"/>
                <w:highlight w:val="none"/>
                <w:lang w:val="en-US" w:eastAsia="zh-CN"/>
              </w:rPr>
              <w:t>10</w:t>
            </w:r>
            <w:r>
              <w:rPr>
                <w:rFonts w:hint="eastAsia" w:ascii="宋体" w:hAnsi="宋体" w:eastAsia="宋体" w:cs="宋体"/>
                <w:color w:val="auto"/>
                <w:spacing w:val="0"/>
                <w:kern w:val="2"/>
                <w:sz w:val="21"/>
                <w:szCs w:val="21"/>
                <w:highlight w:val="none"/>
              </w:rPr>
              <w:t>）</w:t>
            </w:r>
            <w:r>
              <w:rPr>
                <w:rFonts w:hint="eastAsia" w:ascii="宋体" w:hAnsi="宋体" w:eastAsia="宋体" w:cs="宋体"/>
                <w:color w:val="auto"/>
                <w:spacing w:val="0"/>
                <w:kern w:val="2"/>
                <w:sz w:val="21"/>
                <w:szCs w:val="21"/>
                <w:highlight w:val="none"/>
                <w:lang w:val="en-US" w:eastAsia="zh-CN"/>
              </w:rPr>
              <w:t>合同履行期</w:t>
            </w:r>
          </w:p>
        </w:tc>
        <w:tc>
          <w:tcPr>
            <w:tcW w:w="5120" w:type="dxa"/>
            <w:shd w:val="clear" w:color="auto" w:fill="auto"/>
            <w:noWrap w:val="0"/>
            <w:vAlign w:val="center"/>
          </w:tcPr>
          <w:p w14:paraId="35BCACEA">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符合第五章“采购需求”的规定</w:t>
            </w:r>
          </w:p>
        </w:tc>
      </w:tr>
      <w:tr w14:paraId="5FE7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1" w:hRule="atLeast"/>
        </w:trPr>
        <w:tc>
          <w:tcPr>
            <w:tcW w:w="732" w:type="dxa"/>
            <w:vMerge w:val="continue"/>
            <w:shd w:val="clear" w:color="auto" w:fill="auto"/>
            <w:noWrap w:val="0"/>
            <w:vAlign w:val="top"/>
          </w:tcPr>
          <w:p w14:paraId="3BC5DCBE">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12EA463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2BBD7878">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w:t>
            </w:r>
            <w:r>
              <w:rPr>
                <w:rFonts w:hint="eastAsia" w:ascii="宋体" w:hAnsi="宋体" w:eastAsia="宋体" w:cs="宋体"/>
                <w:color w:val="auto"/>
                <w:spacing w:val="0"/>
                <w:kern w:val="2"/>
                <w:sz w:val="21"/>
                <w:szCs w:val="21"/>
                <w:highlight w:val="none"/>
                <w:lang w:val="en-US" w:eastAsia="zh-CN"/>
              </w:rPr>
              <w:t>1</w:t>
            </w:r>
            <w:r>
              <w:rPr>
                <w:rFonts w:hint="eastAsia" w:ascii="宋体" w:hAnsi="宋体" w:eastAsia="宋体" w:cs="宋体"/>
                <w:color w:val="auto"/>
                <w:spacing w:val="0"/>
                <w:kern w:val="2"/>
                <w:sz w:val="21"/>
                <w:szCs w:val="21"/>
                <w:highlight w:val="none"/>
              </w:rPr>
              <w:t>）质量</w:t>
            </w:r>
          </w:p>
        </w:tc>
        <w:tc>
          <w:tcPr>
            <w:tcW w:w="5120" w:type="dxa"/>
            <w:shd w:val="clear" w:color="auto" w:fill="auto"/>
            <w:noWrap w:val="0"/>
            <w:vAlign w:val="center"/>
          </w:tcPr>
          <w:p w14:paraId="0281439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符合第五章“采购需求”的规定</w:t>
            </w:r>
          </w:p>
        </w:tc>
      </w:tr>
      <w:tr w14:paraId="2DB97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8" w:hRule="atLeast"/>
        </w:trPr>
        <w:tc>
          <w:tcPr>
            <w:tcW w:w="732" w:type="dxa"/>
            <w:vMerge w:val="continue"/>
            <w:shd w:val="clear" w:color="auto" w:fill="auto"/>
            <w:noWrap w:val="0"/>
            <w:vAlign w:val="top"/>
          </w:tcPr>
          <w:p w14:paraId="572396D1">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71103F68">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315818FD">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w:t>
            </w:r>
            <w:r>
              <w:rPr>
                <w:rFonts w:hint="eastAsia" w:ascii="宋体" w:hAnsi="宋体" w:eastAsia="宋体" w:cs="宋体"/>
                <w:color w:val="auto"/>
                <w:spacing w:val="0"/>
                <w:kern w:val="2"/>
                <w:sz w:val="21"/>
                <w:szCs w:val="21"/>
                <w:highlight w:val="none"/>
                <w:lang w:val="en-US" w:eastAsia="zh-CN"/>
              </w:rPr>
              <w:t>2</w:t>
            </w:r>
            <w:r>
              <w:rPr>
                <w:rFonts w:hint="eastAsia" w:ascii="宋体" w:hAnsi="宋体" w:eastAsia="宋体" w:cs="宋体"/>
                <w:color w:val="auto"/>
                <w:spacing w:val="0"/>
                <w:kern w:val="2"/>
                <w:sz w:val="21"/>
                <w:szCs w:val="21"/>
                <w:highlight w:val="none"/>
              </w:rPr>
              <w:t>）谈判有效期</w:t>
            </w:r>
          </w:p>
        </w:tc>
        <w:tc>
          <w:tcPr>
            <w:tcW w:w="5120" w:type="dxa"/>
            <w:shd w:val="clear" w:color="auto" w:fill="auto"/>
            <w:noWrap w:val="0"/>
            <w:vAlign w:val="center"/>
          </w:tcPr>
          <w:p w14:paraId="5B22638E">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符合第二章“供应商须知”第4.4.1条款的规定</w:t>
            </w:r>
          </w:p>
        </w:tc>
      </w:tr>
      <w:tr w14:paraId="7B02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6" w:hRule="atLeast"/>
        </w:trPr>
        <w:tc>
          <w:tcPr>
            <w:tcW w:w="732" w:type="dxa"/>
            <w:vMerge w:val="continue"/>
            <w:shd w:val="clear" w:color="auto" w:fill="auto"/>
            <w:noWrap w:val="0"/>
            <w:vAlign w:val="top"/>
          </w:tcPr>
          <w:p w14:paraId="1E783555">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52FEFE47">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4331A315">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w:t>
            </w:r>
            <w:r>
              <w:rPr>
                <w:rFonts w:hint="eastAsia" w:ascii="宋体" w:hAnsi="宋体" w:eastAsia="宋体" w:cs="宋体"/>
                <w:color w:val="auto"/>
                <w:spacing w:val="0"/>
                <w:kern w:val="2"/>
                <w:sz w:val="21"/>
                <w:szCs w:val="21"/>
                <w:highlight w:val="none"/>
                <w:lang w:val="en-US" w:eastAsia="zh-CN"/>
              </w:rPr>
              <w:t>3</w:t>
            </w:r>
            <w:r>
              <w:rPr>
                <w:rFonts w:hint="eastAsia" w:ascii="宋体" w:hAnsi="宋体" w:eastAsia="宋体" w:cs="宋体"/>
                <w:color w:val="auto"/>
                <w:spacing w:val="0"/>
                <w:kern w:val="2"/>
                <w:sz w:val="21"/>
                <w:szCs w:val="21"/>
                <w:highlight w:val="none"/>
              </w:rPr>
              <w:t>）技术标准和要求</w:t>
            </w:r>
          </w:p>
        </w:tc>
        <w:tc>
          <w:tcPr>
            <w:tcW w:w="5120" w:type="dxa"/>
            <w:shd w:val="clear" w:color="auto" w:fill="auto"/>
            <w:noWrap w:val="0"/>
            <w:vAlign w:val="center"/>
          </w:tcPr>
          <w:p w14:paraId="13974E7F">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符合第五章“采购需求”的规定</w:t>
            </w:r>
          </w:p>
        </w:tc>
      </w:tr>
      <w:tr w14:paraId="64FE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732" w:type="dxa"/>
            <w:vMerge w:val="continue"/>
            <w:shd w:val="clear" w:color="auto" w:fill="auto"/>
            <w:noWrap w:val="0"/>
            <w:vAlign w:val="top"/>
          </w:tcPr>
          <w:p w14:paraId="15039ED3">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724" w:type="dxa"/>
            <w:vMerge w:val="continue"/>
            <w:shd w:val="clear" w:color="auto" w:fill="auto"/>
            <w:noWrap w:val="0"/>
            <w:vAlign w:val="top"/>
          </w:tcPr>
          <w:p w14:paraId="32F19C5C">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textAlignment w:val="auto"/>
              <w:rPr>
                <w:rFonts w:hint="eastAsia" w:ascii="宋体" w:hAnsi="宋体" w:eastAsia="宋体" w:cs="宋体"/>
                <w:color w:val="auto"/>
                <w:spacing w:val="0"/>
                <w:kern w:val="2"/>
                <w:sz w:val="21"/>
                <w:szCs w:val="21"/>
                <w:highlight w:val="none"/>
              </w:rPr>
            </w:pPr>
          </w:p>
        </w:tc>
        <w:tc>
          <w:tcPr>
            <w:tcW w:w="1794" w:type="dxa"/>
            <w:shd w:val="clear" w:color="auto" w:fill="auto"/>
            <w:noWrap w:val="0"/>
            <w:vAlign w:val="center"/>
          </w:tcPr>
          <w:p w14:paraId="651798C9">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lang w:eastAsia="zh-CN"/>
              </w:rPr>
              <w:t>（</w:t>
            </w:r>
            <w:r>
              <w:rPr>
                <w:rFonts w:hint="eastAsia" w:ascii="宋体" w:hAnsi="宋体" w:eastAsia="宋体" w:cs="宋体"/>
                <w:color w:val="auto"/>
                <w:spacing w:val="0"/>
                <w:kern w:val="2"/>
                <w:sz w:val="21"/>
                <w:szCs w:val="21"/>
                <w:highlight w:val="none"/>
                <w:lang w:val="en-US" w:eastAsia="zh-CN"/>
              </w:rPr>
              <w:t>14</w:t>
            </w:r>
            <w:r>
              <w:rPr>
                <w:rFonts w:hint="eastAsia" w:ascii="宋体" w:hAnsi="宋体" w:eastAsia="宋体" w:cs="宋体"/>
                <w:color w:val="auto"/>
                <w:spacing w:val="0"/>
                <w:kern w:val="2"/>
                <w:sz w:val="21"/>
                <w:szCs w:val="21"/>
                <w:highlight w:val="none"/>
                <w:lang w:eastAsia="zh-CN"/>
              </w:rPr>
              <w:t>）权利义务</w:t>
            </w:r>
          </w:p>
        </w:tc>
        <w:tc>
          <w:tcPr>
            <w:tcW w:w="5120" w:type="dxa"/>
            <w:shd w:val="clear" w:color="auto" w:fill="auto"/>
            <w:noWrap w:val="0"/>
            <w:vAlign w:val="center"/>
          </w:tcPr>
          <w:p w14:paraId="02E9E30D">
            <w:pPr>
              <w:keepNext w:val="0"/>
              <w:keepLines w:val="0"/>
              <w:pageBreakBefore w:val="0"/>
              <w:widowControl w:val="0"/>
              <w:tabs>
                <w:tab w:val="left" w:pos="0"/>
              </w:tabs>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color w:val="auto"/>
                <w:spacing w:val="0"/>
                <w:kern w:val="2"/>
                <w:sz w:val="21"/>
                <w:szCs w:val="21"/>
                <w:highlight w:val="none"/>
                <w:lang w:val="en-US" w:eastAsia="zh-CN"/>
              </w:rPr>
            </w:pPr>
            <w:r>
              <w:rPr>
                <w:rFonts w:hint="eastAsia" w:ascii="宋体" w:hAnsi="宋体" w:eastAsia="宋体" w:cs="宋体"/>
                <w:color w:val="auto"/>
                <w:spacing w:val="0"/>
                <w:kern w:val="2"/>
                <w:sz w:val="21"/>
                <w:szCs w:val="21"/>
                <w:highlight w:val="none"/>
              </w:rPr>
              <w:t>符合第六章“政府采购合同格式”条款中实质性要求和条件</w:t>
            </w:r>
          </w:p>
        </w:tc>
      </w:tr>
    </w:tbl>
    <w:p w14:paraId="7D9B2980">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20" w:firstLineChars="200"/>
        <w:rPr>
          <w:rFonts w:hint="eastAsia" w:ascii="宋体" w:hAnsi="宋体" w:eastAsia="宋体" w:cs="宋体"/>
          <w:color w:val="auto"/>
          <w:spacing w:val="0"/>
          <w:kern w:val="2"/>
          <w:szCs w:val="21"/>
          <w:highlight w:val="none"/>
        </w:rPr>
      </w:pPr>
    </w:p>
    <w:p w14:paraId="45722936">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1.2.3 有下列情形之一的，视为供应商相互恶意串通，响应文件无效：</w:t>
      </w:r>
    </w:p>
    <w:p w14:paraId="569C038D">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（1）不同</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由同一单位或者个人编制；</w:t>
      </w:r>
    </w:p>
    <w:p w14:paraId="6CF3E5E6">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（2）不同</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委托同一单位或者个人办理投标事宜；</w:t>
      </w:r>
    </w:p>
    <w:p w14:paraId="44132291">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（3）不同</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载明的项目管理成员为同一人；</w:t>
      </w:r>
    </w:p>
    <w:p w14:paraId="792F2198">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（4）不同</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异常一致或者投标报价呈规律性差异；</w:t>
      </w:r>
    </w:p>
    <w:p w14:paraId="7A2B9040">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en-US" w:eastAsia="zh-CN"/>
        </w:rPr>
        <w:t>（5）不同供应商的响应文件出自同一台制作设备（文件制作机器码一致）</w:t>
      </w:r>
      <w:r>
        <w:rPr>
          <w:rFonts w:hint="eastAsia" w:ascii="宋体" w:hAnsi="宋体" w:eastAsia="宋体" w:cs="宋体"/>
          <w:color w:val="auto"/>
          <w:spacing w:val="0"/>
          <w:kern w:val="2"/>
          <w:sz w:val="24"/>
          <w:szCs w:val="24"/>
          <w:highlight w:val="none"/>
        </w:rPr>
        <w:t>。</w:t>
      </w:r>
    </w:p>
    <w:p w14:paraId="0B571FD9">
      <w:pPr>
        <w:keepNext w:val="0"/>
        <w:keepLines w:val="0"/>
        <w:pageBreakBefore w:val="0"/>
        <w:widowControl w:val="0"/>
        <w:kinsoku/>
        <w:wordWrap w:val="0"/>
        <w:overflowPunct/>
        <w:topLinePunct/>
        <w:autoSpaceDE/>
        <w:autoSpaceDN/>
        <w:bidi w:val="0"/>
        <w:spacing w:line="360" w:lineRule="auto"/>
        <w:ind w:firstLine="472" w:firstLineChars="196"/>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 xml:space="preserve">1.2.4 </w:t>
      </w:r>
      <w:r>
        <w:rPr>
          <w:rFonts w:hint="eastAsia" w:ascii="宋体" w:hAnsi="宋体" w:eastAsia="宋体" w:cs="宋体"/>
          <w:b/>
          <w:color w:val="auto"/>
          <w:spacing w:val="0"/>
          <w:kern w:val="2"/>
          <w:sz w:val="24"/>
          <w:szCs w:val="24"/>
          <w:highlight w:val="none"/>
          <w:lang w:eastAsia="zh-CN"/>
        </w:rPr>
        <w:t>响应文件</w:t>
      </w:r>
      <w:r>
        <w:rPr>
          <w:rFonts w:hint="eastAsia" w:ascii="宋体" w:hAnsi="宋体" w:eastAsia="宋体" w:cs="宋体"/>
          <w:b/>
          <w:color w:val="auto"/>
          <w:spacing w:val="0"/>
          <w:kern w:val="2"/>
          <w:sz w:val="24"/>
          <w:szCs w:val="24"/>
          <w:highlight w:val="none"/>
        </w:rPr>
        <w:t>的雷同性分析</w:t>
      </w:r>
    </w:p>
    <w:p w14:paraId="78114A6B">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1.2.4.1根据陕西省公共资源交易中心2021年7月22日印发的《关于在政府采购交易系统中开通标书雷同性分析功能的通知》，在符合性审查环节，将由评标委员会在评标系统中对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进行雷同性分析。</w:t>
      </w:r>
    </w:p>
    <w:p w14:paraId="5B37E2DF">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1.2.4.2雷同性分析由两项指标组成，分别是“文件制作机器码”和“文件创建标识码”。其中，前者通过验证电子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制作设备的特征信息（如MAC地址、硬盘序列号、CPU编号、主板号等），判断电子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是否出自同一台设备。</w:t>
      </w:r>
    </w:p>
    <w:p w14:paraId="6246E591">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若“文件制作机器码”一致，则表明不同</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的电子</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出自同一台制作设备，根据《陕西省财政厅关于政府采购有关政策的复函》（陕财办采函〔2019〕18号），该情形可以视为</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串通投标，</w:t>
      </w:r>
      <w:r>
        <w:rPr>
          <w:rFonts w:hint="eastAsia" w:ascii="宋体" w:hAnsi="宋体" w:eastAsia="宋体" w:cs="宋体"/>
          <w:b/>
          <w:color w:val="auto"/>
          <w:spacing w:val="0"/>
          <w:kern w:val="2"/>
          <w:sz w:val="24"/>
          <w:szCs w:val="24"/>
          <w:highlight w:val="none"/>
        </w:rPr>
        <w:t>其投标无效</w:t>
      </w:r>
      <w:r>
        <w:rPr>
          <w:rFonts w:hint="eastAsia" w:ascii="宋体" w:hAnsi="宋体" w:eastAsia="宋体" w:cs="宋体"/>
          <w:color w:val="auto"/>
          <w:spacing w:val="0"/>
          <w:kern w:val="2"/>
          <w:sz w:val="24"/>
          <w:szCs w:val="24"/>
          <w:highlight w:val="none"/>
        </w:rPr>
        <w:t>。</w:t>
      </w:r>
    </w:p>
    <w:p w14:paraId="5BD07351">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若“文件创建标识码”一致，则表示不同</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使用</w:t>
      </w:r>
      <w:r>
        <w:rPr>
          <w:rFonts w:hint="eastAsia" w:ascii="宋体" w:hAnsi="宋体" w:eastAsia="宋体" w:cs="宋体"/>
          <w:color w:val="auto"/>
          <w:spacing w:val="0"/>
          <w:kern w:val="2"/>
          <w:sz w:val="24"/>
          <w:szCs w:val="24"/>
          <w:highlight w:val="none"/>
          <w:lang w:eastAsia="zh-CN"/>
        </w:rPr>
        <w:t>响应文件</w:t>
      </w:r>
      <w:r>
        <w:rPr>
          <w:rFonts w:hint="eastAsia" w:ascii="宋体" w:hAnsi="宋体" w:eastAsia="宋体" w:cs="宋体"/>
          <w:color w:val="auto"/>
          <w:spacing w:val="0"/>
          <w:kern w:val="2"/>
          <w:sz w:val="24"/>
          <w:szCs w:val="24"/>
          <w:highlight w:val="none"/>
        </w:rPr>
        <w:t>制作软件时，使用同一源工程文件，该情形建议由评标委员会结合项目情况综合判定。</w:t>
      </w:r>
    </w:p>
    <w:p w14:paraId="75785894">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1.2.5 非实质性偏离</w:t>
      </w:r>
    </w:p>
    <w:p w14:paraId="0240B9A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非实质性偏离是指响应文件在实质上响应谈判文件的要求，但在个别地方存在一些不规则、不一致、不完整的内容，并且澄清、说明或者补正这些内容不会改变响应文件的实质性内容。以下情况属于非实质性偏离：</w:t>
      </w:r>
    </w:p>
    <w:p w14:paraId="56425967">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（1）文字表述的内容含义不明确；</w:t>
      </w:r>
    </w:p>
    <w:p w14:paraId="0842CB3C">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（2）同类问题表述不一致；</w:t>
      </w:r>
    </w:p>
    <w:p w14:paraId="4C869C85">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（3）有明显文字和计算错误；</w:t>
      </w:r>
    </w:p>
    <w:p w14:paraId="15AAEE19">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（4）提供的技术信息和数据资料不完整；</w:t>
      </w:r>
    </w:p>
    <w:p w14:paraId="50E88C47">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（5）正副本数量齐全、密封完好，只是未按照谈判文件要求进行分装或者统装；</w:t>
      </w:r>
    </w:p>
    <w:p w14:paraId="3472C983">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（6）响应文件未按谈判文件要求进行装订或未编制目录、页码或者页码混乱；</w:t>
      </w:r>
    </w:p>
    <w:p w14:paraId="7805D7DE">
      <w:pPr>
        <w:keepNext w:val="0"/>
        <w:keepLines w:val="0"/>
        <w:pageBreakBefore w:val="0"/>
        <w:widowControl w:val="0"/>
        <w:kinsoku/>
        <w:wordWrap w:val="0"/>
        <w:overflowPunct/>
        <w:topLinePunct/>
        <w:autoSpaceDE/>
        <w:autoSpaceDN/>
        <w:bidi w:val="0"/>
        <w:spacing w:line="360" w:lineRule="auto"/>
        <w:ind w:firstLine="600" w:firstLineChars="2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（7）谈判小组认定的其他非实质性偏离。</w:t>
      </w:r>
    </w:p>
    <w:p w14:paraId="3175A077">
      <w:pPr>
        <w:keepNext w:val="0"/>
        <w:keepLines w:val="0"/>
        <w:pageBreakBefore w:val="0"/>
        <w:widowControl w:val="0"/>
        <w:tabs>
          <w:tab w:val="left" w:pos="7665"/>
        </w:tabs>
        <w:kinsoku/>
        <w:wordWrap w:val="0"/>
        <w:overflowPunct/>
        <w:topLinePunct/>
        <w:autoSpaceDE/>
        <w:autoSpaceDN/>
        <w:bidi w:val="0"/>
        <w:spacing w:line="360" w:lineRule="auto"/>
        <w:ind w:firstLine="720" w:firstLineChars="3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响应文件有上述（1）至（4）情形之一的，谈判小组应当书面要求供应商在规定的时间内予以澄清、说明或补正。 </w:t>
      </w:r>
    </w:p>
    <w:p w14:paraId="6718D80C">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 xml:space="preserve">1.2.6 未通过符合性检查的供应商，不得进入后续谈判环节。 </w:t>
      </w:r>
    </w:p>
    <w:p w14:paraId="505D2872">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1.3 响应文件的澄清</w:t>
      </w:r>
    </w:p>
    <w:p w14:paraId="24AB49E2">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1.3.1对于响应文件</w:t>
      </w:r>
      <w:r>
        <w:rPr>
          <w:rFonts w:hint="eastAsia" w:ascii="宋体" w:hAnsi="宋体" w:eastAsia="宋体" w:cs="宋体"/>
          <w:snapToGrid w:val="0"/>
          <w:color w:val="auto"/>
          <w:spacing w:val="0"/>
          <w:kern w:val="2"/>
          <w:sz w:val="24"/>
          <w:szCs w:val="24"/>
          <w:highlight w:val="none"/>
        </w:rPr>
        <w:t>（包括供应商首次提交和重新提交的响应文件）</w:t>
      </w:r>
      <w:r>
        <w:rPr>
          <w:rFonts w:hint="eastAsia" w:ascii="宋体" w:hAnsi="宋体" w:eastAsia="宋体" w:cs="宋体"/>
          <w:color w:val="auto"/>
          <w:spacing w:val="0"/>
          <w:kern w:val="2"/>
          <w:sz w:val="24"/>
          <w:szCs w:val="24"/>
          <w:highlight w:val="none"/>
        </w:rPr>
        <w:t>中含义不明确、同类问题表述不一致或者有明显文字和计算错误的内容，可以以书面形式要求供应商作出必要的澄清、说明或者补正。涉及响应文件资格部分的，由资格审查小组负责组织，涉及响应文件其他部分的，由谈判小组负责组织。</w:t>
      </w:r>
    </w:p>
    <w:p w14:paraId="552AC7C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1.3.2供应商的澄清、说明或者补正应当采用书面形式，并加盖单位章，或者由其法定代表人或其委托代理人签名。 供应商的澄清、说明或者补正不得超出响应文件的范围或者改变响应文件的实质性内容，并构成为响应文件的组成部分。</w:t>
      </w:r>
    </w:p>
    <w:p w14:paraId="3B3C856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1.3.3对供应商提交的澄清、说明或者补正有疑问的，可以要求供应商进一步澄清、说明或者补正，直至满足资格审查小组或者谈判小组的要求。</w:t>
      </w:r>
    </w:p>
    <w:p w14:paraId="01170FD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1.3.4 资格审查小组和谈判小组不得暗示或诱导供应商作出澄清、说明或者更正，不得接受供应商主动提出的澄清、说明或者补正。</w:t>
      </w:r>
    </w:p>
    <w:p w14:paraId="2820125C">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1.4 技术文件评审</w:t>
      </w:r>
    </w:p>
    <w:p w14:paraId="5F1D51AB">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1.4.1 谈判小组依法对通过资格审查和符合性审查的供应商进行技术文件的评审。谈判小组从技术响应性文件的符合性、完整性进行审查，以确定其是否实质性响应谈判文件。</w:t>
      </w:r>
    </w:p>
    <w:p w14:paraId="420E664F">
      <w:pPr>
        <w:keepNext w:val="0"/>
        <w:keepLines w:val="0"/>
        <w:pageBreakBefore w:val="0"/>
        <w:widowControl w:val="0"/>
        <w:tabs>
          <w:tab w:val="left" w:pos="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1.4.2谈判小组将按下列评审标准对供应商的技术文件进行符合性、完整性审查，</w:t>
      </w:r>
      <w:r>
        <w:rPr>
          <w:rFonts w:hint="eastAsia" w:ascii="宋体" w:hAnsi="宋体" w:eastAsia="宋体" w:cs="宋体"/>
          <w:bCs/>
          <w:color w:val="auto"/>
          <w:spacing w:val="0"/>
          <w:kern w:val="2"/>
          <w:sz w:val="24"/>
          <w:szCs w:val="24"/>
          <w:highlight w:val="none"/>
        </w:rPr>
        <w:t>供应商若</w:t>
      </w:r>
      <w:r>
        <w:rPr>
          <w:rFonts w:hint="eastAsia" w:ascii="宋体" w:hAnsi="宋体" w:eastAsia="宋体" w:cs="宋体"/>
          <w:color w:val="auto"/>
          <w:spacing w:val="0"/>
          <w:kern w:val="2"/>
          <w:sz w:val="24"/>
          <w:szCs w:val="24"/>
          <w:highlight w:val="none"/>
        </w:rPr>
        <w:t>有一项不合格，即判定其评审结果为不合格，将不具备谈判资格，按无效响应文件处理。</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5757"/>
        <w:gridCol w:w="1390"/>
      </w:tblGrid>
      <w:tr w14:paraId="2AD5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07" w:type="dxa"/>
            <w:noWrap w:val="0"/>
            <w:vAlign w:val="center"/>
          </w:tcPr>
          <w:p w14:paraId="7128DA44">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序号</w:t>
            </w:r>
          </w:p>
        </w:tc>
        <w:tc>
          <w:tcPr>
            <w:tcW w:w="5757" w:type="dxa"/>
            <w:noWrap w:val="0"/>
            <w:vAlign w:val="center"/>
          </w:tcPr>
          <w:p w14:paraId="79688221">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评审因素</w:t>
            </w:r>
          </w:p>
        </w:tc>
        <w:tc>
          <w:tcPr>
            <w:tcW w:w="1390" w:type="dxa"/>
            <w:noWrap w:val="0"/>
            <w:vAlign w:val="center"/>
          </w:tcPr>
          <w:p w14:paraId="28517480">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评审标准</w:t>
            </w:r>
          </w:p>
        </w:tc>
      </w:tr>
      <w:tr w14:paraId="0329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val="0"/>
            <w:vAlign w:val="center"/>
          </w:tcPr>
          <w:p w14:paraId="063996DE">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1</w:t>
            </w:r>
          </w:p>
        </w:tc>
        <w:tc>
          <w:tcPr>
            <w:tcW w:w="5757" w:type="dxa"/>
            <w:noWrap w:val="0"/>
            <w:vAlign w:val="center"/>
          </w:tcPr>
          <w:p w14:paraId="2CF49EA2">
            <w:pPr>
              <w:pStyle w:val="3"/>
              <w:tabs>
                <w:tab w:val="left" w:pos="600"/>
              </w:tabs>
              <w:spacing w:line="360" w:lineRule="auto"/>
              <w:ind w:left="0" w:leftChars="0" w:firstLine="0" w:firstLineChars="0"/>
              <w:jc w:val="center"/>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服务方案（</w:t>
            </w:r>
            <w:r>
              <w:rPr>
                <w:rFonts w:hint="eastAsia" w:ascii="宋体" w:hAnsi="宋体" w:eastAsia="宋体" w:cs="宋体"/>
                <w:color w:val="auto"/>
                <w:spacing w:val="0"/>
                <w:kern w:val="2"/>
                <w:sz w:val="24"/>
                <w:szCs w:val="24"/>
                <w:highlight w:val="none"/>
                <w:lang w:val="zh-CN" w:eastAsia="zh-CN" w:bidi="ar-SA"/>
              </w:rPr>
              <w:t>运输能力，配送人员</w:t>
            </w:r>
            <w:r>
              <w:rPr>
                <w:rFonts w:hint="eastAsia" w:ascii="宋体" w:hAnsi="宋体" w:eastAsia="宋体" w:cs="宋体"/>
                <w:color w:val="auto"/>
                <w:spacing w:val="0"/>
                <w:kern w:val="2"/>
                <w:sz w:val="24"/>
                <w:szCs w:val="24"/>
                <w:highlight w:val="none"/>
                <w:lang w:val="en-US" w:eastAsia="zh-CN" w:bidi="ar-SA"/>
              </w:rPr>
              <w:t>等包含但不限于）</w:t>
            </w:r>
          </w:p>
        </w:tc>
        <w:tc>
          <w:tcPr>
            <w:tcW w:w="1390" w:type="dxa"/>
            <w:noWrap w:val="0"/>
            <w:vAlign w:val="center"/>
          </w:tcPr>
          <w:p w14:paraId="387E2313">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合格</w:t>
            </w:r>
          </w:p>
        </w:tc>
      </w:tr>
      <w:tr w14:paraId="12AEF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07" w:type="dxa"/>
            <w:noWrap w:val="0"/>
            <w:vAlign w:val="center"/>
          </w:tcPr>
          <w:p w14:paraId="2C503BE4">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2</w:t>
            </w:r>
          </w:p>
        </w:tc>
        <w:tc>
          <w:tcPr>
            <w:tcW w:w="5757" w:type="dxa"/>
            <w:noWrap w:val="0"/>
            <w:vAlign w:val="center"/>
          </w:tcPr>
          <w:p w14:paraId="7B65F8EC">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供货质量、进度保证措施</w:t>
            </w:r>
          </w:p>
        </w:tc>
        <w:tc>
          <w:tcPr>
            <w:tcW w:w="1390" w:type="dxa"/>
            <w:noWrap w:val="0"/>
            <w:vAlign w:val="center"/>
          </w:tcPr>
          <w:p w14:paraId="3CE2B6C0">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合格</w:t>
            </w:r>
          </w:p>
        </w:tc>
      </w:tr>
      <w:tr w14:paraId="26CA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07" w:type="dxa"/>
            <w:noWrap w:val="0"/>
            <w:vAlign w:val="center"/>
          </w:tcPr>
          <w:p w14:paraId="3A874502">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3</w:t>
            </w:r>
          </w:p>
        </w:tc>
        <w:tc>
          <w:tcPr>
            <w:tcW w:w="5757" w:type="dxa"/>
            <w:noWrap w:val="0"/>
            <w:vAlign w:val="center"/>
          </w:tcPr>
          <w:p w14:paraId="51BD1216">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售后服务承诺</w:t>
            </w:r>
          </w:p>
        </w:tc>
        <w:tc>
          <w:tcPr>
            <w:tcW w:w="1390" w:type="dxa"/>
            <w:noWrap w:val="0"/>
            <w:vAlign w:val="center"/>
          </w:tcPr>
          <w:p w14:paraId="0EF3740A">
            <w:pPr>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合格</w:t>
            </w:r>
          </w:p>
        </w:tc>
      </w:tr>
    </w:tbl>
    <w:p w14:paraId="14B84014">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1.5 谈判</w:t>
      </w:r>
    </w:p>
    <w:p w14:paraId="6789C296">
      <w:pPr>
        <w:keepNext w:val="0"/>
        <w:keepLines w:val="0"/>
        <w:pageBreakBefore w:val="0"/>
        <w:widowControl w:val="0"/>
        <w:kinsoku/>
        <w:wordWrap w:val="0"/>
        <w:overflowPunct/>
        <w:topLinePunct/>
        <w:autoSpaceDE/>
        <w:autoSpaceDN/>
        <w:bidi w:val="0"/>
        <w:spacing w:line="360" w:lineRule="auto"/>
        <w:ind w:firstLine="48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1.5.1谈判方式：</w:t>
      </w:r>
    </w:p>
    <w:p w14:paraId="3D51E16D">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1.5.1.1 对资格性审查、符合性审查和技术文件评审合格的供应商，进入本项目的谈判环节。</w:t>
      </w:r>
    </w:p>
    <w:p w14:paraId="73768FD7">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1.5.1.2 在谈判期间，供应商应派代表参加谈判，代表人数不超过</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1</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人。</w:t>
      </w:r>
    </w:p>
    <w:p w14:paraId="590C4DBB">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1.5.1.3 谈判小组将通过随机方式确定供应商进行谈判的顺序，所有成员集中与单一供应商按照顺序分别进行谈判，并给予所有参加谈判的供应商平等的谈判机会。谈判的任何一方不得透露与谈判有关的其他供应商的技术资料、价格和其他信息。</w:t>
      </w:r>
    </w:p>
    <w:p w14:paraId="769E33A0">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1.5.1.4 </w:t>
      </w:r>
      <w:r>
        <w:rPr>
          <w:rFonts w:hint="eastAsia" w:ascii="宋体" w:hAnsi="宋体" w:eastAsia="宋体" w:cs="宋体"/>
          <w:b/>
          <w:color w:val="auto"/>
          <w:spacing w:val="0"/>
          <w:kern w:val="2"/>
          <w:sz w:val="24"/>
          <w:szCs w:val="24"/>
          <w:highlight w:val="none"/>
        </w:rPr>
        <w:t>技术谈判。</w:t>
      </w:r>
      <w:r>
        <w:rPr>
          <w:rFonts w:hint="eastAsia" w:ascii="宋体" w:hAnsi="宋体" w:eastAsia="宋体" w:cs="宋体"/>
          <w:color w:val="auto"/>
          <w:spacing w:val="0"/>
          <w:kern w:val="2"/>
          <w:sz w:val="24"/>
          <w:szCs w:val="24"/>
          <w:highlight w:val="none"/>
        </w:rPr>
        <w:t>在谈判过程中，谈判小组可以根据谈判文件和谈判情况实质性变动采购需求中的技术、服务要求以及合同草案条款，但不得变动谈判文件中的其他内容。实质性变动的内容，须经采购人代表确认。</w:t>
      </w:r>
    </w:p>
    <w:p w14:paraId="00013596">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对谈判文件作出的实质性变动是谈判文件的有效组成部分，谈判小组应当及时以书面形式同时通知所有参加谈判的供应商。</w:t>
      </w:r>
    </w:p>
    <w:p w14:paraId="7082D593">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snapToGrid w:val="0"/>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供应商应当按照谈判文件的变动情况和谈判小组的要求重新提交响应文件，并由其法定代表人或委托代理人签名或者加盖公章。</w:t>
      </w:r>
      <w:r>
        <w:rPr>
          <w:rFonts w:hint="eastAsia" w:ascii="宋体" w:hAnsi="宋体" w:eastAsia="宋体" w:cs="宋体"/>
          <w:snapToGrid w:val="0"/>
          <w:color w:val="auto"/>
          <w:spacing w:val="0"/>
          <w:kern w:val="2"/>
          <w:sz w:val="24"/>
          <w:szCs w:val="24"/>
          <w:highlight w:val="none"/>
        </w:rPr>
        <w:t>由委托代理人签名的，应当附法定代表人授权书。</w:t>
      </w:r>
    </w:p>
    <w:p w14:paraId="6B75EC9C">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谈判小组应当根据规定对供应商重新提交的响应文件进行符合性审查。供应商重新提交的响应文件未通过符合性审查的，不得进入商务谈判，也不得要求提交最后报价。</w:t>
      </w:r>
    </w:p>
    <w:p w14:paraId="4DD5ADCB">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1.5.1.5 </w:t>
      </w:r>
      <w:r>
        <w:rPr>
          <w:rFonts w:hint="eastAsia" w:ascii="宋体" w:hAnsi="宋体" w:eastAsia="宋体" w:cs="宋体"/>
          <w:b/>
          <w:color w:val="auto"/>
          <w:spacing w:val="0"/>
          <w:kern w:val="2"/>
          <w:sz w:val="24"/>
          <w:szCs w:val="24"/>
          <w:highlight w:val="none"/>
        </w:rPr>
        <w:t>商务谈判。</w:t>
      </w:r>
      <w:r>
        <w:rPr>
          <w:rFonts w:hint="eastAsia" w:ascii="宋体" w:hAnsi="宋体" w:eastAsia="宋体" w:cs="宋体"/>
          <w:color w:val="auto"/>
          <w:spacing w:val="0"/>
          <w:kern w:val="2"/>
          <w:sz w:val="24"/>
          <w:szCs w:val="24"/>
          <w:highlight w:val="none"/>
        </w:rPr>
        <w:t>在技术谈判结束后，进行商务谈判。谈判文件能够详细列明采购标的的技术、</w:t>
      </w:r>
      <w:r>
        <w:rPr>
          <w:rFonts w:hint="eastAsia" w:ascii="宋体" w:hAnsi="宋体" w:eastAsia="宋体" w:cs="宋体"/>
          <w:color w:val="auto"/>
          <w:spacing w:val="0"/>
          <w:kern w:val="2"/>
          <w:sz w:val="24"/>
          <w:szCs w:val="24"/>
          <w:highlight w:val="none"/>
          <w:lang w:val="en-US" w:eastAsia="zh-CN"/>
        </w:rPr>
        <w:t>服务</w:t>
      </w:r>
      <w:r>
        <w:rPr>
          <w:rFonts w:hint="eastAsia" w:ascii="宋体" w:hAnsi="宋体" w:eastAsia="宋体" w:cs="宋体"/>
          <w:color w:val="auto"/>
          <w:spacing w:val="0"/>
          <w:kern w:val="2"/>
          <w:sz w:val="24"/>
          <w:szCs w:val="24"/>
          <w:highlight w:val="none"/>
        </w:rPr>
        <w:t>要求的，谈判小组应当要求所有实质性响应的供应商在规定时间内提交最后报价，提交最后报价的供应商不得少于3家；谈判文件不能详细列明采购标的的技术、</w:t>
      </w:r>
      <w:r>
        <w:rPr>
          <w:rFonts w:hint="eastAsia" w:ascii="宋体" w:hAnsi="宋体" w:eastAsia="宋体" w:cs="宋体"/>
          <w:color w:val="auto"/>
          <w:spacing w:val="0"/>
          <w:kern w:val="2"/>
          <w:sz w:val="24"/>
          <w:szCs w:val="24"/>
          <w:highlight w:val="none"/>
          <w:lang w:val="en-US" w:eastAsia="zh-CN"/>
        </w:rPr>
        <w:t>服务</w:t>
      </w:r>
      <w:r>
        <w:rPr>
          <w:rFonts w:hint="eastAsia" w:ascii="宋体" w:hAnsi="宋体" w:eastAsia="宋体" w:cs="宋体"/>
          <w:color w:val="auto"/>
          <w:spacing w:val="0"/>
          <w:kern w:val="2"/>
          <w:sz w:val="24"/>
          <w:szCs w:val="24"/>
          <w:highlight w:val="none"/>
        </w:rPr>
        <w:t>要求，需经谈判由供应商提供最终解决方案的，谈判小组应当按照少数服从多数的原则投票推荐3家以上供应商的解决方案，并要求其在规定时间内提交最后报价。</w:t>
      </w:r>
    </w:p>
    <w:p w14:paraId="5380744D">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1.5.1.6 已提交响应文件的供应商，在提交最后报价之前，可以根据谈判情况退出谈判，采购代理机构应当退还其谈判保证金。</w:t>
      </w:r>
    </w:p>
    <w:p w14:paraId="204CEAB0">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1.5.2谈判步骤：</w:t>
      </w:r>
    </w:p>
    <w:p w14:paraId="0A7761A3">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1.5.2.1 第一轮谈判。谈判小组对进入第一轮谈判的供应商再次进行评审、质疑和澄清。在此阶段，谈判小组依据参加谈判的供应商递交的响应文件进行技术和商务谈判。</w:t>
      </w:r>
    </w:p>
    <w:p w14:paraId="72E95835">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小组可以根据实际需要提出方案和技术参数要求，与单一供应商分别进行谈判，并给予所有参加谈判的供应商平等的谈判机会。要求参加谈判的供应商重新承诺技术参数和第二次谈判报价，以满足采购人的最大需求。</w:t>
      </w:r>
    </w:p>
    <w:p w14:paraId="596C1B9F">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1.5.2.2 第二轮谈判。对第一轮谈判结果不满意，谈判小组可以再次要求参加谈判的供应商进行第二轮谈判，谈判内容及要求与第一轮谈判相同。</w:t>
      </w:r>
    </w:p>
    <w:p w14:paraId="57AD65D9">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1.5.2.3 每轮谈判结束后，谈判小组对谈判情况进行讨论，综合考虑供应商提供的技术</w:t>
      </w:r>
      <w:r>
        <w:rPr>
          <w:rFonts w:hint="eastAsia" w:ascii="宋体" w:hAnsi="宋体" w:eastAsia="宋体" w:cs="宋体"/>
          <w:color w:val="auto"/>
          <w:spacing w:val="0"/>
          <w:kern w:val="2"/>
          <w:sz w:val="24"/>
          <w:szCs w:val="24"/>
          <w:highlight w:val="none"/>
          <w:lang w:val="en-US" w:eastAsia="zh-CN"/>
        </w:rPr>
        <w:t>要求</w:t>
      </w:r>
      <w:r>
        <w:rPr>
          <w:rFonts w:hint="eastAsia" w:ascii="宋体" w:hAnsi="宋体" w:eastAsia="宋体" w:cs="宋体"/>
          <w:color w:val="auto"/>
          <w:spacing w:val="0"/>
          <w:kern w:val="2"/>
          <w:sz w:val="24"/>
          <w:szCs w:val="24"/>
          <w:highlight w:val="none"/>
        </w:rPr>
        <w:t>和性价比，有权对技术</w:t>
      </w:r>
      <w:r>
        <w:rPr>
          <w:rFonts w:hint="eastAsia" w:ascii="宋体" w:hAnsi="宋体" w:eastAsia="宋体" w:cs="宋体"/>
          <w:color w:val="auto"/>
          <w:spacing w:val="0"/>
          <w:kern w:val="2"/>
          <w:sz w:val="24"/>
          <w:szCs w:val="24"/>
          <w:highlight w:val="none"/>
          <w:lang w:val="en-US" w:eastAsia="zh-CN"/>
        </w:rPr>
        <w:t>要求</w:t>
      </w:r>
      <w:r>
        <w:rPr>
          <w:rFonts w:hint="eastAsia" w:ascii="宋体" w:hAnsi="宋体" w:eastAsia="宋体" w:cs="宋体"/>
          <w:color w:val="auto"/>
          <w:spacing w:val="0"/>
          <w:kern w:val="2"/>
          <w:sz w:val="24"/>
          <w:szCs w:val="24"/>
          <w:highlight w:val="none"/>
        </w:rPr>
        <w:t>最差供应商或性价比最低点供应商进行淘汰，并将淘汰理由写入评审报告。</w:t>
      </w:r>
    </w:p>
    <w:p w14:paraId="79EF436D">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b/>
          <w:color w:val="auto"/>
          <w:spacing w:val="0"/>
          <w:kern w:val="2"/>
          <w:sz w:val="24"/>
          <w:szCs w:val="24"/>
          <w:highlight w:val="none"/>
        </w:rPr>
        <w:t>后一轮谈判报价高于前一轮谈判报价的供应商，视为其自动退出谈判，有谈判保证金的予以退还。</w:t>
      </w:r>
    </w:p>
    <w:p w14:paraId="3750D07B">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1.5.2.4 谈判小组应在最后一轮谈判前告知所有符合谈判要求的供应商是否是最后一次谈判。</w:t>
      </w:r>
    </w:p>
    <w:p w14:paraId="699D764C">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1.5.2.5 最后一轮谈判结束后，谈判小组将对进入最后一轮的供应商的响应文件进行详细评审。</w:t>
      </w:r>
    </w:p>
    <w:p w14:paraId="2AA2B886">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1.6 最后报价</w:t>
      </w:r>
    </w:p>
    <w:p w14:paraId="5954EBE2">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b/>
          <w:bCs/>
          <w:snapToGrid w:val="0"/>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 xml:space="preserve">.1 </w:t>
      </w:r>
      <w:r>
        <w:rPr>
          <w:rFonts w:hint="eastAsia" w:ascii="宋体" w:hAnsi="宋体" w:eastAsia="宋体" w:cs="宋体"/>
          <w:b/>
          <w:bCs/>
          <w:spacing w:val="0"/>
          <w:kern w:val="2"/>
          <w:sz w:val="24"/>
          <w:szCs w:val="24"/>
          <w:highlight w:val="none"/>
        </w:rPr>
        <w:t>供应商应</w:t>
      </w:r>
      <w:r>
        <w:rPr>
          <w:rFonts w:hint="eastAsia" w:ascii="宋体" w:hAnsi="宋体" w:eastAsia="宋体" w:cs="宋体"/>
          <w:b/>
          <w:bCs/>
          <w:spacing w:val="0"/>
          <w:kern w:val="2"/>
          <w:sz w:val="24"/>
          <w:szCs w:val="24"/>
          <w:highlight w:val="none"/>
          <w:lang w:val="en-US" w:eastAsia="zh-CN"/>
        </w:rPr>
        <w:t>使用单位CA锁线上进行</w:t>
      </w:r>
      <w:r>
        <w:rPr>
          <w:rFonts w:hint="eastAsia" w:ascii="宋体" w:hAnsi="宋体" w:eastAsia="宋体" w:cs="宋体"/>
          <w:b/>
          <w:bCs/>
          <w:spacing w:val="0"/>
          <w:kern w:val="2"/>
          <w:sz w:val="24"/>
          <w:szCs w:val="24"/>
          <w:highlight w:val="none"/>
        </w:rPr>
        <w:t>最后报价</w:t>
      </w:r>
      <w:r>
        <w:rPr>
          <w:rFonts w:hint="eastAsia" w:ascii="宋体" w:hAnsi="宋体" w:eastAsia="宋体" w:cs="宋体"/>
          <w:b/>
          <w:bCs/>
          <w:color w:val="auto"/>
          <w:spacing w:val="0"/>
          <w:kern w:val="2"/>
          <w:sz w:val="24"/>
          <w:szCs w:val="24"/>
          <w:highlight w:val="none"/>
        </w:rPr>
        <w:t>（最后报价将作为最低评标价法中的计算依据），并加盖单位章</w:t>
      </w:r>
      <w:r>
        <w:rPr>
          <w:rFonts w:hint="eastAsia" w:ascii="宋体" w:hAnsi="宋体" w:eastAsia="宋体" w:cs="宋体"/>
          <w:b/>
          <w:bCs/>
          <w:snapToGrid w:val="0"/>
          <w:color w:val="auto"/>
          <w:spacing w:val="0"/>
          <w:kern w:val="2"/>
          <w:sz w:val="24"/>
          <w:szCs w:val="24"/>
          <w:highlight w:val="none"/>
        </w:rPr>
        <w:t>。</w:t>
      </w:r>
    </w:p>
    <w:p w14:paraId="00F5B01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.2 最后报价是供应商响应文件的有效组成部分。</w:t>
      </w:r>
    </w:p>
    <w:p w14:paraId="318AF7E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r>
        <w:rPr>
          <w:rFonts w:hint="eastAsia" w:ascii="宋体" w:hAnsi="宋体" w:eastAsia="宋体" w:cs="宋体"/>
          <w:color w:val="auto"/>
          <w:spacing w:val="0"/>
          <w:kern w:val="2"/>
          <w:sz w:val="24"/>
          <w:szCs w:val="24"/>
          <w:highlight w:val="none"/>
          <w:lang w:val="en-US" w:eastAsia="zh-CN"/>
        </w:rPr>
        <w:t>6</w:t>
      </w:r>
      <w:r>
        <w:rPr>
          <w:rFonts w:hint="eastAsia" w:ascii="宋体" w:hAnsi="宋体" w:eastAsia="宋体" w:cs="宋体"/>
          <w:color w:val="auto"/>
          <w:spacing w:val="0"/>
          <w:kern w:val="2"/>
          <w:sz w:val="24"/>
          <w:szCs w:val="24"/>
          <w:highlight w:val="none"/>
        </w:rPr>
        <w:t>.3 最后报价仅向采购人及监督人员宣布，并由监督人员确认。</w:t>
      </w:r>
    </w:p>
    <w:p w14:paraId="11C27D39">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1.7最后报价评审</w:t>
      </w:r>
    </w:p>
    <w:p w14:paraId="5994E77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经谈判确定最终采购需求和提交最后报价的供应商后，由谈判小组采用</w:t>
      </w:r>
      <w:r>
        <w:rPr>
          <w:rFonts w:hint="eastAsia" w:ascii="宋体" w:hAnsi="宋体" w:eastAsia="宋体" w:cs="宋体"/>
          <w:b/>
          <w:color w:val="auto"/>
          <w:spacing w:val="0"/>
          <w:kern w:val="2"/>
          <w:sz w:val="24"/>
          <w:szCs w:val="24"/>
          <w:highlight w:val="none"/>
        </w:rPr>
        <w:t>最低评标价法</w:t>
      </w:r>
      <w:r>
        <w:rPr>
          <w:rFonts w:hint="eastAsia" w:ascii="宋体" w:hAnsi="宋体" w:eastAsia="宋体" w:cs="宋体"/>
          <w:color w:val="auto"/>
          <w:spacing w:val="0"/>
          <w:kern w:val="2"/>
          <w:sz w:val="24"/>
          <w:szCs w:val="24"/>
          <w:highlight w:val="none"/>
        </w:rPr>
        <w:t>对提交最后报价的供应商的最后报价进行评审。</w:t>
      </w:r>
    </w:p>
    <w:p w14:paraId="5A1E648E">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1.8复核与核对评审结果</w:t>
      </w:r>
    </w:p>
    <w:p w14:paraId="5C01974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1.8.1 评审汇总结束后，谈判小组应当进行复核，特别要对拟推荐成交候选人的、最后报价最低的、响应文件被认定无效的进行重点复核。</w:t>
      </w:r>
    </w:p>
    <w:p w14:paraId="2928A158">
      <w:pPr>
        <w:pStyle w:val="85"/>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1.8.2 评审结果汇总完成后，评审报告签署前，采购代理机构应当</w:t>
      </w:r>
      <w:r>
        <w:rPr>
          <w:rFonts w:hint="eastAsia" w:ascii="宋体" w:hAnsi="宋体" w:eastAsia="宋体" w:cs="宋体"/>
          <w:bCs/>
          <w:color w:val="auto"/>
          <w:spacing w:val="0"/>
          <w:kern w:val="2"/>
          <w:sz w:val="24"/>
          <w:szCs w:val="24"/>
          <w:highlight w:val="none"/>
        </w:rPr>
        <w:t>核对评审结果，</w:t>
      </w:r>
      <w:r>
        <w:rPr>
          <w:rFonts w:hint="eastAsia" w:ascii="宋体" w:hAnsi="宋体" w:eastAsia="宋体" w:cs="宋体"/>
          <w:color w:val="auto"/>
          <w:spacing w:val="0"/>
          <w:kern w:val="2"/>
          <w:sz w:val="24"/>
          <w:szCs w:val="24"/>
          <w:highlight w:val="none"/>
        </w:rPr>
        <w:t>除下列情形外，任何人不得修改评审结果：</w:t>
      </w:r>
    </w:p>
    <w:p w14:paraId="30CC5EA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（1）资格性认定错误的；</w:t>
      </w:r>
    </w:p>
    <w:p w14:paraId="0050024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（2）价格计算错误。</w:t>
      </w:r>
    </w:p>
    <w:p w14:paraId="609D25F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经复核发现价格计算的，谈判小组应当当场修改评审结果，并在评审报告中记载；经复核发现资格性认定错误的，由资格审查小组负责修改供应商资格审查报告，并通知谈判小组修改评审报告。</w:t>
      </w:r>
    </w:p>
    <w:p w14:paraId="32A187F1">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1.9 确定成交候选人名单</w:t>
      </w:r>
    </w:p>
    <w:p w14:paraId="5413C3F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确定成交候选人程序详见第二章第8.1、8.2条款。</w:t>
      </w:r>
    </w:p>
    <w:p w14:paraId="3C6F7E99">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1.10 编写评审报告</w:t>
      </w:r>
    </w:p>
    <w:p w14:paraId="0F50F02D">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1.10.1 谈判小组在确定成交候选人名单后，应当编写评审报告并向采购人出具。评审报告应当包括以下主要内容：</w:t>
      </w:r>
    </w:p>
    <w:p w14:paraId="12849104">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snapToGrid w:val="0"/>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r>
        <w:rPr>
          <w:rFonts w:hint="eastAsia" w:ascii="宋体" w:hAnsi="宋体" w:eastAsia="宋体" w:cs="宋体"/>
          <w:snapToGrid w:val="0"/>
          <w:color w:val="auto"/>
          <w:spacing w:val="0"/>
          <w:kern w:val="2"/>
          <w:sz w:val="24"/>
          <w:szCs w:val="24"/>
          <w:highlight w:val="none"/>
        </w:rPr>
        <w:t>邀请供应商参加采购活动的具体方式和相关情况；</w:t>
      </w:r>
    </w:p>
    <w:p w14:paraId="15131436">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（2）响应文件开启日期和地点；</w:t>
      </w:r>
    </w:p>
    <w:p w14:paraId="7AE6FF6B">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（3）获取谈判文件的供应商名单和谈判小组成员名单；</w:t>
      </w:r>
    </w:p>
    <w:p w14:paraId="6F5FDB7D">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（4）评审情况记录和说明，包括对供应商的资格审查情况、供应商响应文件评审情况、谈判情况（含谈判文件实质性变动情况）、报价情况等；</w:t>
      </w:r>
    </w:p>
    <w:p w14:paraId="41F79306">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（5）提出的成交候选人的排序名单及理由。</w:t>
      </w:r>
    </w:p>
    <w:p w14:paraId="28BC7AB4">
      <w:pPr>
        <w:keepNext w:val="0"/>
        <w:keepLines w:val="0"/>
        <w:pageBreakBefore w:val="0"/>
        <w:widowControl w:val="0"/>
        <w:kinsoku/>
        <w:wordWrap w:val="0"/>
        <w:overflowPunct/>
        <w:topLinePunct/>
        <w:autoSpaceDE/>
        <w:autoSpaceDN/>
        <w:bidi w:val="0"/>
        <w:spacing w:line="360" w:lineRule="auto"/>
        <w:ind w:firstLine="482"/>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（6）其他需要说明的情况，包括评审过程中供应商根据谈判小组要求进行的澄清、说明或者更正，谈判小组成员的更换等。</w:t>
      </w:r>
    </w:p>
    <w:p w14:paraId="41A4E67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1.10.2 </w:t>
      </w:r>
      <w:r>
        <w:rPr>
          <w:rFonts w:hint="eastAsia" w:ascii="宋体" w:hAnsi="宋体" w:eastAsia="宋体" w:cs="宋体"/>
          <w:snapToGrid w:val="0"/>
          <w:color w:val="auto"/>
          <w:spacing w:val="0"/>
          <w:kern w:val="2"/>
          <w:sz w:val="24"/>
          <w:szCs w:val="24"/>
          <w:highlight w:val="none"/>
        </w:rPr>
        <w:t>评审报告应当由谈判小组全体人员签名认可。谈判小组成员对评审报告有异议的，谈判小组按照少数服从多数的原则推荐成交候选人名单，采购程序继续进行。对评审报告有异议的谈判小组成员，应当在报告上签署不同意见并说明理由，由谈判小组书面记录相关情况。谈判小组成员拒绝在报告上签名又不书面说明其不同意见和理由的，视为同意评审报告。</w:t>
      </w:r>
    </w:p>
    <w:p w14:paraId="42A93AC4">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2.评审方法</w:t>
      </w:r>
    </w:p>
    <w:p w14:paraId="2F8050B9">
      <w:pPr>
        <w:pStyle w:val="6"/>
        <w:keepNext w:val="0"/>
        <w:keepLines w:val="0"/>
        <w:pageBreakBefore w:val="0"/>
        <w:widowControl w:val="0"/>
        <w:kinsoku/>
        <w:wordWrap w:val="0"/>
        <w:overflowPunct/>
        <w:topLinePunct/>
        <w:autoSpaceDE/>
        <w:autoSpaceDN/>
        <w:bidi w:val="0"/>
        <w:spacing w:line="360" w:lineRule="auto"/>
        <w:ind w:firstLine="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2.1 最低评标价法</w:t>
      </w:r>
    </w:p>
    <w:p w14:paraId="37E34F02">
      <w:pPr>
        <w:keepNext w:val="0"/>
        <w:keepLines w:val="0"/>
        <w:pageBreakBefore w:val="0"/>
        <w:widowControl w:val="0"/>
        <w:kinsoku/>
        <w:wordWrap w:val="0"/>
        <w:overflowPunct/>
        <w:topLinePunct/>
        <w:autoSpaceDE/>
        <w:autoSpaceDN/>
        <w:bidi w:val="0"/>
        <w:spacing w:line="360" w:lineRule="auto"/>
        <w:ind w:firstLine="710" w:firstLineChars="296"/>
        <w:rPr>
          <w:rFonts w:hint="eastAsia" w:ascii="宋体" w:hAnsi="宋体" w:eastAsia="宋体" w:cs="宋体"/>
          <w:snapToGrid w:val="0"/>
          <w:color w:val="auto"/>
          <w:spacing w:val="0"/>
          <w:kern w:val="2"/>
          <w:sz w:val="24"/>
          <w:szCs w:val="24"/>
          <w:highlight w:val="none"/>
        </w:rPr>
      </w:pPr>
      <w:r>
        <w:rPr>
          <w:rFonts w:hint="eastAsia" w:ascii="宋体" w:hAnsi="宋体" w:eastAsia="宋体" w:cs="宋体"/>
          <w:color w:val="auto"/>
          <w:spacing w:val="0"/>
          <w:kern w:val="2"/>
          <w:sz w:val="24"/>
          <w:szCs w:val="24"/>
          <w:highlight w:val="none"/>
        </w:rPr>
        <w:t>2.1.1本项目评审方法采用</w:t>
      </w:r>
      <w:r>
        <w:rPr>
          <w:rFonts w:hint="eastAsia" w:ascii="宋体" w:hAnsi="宋体" w:eastAsia="宋体" w:cs="宋体"/>
          <w:b/>
          <w:bCs/>
          <w:color w:val="auto"/>
          <w:spacing w:val="0"/>
          <w:kern w:val="2"/>
          <w:sz w:val="24"/>
          <w:szCs w:val="24"/>
          <w:highlight w:val="none"/>
        </w:rPr>
        <w:t>最低评标价法</w:t>
      </w:r>
      <w:r>
        <w:rPr>
          <w:rFonts w:hint="eastAsia" w:ascii="宋体" w:hAnsi="宋体" w:eastAsia="宋体" w:cs="宋体"/>
          <w:color w:val="auto"/>
          <w:spacing w:val="0"/>
          <w:kern w:val="2"/>
          <w:sz w:val="24"/>
          <w:szCs w:val="24"/>
          <w:highlight w:val="none"/>
        </w:rPr>
        <w:t>，</w:t>
      </w:r>
      <w:r>
        <w:rPr>
          <w:rFonts w:hint="eastAsia" w:ascii="宋体" w:hAnsi="宋体" w:eastAsia="宋体" w:cs="宋体"/>
          <w:snapToGrid w:val="0"/>
          <w:color w:val="auto"/>
          <w:spacing w:val="0"/>
          <w:kern w:val="2"/>
          <w:sz w:val="24"/>
          <w:szCs w:val="24"/>
          <w:highlight w:val="none"/>
        </w:rPr>
        <w:t>是指</w:t>
      </w:r>
      <w:r>
        <w:rPr>
          <w:rFonts w:hint="eastAsia" w:ascii="宋体" w:hAnsi="宋体" w:eastAsia="宋体" w:cs="宋体"/>
          <w:b/>
          <w:bCs/>
          <w:snapToGrid w:val="0"/>
          <w:color w:val="auto"/>
          <w:spacing w:val="0"/>
          <w:kern w:val="2"/>
          <w:sz w:val="24"/>
          <w:szCs w:val="24"/>
          <w:highlight w:val="none"/>
        </w:rPr>
        <w:t>响应文件满足谈判文件全部实质性要求谈判</w:t>
      </w:r>
      <w:r>
        <w:rPr>
          <w:rFonts w:hint="eastAsia" w:ascii="宋体" w:hAnsi="宋体" w:eastAsia="宋体" w:cs="宋体"/>
          <w:b/>
          <w:bCs/>
          <w:snapToGrid w:val="0"/>
          <w:color w:val="auto"/>
          <w:spacing w:val="0"/>
          <w:kern w:val="2"/>
          <w:sz w:val="24"/>
          <w:szCs w:val="24"/>
          <w:highlight w:val="none"/>
          <w:lang w:val="en-US" w:eastAsia="zh-CN"/>
        </w:rPr>
        <w:t>最后</w:t>
      </w:r>
      <w:r>
        <w:rPr>
          <w:rFonts w:hint="eastAsia" w:ascii="宋体" w:hAnsi="宋体" w:eastAsia="宋体" w:cs="宋体"/>
          <w:b/>
          <w:bCs/>
          <w:snapToGrid w:val="0"/>
          <w:color w:val="auto"/>
          <w:spacing w:val="0"/>
          <w:kern w:val="2"/>
          <w:sz w:val="24"/>
          <w:szCs w:val="24"/>
          <w:highlight w:val="none"/>
        </w:rPr>
        <w:t>报价最低的供应商为成交候选供应商</w:t>
      </w:r>
      <w:r>
        <w:rPr>
          <w:rFonts w:hint="eastAsia" w:ascii="宋体" w:hAnsi="宋体" w:eastAsia="宋体" w:cs="宋体"/>
          <w:snapToGrid w:val="0"/>
          <w:color w:val="auto"/>
          <w:spacing w:val="0"/>
          <w:kern w:val="2"/>
          <w:sz w:val="24"/>
          <w:szCs w:val="24"/>
          <w:highlight w:val="none"/>
        </w:rPr>
        <w:t>的评审方法。</w:t>
      </w:r>
    </w:p>
    <w:p w14:paraId="071F9B4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bookmarkStart w:id="44" w:name="_Toc217446093"/>
      <w:r>
        <w:rPr>
          <w:rFonts w:hint="eastAsia" w:ascii="宋体" w:hAnsi="宋体" w:eastAsia="宋体" w:cs="宋体"/>
          <w:color w:val="auto"/>
          <w:spacing w:val="0"/>
          <w:kern w:val="2"/>
          <w:sz w:val="24"/>
          <w:szCs w:val="24"/>
          <w:highlight w:val="none"/>
        </w:rPr>
        <w:t>2.3 特殊情况的处理</w:t>
      </w:r>
    </w:p>
    <w:p w14:paraId="65E2768E">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2.3.1 响应文件中如果出现前后不一致的，按照下列规定修正：</w:t>
      </w:r>
    </w:p>
    <w:p w14:paraId="4E77653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（1）响应文件中的大写金额与小写金额不一致的，以大写金额为准；</w:t>
      </w:r>
    </w:p>
    <w:p w14:paraId="502EDBD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（2）响应文件中的总报价与按单价计算的汇总报价不一致的，以单价计算的汇总报价为准；</w:t>
      </w:r>
    </w:p>
    <w:p w14:paraId="3FEFACA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（3）响应文件中的报价有明显小数点错误的，以总报价为准，并修改报价；</w:t>
      </w:r>
    </w:p>
    <w:p w14:paraId="056049A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（4）响应文件中有关分项表内容与“谈判报价一览表”不一致的，以“谈判报价一览表”为准；</w:t>
      </w:r>
    </w:p>
    <w:p w14:paraId="1C66862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（5）响应文件中图表与文字表述不一致的，以文字表述为准；</w:t>
      </w:r>
    </w:p>
    <w:p w14:paraId="7E7BFDF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（6）响应文件正本与副本不一致的，以正本为准；</w:t>
      </w:r>
    </w:p>
    <w:p w14:paraId="5FB605D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（7）对不同文字文本响应文件的解释发生异议的，以中文文本为准。</w:t>
      </w:r>
    </w:p>
    <w:p w14:paraId="10B6250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按上述修正错误的方法调整的报价应对供应商具有约束力。如果供应商不接受修正后的价格，</w:t>
      </w:r>
      <w:r>
        <w:rPr>
          <w:rFonts w:hint="eastAsia" w:ascii="宋体" w:hAnsi="宋体" w:eastAsia="宋体" w:cs="宋体"/>
          <w:b/>
          <w:color w:val="auto"/>
          <w:spacing w:val="0"/>
          <w:kern w:val="2"/>
          <w:sz w:val="24"/>
          <w:szCs w:val="24"/>
          <w:highlight w:val="none"/>
        </w:rPr>
        <w:t>其响应文件将被拒绝</w:t>
      </w:r>
      <w:r>
        <w:rPr>
          <w:rFonts w:hint="eastAsia" w:ascii="宋体" w:hAnsi="宋体" w:eastAsia="宋体" w:cs="宋体"/>
          <w:color w:val="auto"/>
          <w:spacing w:val="0"/>
          <w:kern w:val="2"/>
          <w:sz w:val="24"/>
          <w:szCs w:val="24"/>
          <w:highlight w:val="none"/>
        </w:rPr>
        <w:t>。</w:t>
      </w:r>
    </w:p>
    <w:p w14:paraId="742D1996">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2.3.2 评审过程中，各种数字的计算结果，均保留两位小数，第三位“四舍五入”，但计算百分数时应精确到千分位，万分位“四舍五入”。</w:t>
      </w:r>
    </w:p>
    <w:p w14:paraId="3D74FE9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color w:val="auto"/>
          <w:spacing w:val="0"/>
          <w:kern w:val="2"/>
          <w:sz w:val="24"/>
          <w:szCs w:val="24"/>
          <w:highlight w:val="none"/>
        </w:rPr>
        <w:t>2.3.3</w:t>
      </w:r>
      <w:r>
        <w:rPr>
          <w:rFonts w:hint="eastAsia" w:ascii="宋体" w:hAnsi="宋体" w:eastAsia="宋体" w:cs="宋体"/>
          <w:b/>
          <w:color w:val="auto"/>
          <w:spacing w:val="0"/>
          <w:kern w:val="2"/>
          <w:sz w:val="24"/>
          <w:szCs w:val="24"/>
          <w:highlight w:val="none"/>
        </w:rPr>
        <w:t>谈判报价异常处理</w:t>
      </w:r>
    </w:p>
    <w:p w14:paraId="1D4B4D87">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2.3.3.1 谈判小组认为供应商的最后报价明显低于其他通过资格性、符合性审查供应商的最后报价，有可能影响工程质量或者不能诚信履约的，应当要求其在评审现场合理的时间内</w:t>
      </w:r>
      <w:r>
        <w:rPr>
          <w:rFonts w:hint="eastAsia" w:ascii="宋体" w:hAnsi="宋体" w:eastAsia="宋体" w:cs="宋体"/>
          <w:b/>
          <w:bCs/>
          <w:color w:val="auto"/>
          <w:spacing w:val="0"/>
          <w:kern w:val="2"/>
          <w:sz w:val="24"/>
          <w:szCs w:val="24"/>
          <w:highlight w:val="none"/>
        </w:rPr>
        <w:t>提供书面说明</w:t>
      </w:r>
      <w:r>
        <w:rPr>
          <w:rFonts w:hint="eastAsia" w:ascii="宋体" w:hAnsi="宋体" w:eastAsia="宋体" w:cs="宋体"/>
          <w:color w:val="auto"/>
          <w:spacing w:val="0"/>
          <w:kern w:val="2"/>
          <w:sz w:val="24"/>
          <w:szCs w:val="24"/>
          <w:highlight w:val="none"/>
        </w:rPr>
        <w:t>，</w:t>
      </w:r>
      <w:r>
        <w:rPr>
          <w:rFonts w:hint="eastAsia" w:ascii="宋体" w:hAnsi="宋体" w:eastAsia="宋体" w:cs="宋体"/>
          <w:b w:val="0"/>
          <w:bCs/>
          <w:color w:val="auto"/>
          <w:spacing w:val="0"/>
          <w:kern w:val="2"/>
          <w:sz w:val="24"/>
          <w:szCs w:val="24"/>
          <w:highlight w:val="none"/>
        </w:rPr>
        <w:t>必要时提</w:t>
      </w:r>
      <w:r>
        <w:rPr>
          <w:rFonts w:hint="eastAsia" w:ascii="宋体" w:hAnsi="宋体" w:eastAsia="宋体" w:cs="宋体"/>
          <w:color w:val="auto"/>
          <w:spacing w:val="0"/>
          <w:kern w:val="2"/>
          <w:sz w:val="24"/>
          <w:szCs w:val="24"/>
          <w:highlight w:val="none"/>
        </w:rPr>
        <w:t>交相关证明材料；</w:t>
      </w:r>
    </w:p>
    <w:p w14:paraId="30BF5D8F">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en-US" w:eastAsia="zh-CN"/>
        </w:rPr>
        <w:t>2.3.3.1.1、</w:t>
      </w:r>
      <w:r>
        <w:rPr>
          <w:rFonts w:hint="eastAsia" w:ascii="宋体" w:hAnsi="宋体" w:eastAsia="宋体" w:cs="宋体"/>
          <w:color w:val="auto"/>
          <w:spacing w:val="0"/>
          <w:kern w:val="2"/>
          <w:sz w:val="24"/>
          <w:szCs w:val="24"/>
          <w:highlight w:val="none"/>
          <w:lang w:eastAsia="zh-CN"/>
        </w:rPr>
        <w:t>谈判小组</w:t>
      </w:r>
      <w:r>
        <w:rPr>
          <w:rFonts w:hint="eastAsia" w:ascii="宋体" w:hAnsi="宋体" w:eastAsia="宋体" w:cs="宋体"/>
          <w:color w:val="auto"/>
          <w:spacing w:val="0"/>
          <w:kern w:val="2"/>
          <w:sz w:val="24"/>
          <w:szCs w:val="24"/>
          <w:highlight w:val="none"/>
        </w:rPr>
        <w:t>认为某一</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w:t>
      </w:r>
      <w:r>
        <w:rPr>
          <w:rFonts w:hint="eastAsia" w:ascii="宋体" w:hAnsi="宋体" w:eastAsia="宋体" w:cs="宋体"/>
          <w:color w:val="auto"/>
          <w:spacing w:val="0"/>
          <w:kern w:val="2"/>
          <w:sz w:val="24"/>
          <w:szCs w:val="24"/>
          <w:highlight w:val="none"/>
          <w:lang w:eastAsia="zh-CN"/>
        </w:rPr>
        <w:t>投标</w:t>
      </w:r>
      <w:r>
        <w:rPr>
          <w:rFonts w:hint="eastAsia" w:ascii="宋体" w:hAnsi="宋体" w:eastAsia="宋体" w:cs="宋体"/>
          <w:color w:val="auto"/>
          <w:spacing w:val="0"/>
          <w:kern w:val="2"/>
          <w:sz w:val="24"/>
          <w:szCs w:val="24"/>
          <w:highlight w:val="none"/>
        </w:rPr>
        <w:t>报价明显低于其他通过符合性审查</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的报价，有可能影响</w:t>
      </w:r>
      <w:r>
        <w:rPr>
          <w:rFonts w:hint="eastAsia" w:ascii="宋体" w:hAnsi="宋体" w:eastAsia="宋体" w:cs="宋体"/>
          <w:color w:val="auto"/>
          <w:spacing w:val="0"/>
          <w:kern w:val="2"/>
          <w:sz w:val="24"/>
          <w:szCs w:val="24"/>
          <w:highlight w:val="none"/>
          <w:lang w:eastAsia="zh-CN"/>
        </w:rPr>
        <w:t>货物（</w:t>
      </w:r>
      <w:r>
        <w:rPr>
          <w:rFonts w:hint="eastAsia" w:ascii="宋体" w:hAnsi="宋体" w:eastAsia="宋体" w:cs="宋体"/>
          <w:color w:val="auto"/>
          <w:spacing w:val="0"/>
          <w:kern w:val="2"/>
          <w:sz w:val="24"/>
          <w:szCs w:val="24"/>
          <w:highlight w:val="none"/>
        </w:rPr>
        <w:t>产品</w:t>
      </w:r>
      <w:r>
        <w:rPr>
          <w:rFonts w:hint="eastAsia" w:ascii="宋体" w:hAnsi="宋体" w:eastAsia="宋体" w:cs="宋体"/>
          <w:color w:val="auto"/>
          <w:spacing w:val="0"/>
          <w:kern w:val="2"/>
          <w:sz w:val="24"/>
          <w:szCs w:val="24"/>
          <w:highlight w:val="none"/>
          <w:lang w:eastAsia="zh-CN"/>
        </w:rPr>
        <w:t>）、工程或服务</w:t>
      </w:r>
      <w:r>
        <w:rPr>
          <w:rFonts w:hint="eastAsia" w:ascii="宋体" w:hAnsi="宋体" w:eastAsia="宋体" w:cs="宋体"/>
          <w:color w:val="auto"/>
          <w:spacing w:val="0"/>
          <w:kern w:val="2"/>
          <w:sz w:val="24"/>
          <w:szCs w:val="24"/>
          <w:highlight w:val="none"/>
        </w:rPr>
        <w:t>质量或者不能诚信履约的，将要求其在评标现场合理的时间内提供书面说明，必要时提供相关证明材料；</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不能证明其报价合理性的，</w:t>
      </w:r>
      <w:r>
        <w:rPr>
          <w:rFonts w:hint="eastAsia" w:ascii="宋体" w:hAnsi="宋体" w:eastAsia="宋体" w:cs="宋体"/>
          <w:color w:val="auto"/>
          <w:spacing w:val="0"/>
          <w:kern w:val="2"/>
          <w:sz w:val="24"/>
          <w:szCs w:val="24"/>
          <w:highlight w:val="none"/>
          <w:lang w:eastAsia="zh-CN"/>
        </w:rPr>
        <w:t>谈判小组</w:t>
      </w:r>
      <w:r>
        <w:rPr>
          <w:rFonts w:hint="eastAsia" w:ascii="宋体" w:hAnsi="宋体" w:eastAsia="宋体" w:cs="宋体"/>
          <w:color w:val="auto"/>
          <w:spacing w:val="0"/>
          <w:kern w:val="2"/>
          <w:sz w:val="24"/>
          <w:szCs w:val="24"/>
          <w:highlight w:val="none"/>
        </w:rPr>
        <w:t>将其作为无效投标处理。</w:t>
      </w:r>
    </w:p>
    <w:p w14:paraId="563A358C">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16149DED">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28ACDA95">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 xml:space="preserve">（3）投标（响应）报价低于采购项目最高限价45%的，即投标（响应）报价&lt;采购项目最高限价×45%； </w:t>
      </w:r>
    </w:p>
    <w:p w14:paraId="21791503">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 xml:space="preserve">（4）评审委员会基于专业判断，认为供应商报价过低，有可能影响产品质量或者不能诚信履约的其他情形。 </w:t>
      </w:r>
    </w:p>
    <w:p w14:paraId="44224CAB">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en-US" w:eastAsia="zh-CN"/>
        </w:rPr>
        <w:t>相关供应商在评审现场合理的时间内对投标（响应）价格作出解释，提供项目具体成本测算等与报价合理性相关的书面说明及必要的证明材料，包括但不限于原材料成本、人工成本、制造费用等；其中，属于（2.3.3.1.1）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相关法律法规对供应商报价有规定的，从其规定。</w:t>
      </w:r>
    </w:p>
    <w:p w14:paraId="0A4B0872">
      <w:pPr>
        <w:keepNext w:val="0"/>
        <w:keepLines w:val="0"/>
        <w:pageBreakBefore w:val="0"/>
        <w:widowControl w:val="0"/>
        <w:kinsoku/>
        <w:wordWrap w:val="0"/>
        <w:overflowPunct/>
        <w:topLinePunct/>
        <w:autoSpaceDE/>
        <w:autoSpaceDN/>
        <w:bidi w:val="0"/>
        <w:spacing w:line="360" w:lineRule="auto"/>
        <w:ind w:right="53"/>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2.3.3.2 供应商证明其能够诚信履约，并承诺成交后提供谈判文件规定以外的履约担保的，可以继续参加评审，否则谈判小组应当将其作为</w:t>
      </w:r>
      <w:r>
        <w:rPr>
          <w:rFonts w:hint="eastAsia" w:ascii="宋体" w:hAnsi="宋体" w:eastAsia="宋体" w:cs="宋体"/>
          <w:b/>
          <w:color w:val="auto"/>
          <w:spacing w:val="0"/>
          <w:kern w:val="2"/>
          <w:sz w:val="24"/>
          <w:szCs w:val="24"/>
          <w:highlight w:val="none"/>
        </w:rPr>
        <w:t>无效响应文件</w:t>
      </w:r>
      <w:r>
        <w:rPr>
          <w:rFonts w:hint="eastAsia" w:ascii="宋体" w:hAnsi="宋体" w:eastAsia="宋体" w:cs="宋体"/>
          <w:color w:val="auto"/>
          <w:spacing w:val="0"/>
          <w:kern w:val="2"/>
          <w:sz w:val="24"/>
          <w:szCs w:val="24"/>
          <w:highlight w:val="none"/>
        </w:rPr>
        <w:t>处理。</w:t>
      </w:r>
    </w:p>
    <w:p w14:paraId="0E5A2818">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2.3.4 评审过程中，若出现本谈判办法以外的特殊情况时，将暂停评审，待谈判小组商榷后，再进行评审。</w:t>
      </w:r>
    </w:p>
    <w:p w14:paraId="22079BE5">
      <w:pPr>
        <w:pStyle w:val="6"/>
        <w:keepNext w:val="0"/>
        <w:keepLines w:val="0"/>
        <w:pageBreakBefore w:val="0"/>
        <w:widowControl w:val="0"/>
        <w:kinsoku/>
        <w:wordWrap w:val="0"/>
        <w:overflowPunct/>
        <w:topLinePunct/>
        <w:autoSpaceDE/>
        <w:autoSpaceDN/>
        <w:bidi w:val="0"/>
        <w:spacing w:line="360" w:lineRule="auto"/>
        <w:ind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2.3.5  评审过程中，若出现合格供应商不足3家时，采购人将依法重新组织采购活动。</w:t>
      </w:r>
    </w:p>
    <w:p w14:paraId="28E1A0BC">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2.3.6 评审报告签署后，采购人或者采购代理机构发现存在本章第1.7.2条款情形之一的，应当组织原谈判小组进行重新评审，重新评审改变成交结果的，书面报告本级财政部门。</w:t>
      </w:r>
    </w:p>
    <w:p w14:paraId="1B11FF1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color w:val="auto"/>
          <w:spacing w:val="0"/>
          <w:kern w:val="2"/>
          <w:sz w:val="24"/>
          <w:szCs w:val="24"/>
          <w:highlight w:val="none"/>
        </w:rPr>
        <w:t>2.3.7</w:t>
      </w:r>
      <w:r>
        <w:rPr>
          <w:rFonts w:hint="eastAsia" w:ascii="宋体" w:hAnsi="宋体" w:eastAsia="宋体" w:cs="宋体"/>
          <w:snapToGrid w:val="0"/>
          <w:color w:val="auto"/>
          <w:spacing w:val="0"/>
          <w:kern w:val="2"/>
          <w:sz w:val="24"/>
          <w:szCs w:val="24"/>
          <w:highlight w:val="none"/>
        </w:rPr>
        <w:t>采购人、采购代理机构发现谈判小组未按照谈判文件规定的评审标准进行评审的，应当重新开展采购活动，并同时书面报告本级财政部门。</w:t>
      </w:r>
    </w:p>
    <w:p w14:paraId="3149C3CE">
      <w:pPr>
        <w:keepNext w:val="0"/>
        <w:keepLines w:val="0"/>
        <w:pageBreakBefore w:val="0"/>
        <w:widowControl w:val="0"/>
        <w:kinsoku/>
        <w:wordWrap w:val="0"/>
        <w:overflowPunct/>
        <w:topLinePunct/>
        <w:autoSpaceDE/>
        <w:autoSpaceDN/>
        <w:bidi w:val="0"/>
        <w:spacing w:line="360" w:lineRule="auto"/>
        <w:ind w:right="53" w:firstLine="482" w:firstLineChars="200"/>
        <w:textAlignment w:val="bottom"/>
        <w:rPr>
          <w:rFonts w:hint="eastAsia" w:ascii="宋体" w:hAnsi="宋体" w:eastAsia="宋体" w:cs="宋体"/>
          <w:b/>
          <w:color w:val="000000"/>
          <w:spacing w:val="0"/>
          <w:kern w:val="2"/>
          <w:sz w:val="24"/>
          <w:szCs w:val="24"/>
          <w:highlight w:val="none"/>
        </w:rPr>
      </w:pPr>
      <w:r>
        <w:rPr>
          <w:rFonts w:hint="eastAsia" w:ascii="宋体" w:hAnsi="宋体" w:eastAsia="宋体" w:cs="宋体"/>
          <w:b/>
          <w:color w:val="000000"/>
          <w:spacing w:val="0"/>
          <w:kern w:val="2"/>
          <w:sz w:val="24"/>
          <w:szCs w:val="24"/>
          <w:highlight w:val="none"/>
        </w:rPr>
        <w:t>2.3.</w:t>
      </w:r>
      <w:r>
        <w:rPr>
          <w:rFonts w:hint="eastAsia" w:ascii="宋体" w:hAnsi="宋体" w:eastAsia="宋体" w:cs="宋体"/>
          <w:b/>
          <w:color w:val="000000"/>
          <w:spacing w:val="0"/>
          <w:kern w:val="2"/>
          <w:sz w:val="24"/>
          <w:szCs w:val="24"/>
          <w:highlight w:val="none"/>
          <w:lang w:val="en-US" w:eastAsia="zh-CN"/>
        </w:rPr>
        <w:t>3</w:t>
      </w:r>
      <w:r>
        <w:rPr>
          <w:rFonts w:hint="eastAsia" w:ascii="宋体" w:hAnsi="宋体" w:eastAsia="宋体" w:cs="宋体"/>
          <w:b/>
          <w:color w:val="000000"/>
          <w:spacing w:val="0"/>
          <w:kern w:val="2"/>
          <w:sz w:val="24"/>
          <w:szCs w:val="24"/>
          <w:highlight w:val="none"/>
        </w:rPr>
        <w:t xml:space="preserve"> 相同品牌的处理</w:t>
      </w:r>
    </w:p>
    <w:p w14:paraId="59BF7BD0">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.1 单一产品采购项目中，提供相同品牌产品的不同供应商参加同一合同项下响应的，以其中通过资格审查、符合性审查且</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报价最低的参加</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报价相同的，由采购人自主选择确定其中一个供应商参加</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，其他响应文件无效。</w:t>
      </w:r>
    </w:p>
    <w:p w14:paraId="4B4B597F">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.2 非单一产品采购项目中，多家供应商提供的核心产品品牌相同的，视为提供相同品牌产品。采购人根据采购项目技术构成、产品价格比重等合理确定核心产品。</w:t>
      </w:r>
    </w:p>
    <w:p w14:paraId="3F2BFB55">
      <w:pPr>
        <w:keepNext w:val="0"/>
        <w:keepLines w:val="0"/>
        <w:pageBreakBefore w:val="0"/>
        <w:widowControl w:val="0"/>
        <w:kinsoku/>
        <w:wordWrap w:val="0"/>
        <w:overflowPunct/>
        <w:topLinePunct/>
        <w:autoSpaceDE/>
        <w:autoSpaceDN/>
        <w:bidi w:val="0"/>
        <w:spacing w:line="360" w:lineRule="auto"/>
        <w:ind w:right="53" w:firstLine="480" w:firstLineChars="200"/>
        <w:textAlignment w:val="bottom"/>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2.3.</w:t>
      </w:r>
      <w:r>
        <w:rPr>
          <w:rFonts w:hint="eastAsia" w:ascii="宋体" w:hAnsi="宋体" w:eastAsia="宋体" w:cs="宋体"/>
          <w:color w:val="auto"/>
          <w:spacing w:val="0"/>
          <w:kern w:val="2"/>
          <w:sz w:val="24"/>
          <w:szCs w:val="24"/>
          <w:highlight w:val="none"/>
          <w:lang w:val="en-US" w:eastAsia="zh-CN"/>
        </w:rPr>
        <w:t>4</w:t>
      </w:r>
      <w:r>
        <w:rPr>
          <w:rFonts w:hint="eastAsia" w:ascii="宋体" w:hAnsi="宋体" w:eastAsia="宋体" w:cs="宋体"/>
          <w:color w:val="auto"/>
          <w:spacing w:val="0"/>
          <w:kern w:val="2"/>
          <w:sz w:val="24"/>
          <w:szCs w:val="24"/>
          <w:highlight w:val="none"/>
        </w:rPr>
        <w:t xml:space="preserve"> 评审过程中，若出现本</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办法以外的特殊情况时，将暂停评审，待</w:t>
      </w:r>
      <w:r>
        <w:rPr>
          <w:rFonts w:hint="eastAsia" w:ascii="宋体" w:hAnsi="宋体" w:eastAsia="宋体" w:cs="宋体"/>
          <w:color w:val="auto"/>
          <w:spacing w:val="0"/>
          <w:kern w:val="2"/>
          <w:sz w:val="24"/>
          <w:szCs w:val="24"/>
          <w:highlight w:val="none"/>
          <w:lang w:val="en-US" w:eastAsia="zh-CN"/>
        </w:rPr>
        <w:t>谈判</w:t>
      </w:r>
      <w:r>
        <w:rPr>
          <w:rFonts w:hint="eastAsia" w:ascii="宋体" w:hAnsi="宋体" w:eastAsia="宋体" w:cs="宋体"/>
          <w:color w:val="auto"/>
          <w:spacing w:val="0"/>
          <w:kern w:val="2"/>
          <w:sz w:val="24"/>
          <w:szCs w:val="24"/>
          <w:highlight w:val="none"/>
        </w:rPr>
        <w:t>小组商榷后，再进行评审。</w:t>
      </w:r>
    </w:p>
    <w:p w14:paraId="5EF6888B">
      <w:pPr>
        <w:pStyle w:val="6"/>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2.3.</w:t>
      </w:r>
      <w:r>
        <w:rPr>
          <w:rFonts w:hint="eastAsia" w:ascii="宋体" w:hAnsi="宋体" w:eastAsia="宋体" w:cs="宋体"/>
          <w:b/>
          <w:color w:val="auto"/>
          <w:spacing w:val="0"/>
          <w:kern w:val="2"/>
          <w:sz w:val="24"/>
          <w:szCs w:val="24"/>
          <w:highlight w:val="none"/>
          <w:lang w:val="en-US" w:eastAsia="zh-CN"/>
        </w:rPr>
        <w:t>5</w:t>
      </w:r>
      <w:r>
        <w:rPr>
          <w:rFonts w:hint="eastAsia" w:ascii="宋体" w:hAnsi="宋体" w:eastAsia="宋体" w:cs="宋体"/>
          <w:b/>
          <w:color w:val="auto"/>
          <w:spacing w:val="0"/>
          <w:kern w:val="2"/>
          <w:sz w:val="24"/>
          <w:szCs w:val="24"/>
          <w:highlight w:val="none"/>
        </w:rPr>
        <w:t xml:space="preserve"> 评审争议处理原则</w:t>
      </w:r>
    </w:p>
    <w:p w14:paraId="2D0A5A62">
      <w:pPr>
        <w:pStyle w:val="3"/>
        <w:keepNext w:val="0"/>
        <w:keepLines w:val="0"/>
        <w:pageBreakBefore w:val="0"/>
        <w:widowControl w:val="0"/>
        <w:tabs>
          <w:tab w:val="left" w:pos="600"/>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小组在评审过程中，对响应文件符合性审查、技术文件评审和对供应商做无效响应文件处理及其他需要共同认定的事项存在争议的，应当以少数服从多数的原则做出结论，但不得违反法律法规和谈判文件的规定。有不同意见的谈判小组成员认为认定过程和结果不符合法律法规或者谈判文件规定的，应当及时向采购人书面反映，采购人收到书面反映后，应当及时向同级财政部门报告依法处理。</w:t>
      </w:r>
    </w:p>
    <w:p w14:paraId="1D580CB8">
      <w:pPr>
        <w:pStyle w:val="6"/>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bookmarkStart w:id="45" w:name="_Toc20651224"/>
      <w:r>
        <w:rPr>
          <w:rFonts w:hint="eastAsia" w:ascii="宋体" w:hAnsi="宋体" w:eastAsia="宋体" w:cs="宋体"/>
          <w:b/>
          <w:color w:val="auto"/>
          <w:spacing w:val="0"/>
          <w:kern w:val="2"/>
          <w:sz w:val="24"/>
          <w:szCs w:val="24"/>
          <w:highlight w:val="none"/>
        </w:rPr>
        <w:t>2.3.</w:t>
      </w:r>
      <w:r>
        <w:rPr>
          <w:rFonts w:hint="eastAsia" w:ascii="宋体" w:hAnsi="宋体" w:eastAsia="宋体" w:cs="宋体"/>
          <w:b/>
          <w:color w:val="auto"/>
          <w:spacing w:val="0"/>
          <w:kern w:val="2"/>
          <w:sz w:val="24"/>
          <w:szCs w:val="24"/>
          <w:highlight w:val="none"/>
          <w:lang w:val="en-US" w:eastAsia="zh-CN"/>
        </w:rPr>
        <w:t>6</w:t>
      </w:r>
      <w:r>
        <w:rPr>
          <w:rFonts w:hint="eastAsia" w:ascii="宋体" w:hAnsi="宋体" w:eastAsia="宋体" w:cs="宋体"/>
          <w:b/>
          <w:color w:val="auto"/>
          <w:spacing w:val="0"/>
          <w:kern w:val="2"/>
          <w:sz w:val="24"/>
          <w:szCs w:val="24"/>
          <w:highlight w:val="none"/>
        </w:rPr>
        <w:t xml:space="preserve"> 停止评</w:t>
      </w:r>
      <w:bookmarkEnd w:id="45"/>
      <w:r>
        <w:rPr>
          <w:rFonts w:hint="eastAsia" w:ascii="宋体" w:hAnsi="宋体" w:eastAsia="宋体" w:cs="宋体"/>
          <w:b/>
          <w:color w:val="auto"/>
          <w:spacing w:val="0"/>
          <w:kern w:val="2"/>
          <w:sz w:val="24"/>
          <w:szCs w:val="24"/>
          <w:highlight w:val="none"/>
        </w:rPr>
        <w:t>审</w:t>
      </w:r>
    </w:p>
    <w:p w14:paraId="017CD778">
      <w:pPr>
        <w:pStyle w:val="3"/>
        <w:keepNext w:val="0"/>
        <w:keepLines w:val="0"/>
        <w:pageBreakBefore w:val="0"/>
        <w:widowControl w:val="0"/>
        <w:tabs>
          <w:tab w:val="left" w:pos="600"/>
        </w:tabs>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小组发现谈判文件存在歧义、重大缺陷导致评审工作无法进行，或者谈判文件内容违反国家有关强制性规定的，应当停止评审工作，与采购人、采购代理机构沟通并作书面记录。采购人、采购代理机构应当确认和修改谈判文件后，重新组织采购活动。</w:t>
      </w:r>
    </w:p>
    <w:p w14:paraId="1A75BDA8">
      <w:pPr>
        <w:keepNext w:val="0"/>
        <w:keepLines w:val="0"/>
        <w:pageBreakBefore w:val="0"/>
        <w:widowControl w:val="0"/>
        <w:tabs>
          <w:tab w:val="left" w:pos="7665"/>
        </w:tabs>
        <w:kinsoku/>
        <w:wordWrap w:val="0"/>
        <w:overflowPunct/>
        <w:topLinePunct/>
        <w:autoSpaceDE/>
        <w:autoSpaceDN/>
        <w:bidi w:val="0"/>
        <w:spacing w:line="360" w:lineRule="auto"/>
        <w:ind w:firstLine="482"/>
        <w:rPr>
          <w:rFonts w:hint="eastAsia" w:ascii="宋体" w:hAnsi="宋体" w:eastAsia="宋体" w:cs="宋体"/>
          <w:color w:val="auto"/>
          <w:spacing w:val="0"/>
          <w:kern w:val="2"/>
          <w:sz w:val="24"/>
          <w:highlight w:val="none"/>
        </w:rPr>
      </w:pPr>
    </w:p>
    <w:p w14:paraId="7A52A7E9">
      <w:pPr>
        <w:pStyle w:val="4"/>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highlight w:val="none"/>
        </w:rPr>
      </w:pPr>
      <w:r>
        <w:rPr>
          <w:rFonts w:hint="eastAsia" w:ascii="宋体" w:hAnsi="宋体" w:eastAsia="宋体" w:cs="宋体"/>
          <w:color w:val="auto"/>
          <w:spacing w:val="0"/>
          <w:kern w:val="2"/>
          <w:sz w:val="24"/>
          <w:highlight w:val="none"/>
          <w:lang w:eastAsia="zh-CN"/>
        </w:rPr>
        <w:br w:type="page"/>
      </w:r>
      <w:bookmarkStart w:id="46" w:name="_Toc8803"/>
      <w:bookmarkStart w:id="47" w:name="_Toc331"/>
      <w:bookmarkStart w:id="48" w:name="_Toc22630"/>
      <w:r>
        <w:rPr>
          <w:rFonts w:hint="eastAsia" w:ascii="宋体" w:hAnsi="宋体" w:eastAsia="宋体" w:cs="宋体"/>
          <w:spacing w:val="0"/>
          <w:kern w:val="2"/>
          <w:sz w:val="28"/>
          <w:szCs w:val="28"/>
          <w:lang w:val="en-US" w:eastAsia="zh-CN"/>
        </w:rPr>
        <w:t>第五章  采购</w:t>
      </w:r>
      <w:bookmarkEnd w:id="44"/>
      <w:r>
        <w:rPr>
          <w:rFonts w:hint="eastAsia" w:ascii="宋体" w:hAnsi="宋体" w:eastAsia="宋体" w:cs="宋体"/>
          <w:spacing w:val="0"/>
          <w:kern w:val="2"/>
          <w:sz w:val="28"/>
          <w:szCs w:val="28"/>
          <w:lang w:val="en-US" w:eastAsia="zh-CN"/>
        </w:rPr>
        <w:t>需求</w:t>
      </w:r>
      <w:bookmarkEnd w:id="46"/>
      <w:bookmarkEnd w:id="47"/>
      <w:bookmarkEnd w:id="48"/>
    </w:p>
    <w:p w14:paraId="289D88CF">
      <w:pPr>
        <w:keepNext w:val="0"/>
        <w:keepLines w:val="0"/>
        <w:pageBreakBefore w:val="0"/>
        <w:widowControl w:val="0"/>
        <w:suppressLineNumbers w:val="0"/>
        <w:kinsoku/>
        <w:wordWrap w:val="0"/>
        <w:overflowPunct/>
        <w:topLinePunct/>
        <w:autoSpaceDE/>
        <w:autoSpaceDN/>
        <w:bidi w:val="0"/>
        <w:adjustRightInd/>
        <w:snapToGrid/>
        <w:jc w:val="left"/>
        <w:textAlignment w:val="auto"/>
        <w:rPr>
          <w:rFonts w:hint="eastAsia" w:ascii="宋体" w:hAnsi="宋体" w:eastAsia="宋体" w:cs="宋体"/>
          <w:b/>
          <w:bCs/>
          <w:color w:val="auto"/>
          <w:spacing w:val="0"/>
          <w:kern w:val="2"/>
          <w:sz w:val="24"/>
          <w:szCs w:val="24"/>
          <w:highlight w:val="none"/>
          <w:lang w:val="en-US" w:eastAsia="zh-CN" w:bidi="ar-SA"/>
        </w:rPr>
      </w:pPr>
      <w:bookmarkStart w:id="49" w:name="_Toc26240"/>
      <w:r>
        <w:rPr>
          <w:rFonts w:hint="eastAsia" w:ascii="宋体" w:hAnsi="宋体" w:eastAsia="宋体" w:cs="宋体"/>
          <w:b/>
          <w:bCs/>
          <w:color w:val="auto"/>
          <w:spacing w:val="0"/>
          <w:kern w:val="2"/>
          <w:sz w:val="24"/>
          <w:szCs w:val="24"/>
          <w:highlight w:val="none"/>
          <w:lang w:val="en-US" w:eastAsia="zh-CN" w:bidi="ar-SA"/>
        </w:rPr>
        <w:t>技术部分：</w:t>
      </w:r>
    </w:p>
    <w:p w14:paraId="1432FD01">
      <w:pPr>
        <w:keepNext w:val="0"/>
        <w:keepLines w:val="0"/>
        <w:pageBreakBefore w:val="0"/>
        <w:widowControl w:val="0"/>
        <w:suppressLineNumbers w:val="0"/>
        <w:kinsoku/>
        <w:wordWrap w:val="0"/>
        <w:overflowPunct/>
        <w:topLinePunct/>
        <w:autoSpaceDE/>
        <w:autoSpaceDN/>
        <w:bidi w:val="0"/>
        <w:adjustRightInd/>
        <w:snapToGrid/>
        <w:jc w:val="lef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一、项目概况</w:t>
      </w:r>
    </w:p>
    <w:p w14:paraId="1834F8BA">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1、项目名称：2026年蔬菜、调味品等食品辅材第2包（二次）</w:t>
      </w:r>
    </w:p>
    <w:p w14:paraId="63155D6D">
      <w:pPr>
        <w:keepNext w:val="0"/>
        <w:keepLines w:val="0"/>
        <w:pageBreakBefore w:val="0"/>
        <w:widowControl w:val="0"/>
        <w:suppressLineNumbers w:val="0"/>
        <w:kinsoku/>
        <w:wordWrap w:val="0"/>
        <w:overflowPunct/>
        <w:topLinePunct/>
        <w:autoSpaceDE/>
        <w:autoSpaceDN/>
        <w:bidi w:val="0"/>
        <w:adjustRightInd/>
        <w:snapToGrid/>
        <w:jc w:val="lef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二、采购清单</w:t>
      </w:r>
    </w:p>
    <w:p w14:paraId="76598370">
      <w:pPr>
        <w:keepNext w:val="0"/>
        <w:keepLines w:val="0"/>
        <w:pageBreakBefore w:val="0"/>
        <w:widowControl w:val="0"/>
        <w:suppressLineNumbers w:val="0"/>
        <w:kinsoku/>
        <w:wordWrap w:val="0"/>
        <w:overflowPunct/>
        <w:topLinePunct/>
        <w:autoSpaceDE/>
        <w:autoSpaceDN/>
        <w:bidi w:val="0"/>
        <w:adjustRightInd/>
        <w:snapToGrid/>
        <w:jc w:val="lef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2026年蔬菜、调味品等食品辅材第2包（二次）</w:t>
      </w:r>
    </w:p>
    <w:p w14:paraId="5345A99C">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调味品：食用精盐、生抽、老抽、味极鲜、香油、鸡精、味精、桂皮、草果、八角、白醋、料酒、香油、红九九、调料面（十三香）、醋、辣子面、淀粉（粉面）、花椒粒、花椒粉、胡椒粉、孜然粉、豆干、粉条（细粉）、粉条（二宽粉）、腐竹、干木耳、干黄花、干红椒段等</w:t>
      </w:r>
    </w:p>
    <w:p w14:paraId="08E92397">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2.馒头类： </w:t>
      </w:r>
    </w:p>
    <w:p w14:paraId="061E725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馒头、花卷等。</w:t>
      </w:r>
    </w:p>
    <w:p w14:paraId="0F3D9F36">
      <w:pPr>
        <w:keepNext w:val="0"/>
        <w:keepLines w:val="0"/>
        <w:pageBreakBefore w:val="0"/>
        <w:widowControl w:val="0"/>
        <w:suppressLineNumbers w:val="0"/>
        <w:kinsoku/>
        <w:wordWrap w:val="0"/>
        <w:overflowPunct/>
        <w:topLinePunct/>
        <w:autoSpaceDE/>
        <w:autoSpaceDN/>
        <w:bidi w:val="0"/>
        <w:adjustRightInd/>
        <w:snapToGrid/>
        <w:jc w:val="lef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三、采购要求</w:t>
      </w:r>
    </w:p>
    <w:p w14:paraId="5CE61B4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食材必须符合新的《食品安全法》第三章“食品安全标准”中的规定。食材中污染物限量应符合GB2762-2012标准，食材中药残留量符合GB2763-2014 标准。不得采购转基因食品或利用转基因食品原料加工的成品。食品原料新鲜、清洁卫生，同时对每批次食材原料提供质量技术监督部门出具的质量检验报告(近期)，保证每天进行配送。具体要求为：</w:t>
      </w:r>
    </w:p>
    <w:p w14:paraId="3340F041">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调味品：必须符合国家相关标准，无霉变、无杂质，封口平整，无破包，夹包，漏包，无污染。定型包装调味品必须具有“SC”食品质量安全认证。供货产品到货时该产品的有效期不得低于该产品整体有效期的三分之二不得提供临期产品</w:t>
      </w:r>
    </w:p>
    <w:p w14:paraId="6CA45AC0">
      <w:pPr>
        <w:keepNext w:val="0"/>
        <w:keepLines w:val="0"/>
        <w:pageBreakBefore w:val="0"/>
        <w:widowControl w:val="0"/>
        <w:suppressLineNumbers w:val="0"/>
        <w:kinsoku/>
        <w:wordWrap w:val="0"/>
        <w:overflowPunct/>
        <w:topLinePunct/>
        <w:autoSpaceDE/>
        <w:autoSpaceDN/>
        <w:bidi w:val="0"/>
        <w:adjustRightInd/>
        <w:snapToGrid/>
        <w:jc w:val="lef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四、配送要求</w:t>
      </w:r>
    </w:p>
    <w:p w14:paraId="1282CFF6">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4"/>
          <w:szCs w:val="24"/>
          <w:highlight w:val="none"/>
          <w:lang w:val="en-US" w:eastAsia="zh-CN" w:bidi="ar-SA"/>
          <w14:textFill>
            <w14:solidFill>
              <w14:schemeClr w14:val="tx1"/>
            </w14:solidFill>
          </w14:textFill>
        </w:rPr>
        <w:t xml:space="preserve">1.配送企业须在太白县城设置规范的食材储备间，并配备必备的冷藏等设施设备。 </w:t>
      </w:r>
    </w:p>
    <w:p w14:paraId="3DC538B1">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2.配送人员及车辆要求：投标人须配备专职配送人员及车辆(符合食品行业要求的人员及车辆),配送人员不少于 3 名，需提供在本企业社保缴纳证明，按实施学校要求的货物清单按时配送到指定地点。投标人应在食材配前对车辆安全、运输距离、防潮防破损、装卸和应对突发情况等服务进行前期查验和科学安全，以保证所有食材在交付期限时间内安全运达校方指定地点，经采购人验收（复称、抽检）签字后视为交付。所有食材在交付校方前产生的一切费用和发生的一切风险均由投标人承担。 </w:t>
      </w:r>
    </w:p>
    <w:p w14:paraId="2CD06461">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3.从事配送的工作人员需持有效的健康证上岗，人证匹配，每次送餐入校前向门卫出示；聘用的司机驾龄必须在三年以上、有一定驾驶经验，且年龄不超过 60 周岁，身体健康，无犯罪记录，家族无精神病史。每辆配送车上必须有一名责任心强的工作人员负责押运，并与学校搞好交接工作。安排专人（具有有效期内的健康证）及时供货，装卸费、送货费用及运输安全由供货方承担；质保期出现的质量问题由投标人负责解决并承担所有费用。</w:t>
      </w:r>
    </w:p>
    <w:p w14:paraId="253BC8F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投标人应加强食材配送服务过程中的安全管理，必须制定切实可行的配送、储藏、延误、危情处理等工作方案或预案。配送车辆在通过校园时，应服从学校管理，保持低速行驶，不得超速行驶，不得鸣笛等影响教育教学秩序及危害师生安全的行为。在 履约过程中杜绝出现产品质量安全、卫生等重大食品安全问题及校园交通安全问题。在 配送过程中，若出现安全事故，责任由投标人完全承担。</w:t>
      </w:r>
    </w:p>
    <w:p w14:paraId="7B1A903A">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五、质量要求</w:t>
      </w:r>
    </w:p>
    <w:p w14:paraId="07C4F405">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质量目标：所有食材均符合《食品安全国家标准预包装食品标签通则》（GB7718-2011）要求；符合《产品质量法》和《食品安全法》等相关法律法规规定的质量标准，未具体约定的应当符合国家食品安全要求的质量标准；没有国家标准的按照本省 地方标准执行；无国家质量标准或本省地方标准的，按照通常标准或者符合合同目的的 特定标准履行。投标人提供的产品必须是通过正规渠道采购，若发现投标人提供的产品属于假货，一经发现，进行处罚。总体质量要求（如国家标准修订或变更，按最新标准执行）： </w:t>
      </w:r>
    </w:p>
    <w:p w14:paraId="491AFB31">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1）满足现行的食用农产品质量安全标准、食品卫生标准、食品质量标准和有关食品的行业标准中强制执行的标准； </w:t>
      </w:r>
    </w:p>
    <w:p w14:paraId="3BE57C2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2）《食品安全国家标准食品中真菌毒素限量》（GB2761 现行标准） </w:t>
      </w:r>
    </w:p>
    <w:p w14:paraId="44A0040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3）《食品安全国家标准食品中污染物限量》（GB2762 现行标准） </w:t>
      </w:r>
    </w:p>
    <w:p w14:paraId="57650461">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4）《食品安全国家标准食品中农药最大残留限量》（GB2763 现行标准） </w:t>
      </w:r>
    </w:p>
    <w:p w14:paraId="3D91745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5）《食品安全国家标准食品中致病菌限量》（GB29921 现行标准） </w:t>
      </w:r>
    </w:p>
    <w:p w14:paraId="450F689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6）所有货物必须在质保期内，且生产日期距供货日期的日历天数不得超过质保期日历天数的 1/3；质保期不足 3 日或者质保期不能明确的，生产日期应当为供货日期当日。</w:t>
      </w:r>
    </w:p>
    <w:p w14:paraId="5E7E737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8）货物必须符合卫生，不得有腐烂、变质、油脂酸败、霉变、生虫、污秽不结、混有异物或者其他感官性状异常，并可能对人体健康有害的物质。</w:t>
      </w:r>
    </w:p>
    <w:p w14:paraId="3FC2377C">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9）产品必须符合国家所制定的行业标准、证件齐全。严格执行“一批一检一报告”要求，并随货物向采购人提供相关检测报告。 </w:t>
      </w:r>
    </w:p>
    <w:p w14:paraId="1A96792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10）所有食材均须符合《中华人民共和国食品安全法》，须具备所配送产品的检测报告或食品检验合格证。注:如国家制定新的食品安全标准，即按新标准执行。 </w:t>
      </w:r>
    </w:p>
    <w:p w14:paraId="0630B71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11）产品包装必须适应货物特性和交通运输要求，以及国家有关标准或企业标准或合同要求。 </w:t>
      </w:r>
    </w:p>
    <w:p w14:paraId="45CCEFCE">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12）投标人应当保证所供产品的来源渠道正常，产品符合国家质量标准及相关规定，并在质保期内因产品质量问题发生的食物中毒等事故，由投标人承担经济赔偿责任以及其他法律责任， </w:t>
      </w:r>
    </w:p>
    <w:p w14:paraId="644D830B">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13）投标人应当明确售后服务内容，投标人必须按照使用单位人员通知的时间、数量、品种、品质要求准时送货，经验收合格后签字确认，不能以任何理由推托，一旦影响到学生的正常生活，投标人应承担相应的经济赔偿。 </w:t>
      </w:r>
    </w:p>
    <w:p w14:paraId="3191A940">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14）产品出现变质等质量问题，投标人应负责包退、包换，由投标人承担所发生的全部费用。 </w:t>
      </w:r>
    </w:p>
    <w:p w14:paraId="5C515CE4">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15）投标人应有符合卫生条件的储藏库房，使用车况良好、干净卫生的车辆配送，以保证食品安全运输到达采购人指定地点。 </w:t>
      </w:r>
    </w:p>
    <w:p w14:paraId="1215EBA4">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六、供应责任 </w:t>
      </w:r>
    </w:p>
    <w:p w14:paraId="482D7AF2">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1.供应商须保证所供原材料均为符合国家卫生、质量检验标准的正规产品，保证配送品种完全满足采购人要求。 </w:t>
      </w:r>
    </w:p>
    <w:p w14:paraId="2FA97C9D">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在供货期间，必须保障货源充足，不能断货。应按照采购人要求的时间、地点及质量，按时、按量地提供货品，凡属于质量问题必须包退包换，退补货品需在采购人规定时间内送达，不能影响正常开餐。如果未能及时补给，采购人则扣除供货商当日货款的 3%作为违约处罚。</w:t>
      </w:r>
    </w:p>
    <w:p w14:paraId="01EC4D96">
      <w:pPr>
        <w:keepNext w:val="0"/>
        <w:keepLines w:val="0"/>
        <w:pageBreakBefore w:val="0"/>
        <w:widowControl w:val="0"/>
        <w:kinsoku/>
        <w:wordWrap w:val="0"/>
        <w:overflowPunct/>
        <w:topLinePunct/>
        <w:autoSpaceDE/>
        <w:autoSpaceDN/>
        <w:bidi w:val="0"/>
        <w:adjustRightInd/>
        <w:snapToGrid/>
        <w:ind w:left="0" w:leftChars="0"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3.所送产品必须保证质量，如所送产品出现过期、变质、腐烂等严重情况，采购人则将扣罚供货商 1000 元作为违约处罚并解决因产品质量问题引起的任何纠纷，经更换后仍无法达到要求的，采购人有权单方解除本合同并要求投标人承担约定的违约责任（不可抗力因素除外）。 </w:t>
      </w:r>
    </w:p>
    <w:p w14:paraId="0BF4CF2E">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4.任何因原材料质量问题导致的食品安全或食物中毒责任，在确认导致问题的原材料品种后，由该供应商承担全部法律责任与经济损失，除对采购人进行赔付外，采购人有权单方终止合同。 </w:t>
      </w:r>
    </w:p>
    <w:p w14:paraId="5E8D4BEC">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七、考核标准及售后服务 </w:t>
      </w:r>
    </w:p>
    <w:p w14:paraId="1A0BE80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考核标准：供货商必须按照采购人要求时间每天 7:30 之前准时将所需食材送到采购人指定地点（特殊情况供货商需合理安排工作准点送达）并分类整理，完成配送服务且须保证产品质量。采购人如需临时加送食材（应提前2 小时通知供货商），供货商必须无条件送达。日常配送不得迟到，如遇特殊情况需提前告知。如因延迟送货而影响采购人正常开餐，以致耽误生产，采购人有权对供货商追究责任，由供货商赔偿相应所有经济损失，如出现三次延迟送货采购人将终止协议。 </w:t>
      </w:r>
    </w:p>
    <w:p w14:paraId="03BB1DF5">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售后服务：食材采购执行招标和投标文件要求，严格执行国家及行业标准。 对于不符合规格要求、以次充好、质量问题及价格虚高等现象，学校有权退货，企业必须无条件退换，且须在 2 小时内退换完成。</w:t>
      </w:r>
    </w:p>
    <w:p w14:paraId="0EA2BBF7">
      <w:pPr>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br w:type="page"/>
      </w:r>
    </w:p>
    <w:p w14:paraId="180FEE47">
      <w:pPr>
        <w:keepNext w:val="0"/>
        <w:keepLines w:val="0"/>
        <w:pageBreakBefore w:val="0"/>
        <w:widowControl w:val="0"/>
        <w:suppressLineNumbers w:val="0"/>
        <w:kinsoku/>
        <w:wordWrap w:val="0"/>
        <w:overflowPunct/>
        <w:topLinePunct/>
        <w:autoSpaceDE/>
        <w:autoSpaceDN/>
        <w:bidi w:val="0"/>
        <w:adjustRightInd/>
        <w:snapToGrid/>
        <w:ind w:left="0" w:leftChars="0" w:firstLine="0" w:firstLineChars="0"/>
        <w:jc w:val="left"/>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商务部分：</w:t>
      </w:r>
    </w:p>
    <w:p w14:paraId="0F12948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一、服务期限、服务地点及质量要求 </w:t>
      </w:r>
    </w:p>
    <w:p w14:paraId="05571AF0">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1、服务期限：2026年9月1日—2027年8月31日</w:t>
      </w:r>
    </w:p>
    <w:p w14:paraId="291D4AA5">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2、服务地点：采购方指定地点</w:t>
      </w:r>
    </w:p>
    <w:p w14:paraId="13C28DAE">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3、质量标准：合格 </w:t>
      </w:r>
    </w:p>
    <w:p w14:paraId="2F9D8850">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二、付款方式：具体以签订合同为准 </w:t>
      </w:r>
    </w:p>
    <w:p w14:paraId="514F1E2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三、质量保证 </w:t>
      </w:r>
    </w:p>
    <w:p w14:paraId="0EA5C241">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1、成交单位应保证所提供的产品必须是合格安全的产品，食材采购符合 《餐饮服务食品采购索证索票管理规定》，因产品质量问题发生的食物中毒等 事故，由成交单位承担经济赔偿责任及其他法律责任。 </w:t>
      </w:r>
    </w:p>
    <w:p w14:paraId="51C14D7B">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2、配送由成交单位按采购人需求分检、包装，按规定时间配送到采购人， 并搬运入库，摆放整齐。 </w:t>
      </w:r>
    </w:p>
    <w:p w14:paraId="190AC43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3、食材包装破损或质量有问题要求无条件更换。 </w:t>
      </w:r>
    </w:p>
    <w:p w14:paraId="478E4F3E">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4、所投食品质量必须符合国家有关规范和相关政策。质量优良、渠道正 当。 </w:t>
      </w:r>
    </w:p>
    <w:p w14:paraId="719D03DE">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5、保质期出现的质量问题由中标人负责解决并承担所有费用。 </w:t>
      </w:r>
    </w:p>
    <w:p w14:paraId="383F83B2">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四、合同实施 </w:t>
      </w:r>
    </w:p>
    <w:p w14:paraId="6173662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1.成交人应在合同签订后 5 个日历日内安排人员（项目组成人员简历表所列）与使用单位就项目实施等工作进行安排、部署。 </w:t>
      </w:r>
    </w:p>
    <w:p w14:paraId="145325C2">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2.若未能在项目完成期限内完成合同规定的义务，由此对采购人造成的延误和一切损失，由中标人承担和赔偿。</w:t>
      </w:r>
    </w:p>
    <w:p w14:paraId="71409EE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五、验收 </w:t>
      </w:r>
    </w:p>
    <w:p w14:paraId="7F46253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1、成交单位在货物送到指定地点后由采购单位进行验收，核对数量，检查外观和质量等，经验收无误后签字确认。 </w:t>
      </w:r>
    </w:p>
    <w:p w14:paraId="27665254">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2、验收不合格的，成交单位必须立即更换，确保货物通过验收。如更换后验收仍不合格，影响学生正常就餐，采购单位可提出索赔或取消其供货资格。 </w:t>
      </w:r>
    </w:p>
    <w:p w14:paraId="7745B278">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3、验收依据：根据成交供应商的承诺及行业标准、国家标准验收。（具体已签订合同为准） </w:t>
      </w:r>
    </w:p>
    <w:p w14:paraId="7DD184E4">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六、运输及方式 </w:t>
      </w:r>
    </w:p>
    <w:p w14:paraId="57833E73">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1、选择运输风险小、运费低、距离短的运输路线。 </w:t>
      </w:r>
    </w:p>
    <w:p w14:paraId="290E630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2、运输方式：公路或铁路</w:t>
      </w:r>
    </w:p>
    <w:p w14:paraId="05404B49">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3、运杂费一次包死在总价内，包括生产厂到施工现场所需的装卸、运输 （含保险费）、现场保管费、二次倒运费、吊装费等费用。 </w:t>
      </w:r>
    </w:p>
    <w:p w14:paraId="6EF1D65D">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 xml:space="preserve">七、违约责任 </w:t>
      </w:r>
    </w:p>
    <w:p w14:paraId="5B10A88F">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1.按《中华人民共和国民法典》中的相关条款执行。 </w:t>
      </w:r>
    </w:p>
    <w:p w14:paraId="4F5080B4">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2.未按合同要求工程质量不能满足技术要求，采购人有权终止合同，并对供方违约行为进行追究，同时按《政府采购法》的有关规定进行处罚。 </w:t>
      </w:r>
    </w:p>
    <w:p w14:paraId="0904299E">
      <w:pPr>
        <w:keepNext w:val="0"/>
        <w:keepLines w:val="0"/>
        <w:pageBreakBefore w:val="0"/>
        <w:widowControl w:val="0"/>
        <w:kinsoku/>
        <w:wordWrap w:val="0"/>
        <w:overflowPunct/>
        <w:topLinePunct/>
        <w:autoSpaceDE/>
        <w:autoSpaceDN/>
        <w:bidi w:val="0"/>
        <w:adjustRightInd/>
        <w:snapToGrid/>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注：商务要求为实质性要求，不得负偏离。</w:t>
      </w:r>
    </w:p>
    <w:p w14:paraId="323C14D7">
      <w:pPr>
        <w:keepNext w:val="0"/>
        <w:keepLines w:val="0"/>
        <w:pageBreakBefore w:val="0"/>
        <w:widowControl w:val="0"/>
        <w:suppressLineNumbers w:val="0"/>
        <w:kinsoku/>
        <w:wordWrap w:val="0"/>
        <w:overflowPunct/>
        <w:topLinePunct/>
        <w:autoSpaceDE/>
        <w:autoSpaceDN/>
        <w:bidi w:val="0"/>
        <w:adjustRightInd/>
        <w:snapToGrid/>
        <w:ind w:left="0" w:leftChars="0" w:firstLine="0" w:firstLineChars="0"/>
        <w:jc w:val="left"/>
        <w:textAlignment w:val="auto"/>
        <w:rPr>
          <w:rFonts w:hint="eastAsia" w:ascii="宋体" w:hAnsi="宋体" w:eastAsia="宋体" w:cs="宋体"/>
          <w:spacing w:val="0"/>
          <w:kern w:val="2"/>
          <w:lang w:val="en-US" w:eastAsia="zh-CN"/>
        </w:rPr>
      </w:pPr>
      <w:r>
        <w:rPr>
          <w:rFonts w:hint="eastAsia" w:ascii="宋体" w:hAnsi="宋体" w:eastAsia="宋体" w:cs="宋体"/>
          <w:spacing w:val="0"/>
          <w:kern w:val="2"/>
          <w:lang w:val="en-US" w:eastAsia="zh-CN"/>
        </w:rPr>
        <w:br w:type="page"/>
      </w:r>
    </w:p>
    <w:bookmarkEnd w:id="49"/>
    <w:p w14:paraId="0DDDB0B0">
      <w:pPr>
        <w:keepNext w:val="0"/>
        <w:keepLines w:val="0"/>
        <w:pageBreakBefore w:val="0"/>
        <w:widowControl w:val="0"/>
        <w:kinsoku/>
        <w:wordWrap w:val="0"/>
        <w:overflowPunct/>
        <w:topLinePunct/>
        <w:autoSpaceDE/>
        <w:autoSpaceDN/>
        <w:bidi w:val="0"/>
        <w:spacing w:line="400" w:lineRule="atLeast"/>
        <w:ind w:left="0" w:leftChars="0" w:firstLine="0" w:firstLineChars="0"/>
        <w:jc w:val="center"/>
        <w:outlineLvl w:val="0"/>
        <w:rPr>
          <w:rFonts w:hint="eastAsia" w:ascii="宋体" w:hAnsi="宋体" w:eastAsia="宋体" w:cs="宋体"/>
          <w:b/>
          <w:bCs/>
          <w:spacing w:val="0"/>
          <w:kern w:val="2"/>
          <w:sz w:val="28"/>
          <w:szCs w:val="28"/>
          <w:lang w:val="en-US" w:eastAsia="zh-CN" w:bidi="ar-SA"/>
        </w:rPr>
      </w:pPr>
      <w:bookmarkStart w:id="50" w:name="_Toc2170"/>
      <w:bookmarkStart w:id="51" w:name="_Toc30920"/>
      <w:bookmarkStart w:id="52" w:name="_Toc3124"/>
      <w:bookmarkStart w:id="53" w:name="_Toc28539"/>
      <w:bookmarkStart w:id="54" w:name="_Toc12836"/>
      <w:bookmarkStart w:id="55" w:name="_Toc26698"/>
      <w:bookmarkStart w:id="56" w:name="_Toc452708689"/>
      <w:r>
        <w:rPr>
          <w:rFonts w:hint="eastAsia" w:ascii="宋体" w:hAnsi="宋体" w:eastAsia="宋体" w:cs="宋体"/>
          <w:b/>
          <w:bCs/>
          <w:spacing w:val="0"/>
          <w:kern w:val="2"/>
          <w:sz w:val="28"/>
          <w:szCs w:val="28"/>
          <w:lang w:val="en-US" w:eastAsia="zh-CN" w:bidi="ar-SA"/>
        </w:rPr>
        <w:t>第六章  政府采购合同格式</w:t>
      </w:r>
      <w:bookmarkEnd w:id="50"/>
      <w:bookmarkEnd w:id="51"/>
      <w:r>
        <w:rPr>
          <w:rFonts w:hint="eastAsia" w:ascii="宋体" w:hAnsi="宋体" w:eastAsia="宋体" w:cs="宋体"/>
          <w:b/>
          <w:bCs/>
          <w:spacing w:val="0"/>
          <w:kern w:val="2"/>
          <w:sz w:val="28"/>
          <w:szCs w:val="28"/>
          <w:lang w:val="en-US" w:eastAsia="zh-CN" w:bidi="ar-SA"/>
        </w:rPr>
        <w:t>（参考）</w:t>
      </w:r>
    </w:p>
    <w:p w14:paraId="63ACFE9F">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bookmarkStart w:id="57" w:name="_Toc23806"/>
      <w:bookmarkStart w:id="58" w:name="_Toc3697"/>
      <w:r>
        <w:rPr>
          <w:rFonts w:hint="eastAsia" w:ascii="宋体" w:hAnsi="宋体" w:eastAsia="宋体" w:cs="宋体"/>
          <w:color w:val="auto"/>
          <w:spacing w:val="0"/>
          <w:kern w:val="2"/>
          <w:sz w:val="24"/>
          <w:szCs w:val="24"/>
          <w:highlight w:val="none"/>
        </w:rPr>
        <w:t xml:space="preserve">合同编号： </w:t>
      </w:r>
    </w:p>
    <w:p w14:paraId="59D5381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签订地点： </w:t>
      </w:r>
    </w:p>
    <w:p w14:paraId="1B890E9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签订时间：</w:t>
      </w:r>
    </w:p>
    <w:p w14:paraId="66E0AFF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采购人（甲方）：</w:t>
      </w:r>
    </w:p>
    <w:p w14:paraId="41E9F52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供应商（乙方）：</w:t>
      </w:r>
    </w:p>
    <w:p w14:paraId="1A506E8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根据《中华人民共和国政府采购法》及实施条例、《中华人民共和国民法典》和甲方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采购项目（采购项目编号）的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文件、响应文件等有关规定，为确保甲方采购项目的顺利实施，甲、乙双方在平等自愿原则下签订本合同，并共同遵守如下条款：</w:t>
      </w:r>
    </w:p>
    <w:p w14:paraId="5A8889A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第一条 合同标的及数量</w:t>
      </w:r>
    </w:p>
    <w:p w14:paraId="5E9C27A8">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乙方向甲方提供下列货物</w:t>
      </w:r>
      <w:r>
        <w:rPr>
          <w:rFonts w:hint="eastAsia" w:ascii="宋体" w:hAnsi="宋体" w:eastAsia="宋体" w:cs="宋体"/>
          <w:color w:val="auto"/>
          <w:spacing w:val="0"/>
          <w:kern w:val="2"/>
          <w:sz w:val="24"/>
          <w:szCs w:val="24"/>
          <w:highlight w:val="none"/>
          <w:lang w:val="en-US" w:eastAsia="zh-CN"/>
        </w:rPr>
        <w:t>或服务</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附中标清单及报价</w:t>
      </w:r>
    </w:p>
    <w:p w14:paraId="1A37B89B">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第二条 合同价款</w:t>
      </w:r>
    </w:p>
    <w:p w14:paraId="1F5E6DB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1.合同总价：人民币（大写）</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元，（￥</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eastAsia="zh-CN"/>
        </w:rPr>
        <w:t>（以最终中标金额为准）</w:t>
      </w:r>
    </w:p>
    <w:p w14:paraId="3564D28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2.本合同总价是合同总价包括：</w:t>
      </w:r>
      <w:r>
        <w:rPr>
          <w:rFonts w:hint="eastAsia" w:ascii="宋体" w:hAnsi="宋体" w:eastAsia="宋体" w:cs="宋体"/>
          <w:color w:val="auto"/>
          <w:spacing w:val="0"/>
          <w:kern w:val="2"/>
          <w:sz w:val="24"/>
          <w:szCs w:val="24"/>
          <w:highlight w:val="none"/>
          <w:lang w:val="en-US" w:eastAsia="zh-CN"/>
        </w:rPr>
        <w:t xml:space="preserve">生产成本、加工费用、包装费、运输费、上下车搬运费、税费、保险费等完成本项目所需的一切费用。如出现任何遗漏内容需产生额外费用，均由乙方自行承担，甲方将不再另支付任何费用。 </w:t>
      </w:r>
    </w:p>
    <w:p w14:paraId="3FDC816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4.本合同执行期间合同总价不变，甲方无须另向乙方支付本合同规定之外的其他任何费用。</w:t>
      </w:r>
    </w:p>
    <w:p w14:paraId="6660664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第三条 货款支付</w:t>
      </w:r>
    </w:p>
    <w:p w14:paraId="3AF8E89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）按下列比例支付价款：</w:t>
      </w:r>
    </w:p>
    <w:p w14:paraId="7BE2DC07">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（1）甲方在本合同签订生效后</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日内，支付合同总价</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%的价款；</w:t>
      </w:r>
    </w:p>
    <w:p w14:paraId="4EF2825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（2）</w:t>
      </w:r>
      <w:r>
        <w:rPr>
          <w:rFonts w:hint="eastAsia" w:ascii="宋体" w:hAnsi="宋体" w:eastAsia="宋体" w:cs="宋体"/>
          <w:spacing w:val="0"/>
          <w:kern w:val="2"/>
          <w:sz w:val="24"/>
          <w:szCs w:val="24"/>
          <w:highlight w:val="none"/>
          <w:lang w:val="en-US" w:eastAsia="zh-CN"/>
        </w:rPr>
        <w:t>按照学校实际发生数量，供应商与学校核对无误后，由学校每学期放假前结清所有账务</w:t>
      </w:r>
      <w:r>
        <w:rPr>
          <w:rFonts w:hint="eastAsia" w:ascii="宋体" w:hAnsi="宋体" w:eastAsia="宋体" w:cs="宋体"/>
          <w:color w:val="auto"/>
          <w:spacing w:val="0"/>
          <w:kern w:val="2"/>
          <w:sz w:val="24"/>
          <w:szCs w:val="24"/>
          <w:highlight w:val="none"/>
          <w:lang w:val="en-US" w:eastAsia="zh-CN"/>
        </w:rPr>
        <w:t>。</w:t>
      </w:r>
    </w:p>
    <w:p w14:paraId="081C265B">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2.乙方须向甲方出具合法有效的完税发票，甲方进行支付结算。</w:t>
      </w:r>
    </w:p>
    <w:p w14:paraId="2AB09BB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3.结算方式：银行转账。</w:t>
      </w:r>
    </w:p>
    <w:p w14:paraId="3CA36B2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第四条 交货时间与地点</w:t>
      </w:r>
    </w:p>
    <w:p w14:paraId="4413B65A">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乙方在合同签订生效之日起，按甲方指定时间、地点交货。</w:t>
      </w:r>
    </w:p>
    <w:p w14:paraId="7B2479B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1.交货时间（期限）：</w:t>
      </w:r>
      <w:r>
        <w:rPr>
          <w:rFonts w:hint="eastAsia" w:ascii="宋体" w:hAnsi="宋体" w:eastAsia="宋体" w:cs="宋体"/>
          <w:color w:val="auto"/>
          <w:spacing w:val="0"/>
          <w:kern w:val="2"/>
          <w:sz w:val="24"/>
          <w:szCs w:val="24"/>
          <w:highlight w:val="none"/>
          <w:lang w:val="en-US" w:eastAsia="zh-CN"/>
        </w:rPr>
        <w:t xml:space="preserve">       </w:t>
      </w:r>
      <w:r>
        <w:rPr>
          <w:rFonts w:hint="eastAsia" w:ascii="宋体" w:hAnsi="宋体" w:eastAsia="宋体" w:cs="宋体"/>
          <w:color w:val="auto"/>
          <w:spacing w:val="0"/>
          <w:kern w:val="2"/>
          <w:sz w:val="24"/>
          <w:szCs w:val="24"/>
          <w:highlight w:val="none"/>
        </w:rPr>
        <w:t>2.交货地点：</w:t>
      </w:r>
    </w:p>
    <w:p w14:paraId="1934D16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第五条 质量保证</w:t>
      </w:r>
    </w:p>
    <w:p w14:paraId="009E0B58">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第六条 权利保证</w:t>
      </w:r>
    </w:p>
    <w:p w14:paraId="49671E9F">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1.乙方保证对其出售的货物</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享有合法的权利。</w:t>
      </w:r>
    </w:p>
    <w:p w14:paraId="6409D2B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2.乙方保证对其出售的货物上不存在任何未曾向甲方透露的</w:t>
      </w:r>
      <w:r>
        <w:rPr>
          <w:rFonts w:hint="eastAsia" w:ascii="宋体" w:hAnsi="宋体" w:eastAsia="宋体" w:cs="宋体"/>
          <w:color w:val="auto"/>
          <w:spacing w:val="0"/>
          <w:kern w:val="2"/>
          <w:sz w:val="24"/>
          <w:szCs w:val="24"/>
          <w:highlight w:val="none"/>
          <w:lang w:val="en-US" w:eastAsia="zh-CN"/>
        </w:rPr>
        <w:t>侵权行为</w:t>
      </w:r>
      <w:r>
        <w:rPr>
          <w:rFonts w:hint="eastAsia" w:ascii="宋体" w:hAnsi="宋体" w:eastAsia="宋体" w:cs="宋体"/>
          <w:color w:val="auto"/>
          <w:spacing w:val="0"/>
          <w:kern w:val="2"/>
          <w:sz w:val="24"/>
          <w:szCs w:val="24"/>
          <w:highlight w:val="none"/>
        </w:rPr>
        <w:t>。</w:t>
      </w:r>
    </w:p>
    <w:p w14:paraId="13ABCCC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4.如甲方在使用该货物构成上述侵权的，则由乙方承担全部责任。</w:t>
      </w:r>
    </w:p>
    <w:p w14:paraId="3473CC5A">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第七条 包装要求与运输方式   </w:t>
      </w:r>
    </w:p>
    <w:p w14:paraId="0F8C78C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1.除合同另有规定外，乙方提供的全部货物均应按</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rPr>
        <w:t>标准保护措施进行包装，该包装应适应于远距离运输、防潮、防震、防锈和防野蛮装卸，以确保货物安全运抵指定地点。</w:t>
      </w:r>
    </w:p>
    <w:p w14:paraId="39B0495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en-US" w:eastAsia="zh-CN"/>
        </w:rPr>
        <w:t>2</w:t>
      </w:r>
      <w:r>
        <w:rPr>
          <w:rFonts w:hint="eastAsia" w:ascii="宋体" w:hAnsi="宋体" w:eastAsia="宋体" w:cs="宋体"/>
          <w:color w:val="auto"/>
          <w:spacing w:val="0"/>
          <w:kern w:val="2"/>
          <w:sz w:val="24"/>
          <w:szCs w:val="24"/>
          <w:highlight w:val="none"/>
        </w:rPr>
        <w:t>.货物（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 xml:space="preserve">）运输方式：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p w14:paraId="454E538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.乙方负责货物（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）运输，货物运输的合理损耗及计算方法。</w:t>
      </w:r>
    </w:p>
    <w:p w14:paraId="6BCF626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第八条 货物验收</w:t>
      </w:r>
    </w:p>
    <w:p w14:paraId="2E2612E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1.货物验收由甲方组织，乙方配合，并按下列程序进行：</w:t>
      </w:r>
    </w:p>
    <w:p w14:paraId="0491FD6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（1）交货验收时，乙方须提供质检部门</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抽样检查合格的检测报告（或生产厂家自检报告）及所提供货物（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）的合格证等资料交付给甲方；</w:t>
      </w:r>
    </w:p>
    <w:p w14:paraId="5B39A00B">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（2）到货验收 ：货物到达后，按合同第一条款的货物清单和装箱单经行逐一核对，同时检查货物外观，是否</w:t>
      </w:r>
      <w:r>
        <w:rPr>
          <w:rFonts w:hint="eastAsia" w:ascii="宋体" w:hAnsi="宋体" w:eastAsia="宋体" w:cs="宋体"/>
          <w:color w:val="auto"/>
          <w:spacing w:val="0"/>
          <w:kern w:val="2"/>
          <w:sz w:val="24"/>
          <w:szCs w:val="24"/>
          <w:highlight w:val="none"/>
          <w:lang w:val="en-US" w:eastAsia="zh-CN"/>
        </w:rPr>
        <w:t>新鲜、干净</w:t>
      </w:r>
      <w:r>
        <w:rPr>
          <w:rFonts w:hint="eastAsia" w:ascii="宋体" w:hAnsi="宋体" w:eastAsia="宋体" w:cs="宋体"/>
          <w:color w:val="auto"/>
          <w:spacing w:val="0"/>
          <w:kern w:val="2"/>
          <w:sz w:val="24"/>
          <w:szCs w:val="24"/>
          <w:highlight w:val="none"/>
        </w:rPr>
        <w:t>，并做好相应记录；</w:t>
      </w:r>
    </w:p>
    <w:p w14:paraId="4595A340">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2.货物验收依据：</w:t>
      </w:r>
    </w:p>
    <w:p w14:paraId="49C689C0">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（1）</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w:t>
      </w:r>
      <w:r>
        <w:rPr>
          <w:rFonts w:hint="eastAsia" w:ascii="宋体" w:hAnsi="宋体" w:eastAsia="宋体" w:cs="宋体"/>
          <w:color w:val="auto"/>
          <w:spacing w:val="0"/>
          <w:kern w:val="2"/>
          <w:sz w:val="24"/>
          <w:szCs w:val="24"/>
          <w:highlight w:val="none"/>
          <w:lang w:val="en-US" w:eastAsia="zh-CN"/>
        </w:rPr>
        <w:t xml:space="preserve">     </w:t>
      </w:r>
      <w:r>
        <w:rPr>
          <w:rFonts w:hint="eastAsia" w:ascii="宋体" w:hAnsi="宋体" w:eastAsia="宋体" w:cs="宋体"/>
          <w:color w:val="auto"/>
          <w:spacing w:val="0"/>
          <w:kern w:val="2"/>
          <w:sz w:val="24"/>
          <w:szCs w:val="24"/>
          <w:highlight w:val="none"/>
        </w:rPr>
        <w:t>（2）响应文件；</w:t>
      </w:r>
    </w:p>
    <w:p w14:paraId="7A1949F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（3）采购合同及补充协议；</w:t>
      </w:r>
    </w:p>
    <w:p w14:paraId="245F5F0B">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（4）质检部门抽样检查货物（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）合格的检测报告。</w:t>
      </w:r>
    </w:p>
    <w:p w14:paraId="16D278F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3.货物验收时发现问题的处理办法：</w:t>
      </w:r>
    </w:p>
    <w:p w14:paraId="681C278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（1）乙方提供不符合</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文件和本合同规定的货物（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），甲方有权拒绝接受；</w:t>
      </w:r>
    </w:p>
    <w:p w14:paraId="1DBE606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（2）如发现所交付的货物有短装、次品、损坏或其它不符合标准及本合同规定之情形者，甲方有权要求更换货物（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），同时做出详尽的现场记录，或由甲乙双方签署备忘录，此现场记录或备忘录可用作补充、缺失和更换损坏货物（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）有效证据，由此产生的时间延误与有关费用由乙方承担；</w:t>
      </w:r>
    </w:p>
    <w:p w14:paraId="3B175B8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）超出合理磅差的处理方法：</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p w14:paraId="33E6AE9A">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第九条 售后服务</w:t>
      </w:r>
    </w:p>
    <w:p w14:paraId="54CCCD1A">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乙方应按照国家有关法律法规和“</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安全</w:t>
      </w:r>
      <w:r>
        <w:rPr>
          <w:rFonts w:hint="eastAsia" w:ascii="宋体" w:hAnsi="宋体" w:eastAsia="宋体" w:cs="宋体"/>
          <w:color w:val="auto"/>
          <w:spacing w:val="0"/>
          <w:kern w:val="2"/>
          <w:sz w:val="24"/>
          <w:szCs w:val="24"/>
          <w:highlight w:val="none"/>
        </w:rPr>
        <w:t>规定以及</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文件要求和响应文件的“服务承诺”提供服务。</w:t>
      </w:r>
    </w:p>
    <w:p w14:paraId="3EB106CF">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第十条 履约保证金</w:t>
      </w:r>
    </w:p>
    <w:p w14:paraId="1B89AF8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1.乙方在签订本合同之前，向甲方提交履约保证金人民币（大写）</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w:t>
      </w:r>
      <w:r>
        <w:rPr>
          <w:rFonts w:hint="eastAsia" w:ascii="宋体" w:hAnsi="宋体" w:eastAsia="宋体" w:cs="宋体"/>
          <w:color w:val="auto"/>
          <w:spacing w:val="0"/>
          <w:kern w:val="2"/>
          <w:sz w:val="24"/>
          <w:szCs w:val="24"/>
          <w:highlight w:val="none"/>
        </w:rPr>
        <w:t xml:space="preserve">       元，￥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p w14:paraId="35A39A6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2.履约保证金的有效期为乙方承诺的货物（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）质保期。</w:t>
      </w:r>
    </w:p>
    <w:p w14:paraId="37E2AD8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3.如乙方未能履行合同规定的义务，甲方有权从履约保证金中取得补偿。</w:t>
      </w:r>
    </w:p>
    <w:p w14:paraId="600FDB4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4.货物（</w:t>
      </w:r>
      <w:r>
        <w:rPr>
          <w:rFonts w:hint="eastAsia" w:ascii="宋体" w:hAnsi="宋体" w:eastAsia="宋体" w:cs="宋体"/>
          <w:color w:val="auto"/>
          <w:spacing w:val="0"/>
          <w:kern w:val="2"/>
          <w:sz w:val="24"/>
          <w:szCs w:val="24"/>
          <w:highlight w:val="none"/>
          <w:lang w:eastAsia="zh-CN"/>
        </w:rPr>
        <w:t>食品</w:t>
      </w:r>
      <w:r>
        <w:rPr>
          <w:rFonts w:hint="eastAsia" w:ascii="宋体" w:hAnsi="宋体" w:eastAsia="宋体" w:cs="宋体"/>
          <w:color w:val="auto"/>
          <w:spacing w:val="0"/>
          <w:kern w:val="2"/>
          <w:sz w:val="24"/>
          <w:szCs w:val="24"/>
          <w:highlight w:val="none"/>
        </w:rPr>
        <w:t>）质保期结束后，甲方财务部门接到甲方确认本合同货物质量与服务等约定事项已经履行完毕的正式书面文件后的</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日内，向乙方退还履约保证金。</w:t>
      </w:r>
    </w:p>
    <w:p w14:paraId="0268308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第十一条 违约责任</w:t>
      </w:r>
    </w:p>
    <w:p w14:paraId="5B0E39F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1.甲方违约责任</w:t>
      </w:r>
    </w:p>
    <w:p w14:paraId="63CE3DA0">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（1）甲方无正当理由拒收货物</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的，甲方应偿付合同总价</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的违约金；</w:t>
      </w:r>
    </w:p>
    <w:p w14:paraId="6D3A10B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2.乙方违约责任</w:t>
      </w:r>
    </w:p>
    <w:p w14:paraId="782D5D0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（1）如乙方不能交付货物</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，甲方有权扣留全部履约保证金；同时乙方应向甲方支付合同总价</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％的违约金；</w:t>
      </w:r>
    </w:p>
    <w:p w14:paraId="73C5F11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（2）乙方逾期交付货物的，每逾期1天，乙方向甲方偿付逾期交货部分货款总额的</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‰的滞纳金。如乙方逾期交货达___天，甲方有权解除合同，解除合同的通知自到达乙方时生效；</w:t>
      </w:r>
    </w:p>
    <w:p w14:paraId="6FD8647F">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）乙方未按本合同的规定和“服务承诺”提供伴随服务/售后服务的，应按合同总价款的</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%向甲方承担违约责任；</w:t>
      </w:r>
    </w:p>
    <w:p w14:paraId="012EE98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4</w:t>
      </w:r>
      <w:r>
        <w:rPr>
          <w:rFonts w:hint="eastAsia" w:ascii="宋体" w:hAnsi="宋体" w:eastAsia="宋体" w:cs="宋体"/>
          <w:color w:val="auto"/>
          <w:spacing w:val="0"/>
          <w:kern w:val="2"/>
          <w:sz w:val="24"/>
          <w:szCs w:val="24"/>
          <w:highlight w:val="none"/>
        </w:rPr>
        <w:t>）乙方在承担上述1-</w:t>
      </w:r>
      <w:r>
        <w:rPr>
          <w:rFonts w:hint="eastAsia" w:ascii="宋体" w:hAnsi="宋体" w:eastAsia="宋体" w:cs="宋体"/>
          <w:color w:val="auto"/>
          <w:spacing w:val="0"/>
          <w:kern w:val="2"/>
          <w:sz w:val="24"/>
          <w:szCs w:val="24"/>
          <w:highlight w:val="none"/>
          <w:lang w:val="en-US" w:eastAsia="zh-CN"/>
        </w:rPr>
        <w:t>3</w:t>
      </w:r>
      <w:r>
        <w:rPr>
          <w:rFonts w:hint="eastAsia" w:ascii="宋体" w:hAnsi="宋体" w:eastAsia="宋体" w:cs="宋体"/>
          <w:color w:val="auto"/>
          <w:spacing w:val="0"/>
          <w:kern w:val="2"/>
          <w:sz w:val="24"/>
          <w:szCs w:val="24"/>
          <w:highlight w:val="none"/>
        </w:rPr>
        <w:t>款一项或多项违约责任后，仍应继续履行合同规定的义务（甲方解除合同的除外）。甲方未能及时追究乙方的任何一项违约责任并不表明甲方放弃追究乙方该项或其他违约责任；</w:t>
      </w:r>
    </w:p>
    <w:p w14:paraId="37ED59D0">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（9）乙方偿付的违约金不足以弥补甲方损失的，还应按甲方损失尚未弥补的部分，支付赔偿金给甲方。</w:t>
      </w:r>
    </w:p>
    <w:p w14:paraId="6A47A1B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第十二条 合同的变更和终止</w:t>
      </w:r>
    </w:p>
    <w:p w14:paraId="27BCDF9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除《中华人民共和国政府采购法》第49条、第50条第二款规定的情形外，本合同一经签订，甲乙双方不得擅自变更、中止或终止合同。</w:t>
      </w:r>
    </w:p>
    <w:p w14:paraId="14EC703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第十三条 争议的解决</w:t>
      </w:r>
    </w:p>
    <w:p w14:paraId="4B2D1D82">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1.因货物的质量</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问题发生争议，由质量技术监督部门或其指定的质量鉴定机构进行质量鉴定。货物</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食品</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符合标准的，鉴定费由甲方承担；货物不符合质量标准的，鉴定费由乙方承担。</w:t>
      </w:r>
    </w:p>
    <w:p w14:paraId="3AB30314">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2.因履行本合同引起的或与本合同有关的争议，甲、乙双方应首先通过友好协商解决，如果协商不成，则采取以下第__</w:t>
      </w:r>
      <w:r>
        <w:rPr>
          <w:rFonts w:hint="eastAsia" w:ascii="宋体" w:hAnsi="宋体" w:eastAsia="宋体" w:cs="宋体"/>
          <w:color w:val="auto"/>
          <w:spacing w:val="0"/>
          <w:kern w:val="2"/>
          <w:sz w:val="24"/>
          <w:szCs w:val="24"/>
          <w:highlight w:val="none"/>
          <w:lang w:val="en-US" w:eastAsia="zh-CN"/>
        </w:rPr>
        <w:t>2</w:t>
      </w:r>
      <w:r>
        <w:rPr>
          <w:rFonts w:hint="eastAsia" w:ascii="宋体" w:hAnsi="宋体" w:eastAsia="宋体" w:cs="宋体"/>
          <w:color w:val="auto"/>
          <w:spacing w:val="0"/>
          <w:kern w:val="2"/>
          <w:sz w:val="24"/>
          <w:szCs w:val="24"/>
          <w:highlight w:val="none"/>
        </w:rPr>
        <w:t>_种方式解决争议：</w:t>
      </w:r>
    </w:p>
    <w:p w14:paraId="38F292B4">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（1）向甲方所在地有管辖权的人民法院提起诉讼；</w:t>
      </w:r>
    </w:p>
    <w:p w14:paraId="13E5600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（2）向__</w:t>
      </w:r>
      <w:r>
        <w:rPr>
          <w:rFonts w:hint="eastAsia" w:ascii="宋体" w:hAnsi="宋体" w:eastAsia="宋体" w:cs="宋体"/>
          <w:color w:val="auto"/>
          <w:spacing w:val="0"/>
          <w:kern w:val="2"/>
          <w:sz w:val="24"/>
          <w:szCs w:val="24"/>
          <w:highlight w:val="none"/>
          <w:lang w:val="en-US" w:eastAsia="zh-CN"/>
        </w:rPr>
        <w:t>宝鸡</w:t>
      </w:r>
      <w:r>
        <w:rPr>
          <w:rFonts w:hint="eastAsia" w:ascii="宋体" w:hAnsi="宋体" w:eastAsia="宋体" w:cs="宋体"/>
          <w:color w:val="auto"/>
          <w:spacing w:val="0"/>
          <w:kern w:val="2"/>
          <w:sz w:val="24"/>
          <w:szCs w:val="24"/>
          <w:highlight w:val="none"/>
        </w:rPr>
        <w:t>___仲裁委员会按其仲裁规则申请仲裁。</w:t>
      </w:r>
    </w:p>
    <w:p w14:paraId="4727FAA2">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3.在仲裁期间，本合同应继续履行。</w:t>
      </w:r>
    </w:p>
    <w:p w14:paraId="51BA063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第十四条 合同文件</w:t>
      </w:r>
    </w:p>
    <w:p w14:paraId="1842702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详细技术说明及其他有关合同项目的特定信息由合同附件予以说明，下列文件构成本合同的组成部分，应该认为是一个整体，彼此相互解释，相互补充。组成合同的多个文件的优先支配地位的次序如下：</w:t>
      </w:r>
    </w:p>
    <w:p w14:paraId="170A979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1.本合同书</w:t>
      </w:r>
    </w:p>
    <w:p w14:paraId="43DAB96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2.成交通知书</w:t>
      </w:r>
      <w:r>
        <w:rPr>
          <w:rFonts w:hint="eastAsia" w:ascii="宋体" w:hAnsi="宋体" w:eastAsia="宋体" w:cs="宋体"/>
          <w:color w:val="auto"/>
          <w:spacing w:val="0"/>
          <w:kern w:val="2"/>
          <w:sz w:val="24"/>
          <w:szCs w:val="24"/>
          <w:highlight w:val="none"/>
        </w:rPr>
        <w:tab/>
      </w:r>
    </w:p>
    <w:p w14:paraId="06C7132A">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3.协议</w:t>
      </w:r>
    </w:p>
    <w:p w14:paraId="38E05F80">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文件(含澄清或者修改文件)</w:t>
      </w:r>
    </w:p>
    <w:p w14:paraId="5DAC5A0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5.响应文件</w:t>
      </w:r>
    </w:p>
    <w:p w14:paraId="06C6695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第十五条 合同生效及其他</w:t>
      </w:r>
    </w:p>
    <w:p w14:paraId="50B5250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1.如有未尽事宜，由双方依法订立补充合同。</w:t>
      </w:r>
    </w:p>
    <w:p w14:paraId="4E9B7738">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2.本合同自签订之日起生效。</w:t>
      </w:r>
    </w:p>
    <w:p w14:paraId="5896412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3.本合同一式___份，具有同等法律效力，甲乙双方各执____份，___份报送政府采购监督管理部门备案，一份采购代理机构存档。</w:t>
      </w:r>
    </w:p>
    <w:p w14:paraId="00ED8062">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5C258894">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甲方：   （盖章）   </w:t>
      </w:r>
      <w:r>
        <w:rPr>
          <w:rFonts w:hint="eastAsia" w:ascii="宋体" w:hAnsi="宋体" w:eastAsia="宋体" w:cs="宋体"/>
          <w:color w:val="auto"/>
          <w:spacing w:val="0"/>
          <w:kern w:val="2"/>
          <w:sz w:val="24"/>
          <w:szCs w:val="24"/>
          <w:highlight w:val="none"/>
        </w:rPr>
        <w:tab/>
      </w:r>
      <w:r>
        <w:rPr>
          <w:rFonts w:hint="eastAsia" w:ascii="宋体" w:hAnsi="宋体" w:eastAsia="宋体" w:cs="宋体"/>
          <w:color w:val="auto"/>
          <w:spacing w:val="0"/>
          <w:kern w:val="2"/>
          <w:sz w:val="24"/>
          <w:szCs w:val="24"/>
          <w:highlight w:val="none"/>
        </w:rPr>
        <w:tab/>
      </w:r>
      <w:r>
        <w:rPr>
          <w:rFonts w:hint="eastAsia" w:ascii="宋体" w:hAnsi="宋体" w:eastAsia="宋体" w:cs="宋体"/>
          <w:color w:val="auto"/>
          <w:spacing w:val="0"/>
          <w:kern w:val="2"/>
          <w:sz w:val="24"/>
          <w:szCs w:val="24"/>
          <w:highlight w:val="none"/>
        </w:rPr>
        <w:tab/>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color w:val="auto"/>
          <w:spacing w:val="0"/>
          <w:kern w:val="2"/>
          <w:sz w:val="24"/>
          <w:szCs w:val="24"/>
          <w:highlight w:val="none"/>
          <w:lang w:val="en-US" w:eastAsia="zh-CN"/>
        </w:rPr>
        <w:t xml:space="preserve">    </w:t>
      </w:r>
      <w:r>
        <w:rPr>
          <w:rFonts w:hint="eastAsia" w:ascii="宋体" w:hAnsi="宋体" w:eastAsia="宋体" w:cs="宋体"/>
          <w:color w:val="auto"/>
          <w:spacing w:val="0"/>
          <w:kern w:val="2"/>
          <w:sz w:val="24"/>
          <w:szCs w:val="24"/>
          <w:highlight w:val="none"/>
        </w:rPr>
        <w:t>乙方：   （盖章）</w:t>
      </w:r>
    </w:p>
    <w:p w14:paraId="66E26BC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法定代表人/委托代理人：            法定代表人/委托代理人：</w:t>
      </w:r>
    </w:p>
    <w:p w14:paraId="12A8625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地    址：                         地    址：</w:t>
      </w:r>
    </w:p>
    <w:p w14:paraId="3779D07F">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开户银行：                         开户银行：</w:t>
      </w:r>
    </w:p>
    <w:p w14:paraId="578A99D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账    号：                         账    号：</w:t>
      </w:r>
    </w:p>
    <w:p w14:paraId="544ACE4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电    话：                         电    话：</w:t>
      </w:r>
    </w:p>
    <w:p w14:paraId="373E697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传    真：                         传    真：</w:t>
      </w:r>
    </w:p>
    <w:p w14:paraId="72B90BD4">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签约日期：    年  月  日           签约日期：    年  月  日</w:t>
      </w:r>
    </w:p>
    <w:p w14:paraId="0A5AD23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041451E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6815B13B">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br w:type="page"/>
      </w:r>
    </w:p>
    <w:p w14:paraId="21486BE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附件1：</w:t>
      </w:r>
    </w:p>
    <w:p w14:paraId="1111A1EF">
      <w:pPr>
        <w:keepNext w:val="0"/>
        <w:keepLines w:val="0"/>
        <w:pageBreakBefore w:val="0"/>
        <w:widowControl w:val="0"/>
        <w:kinsoku/>
        <w:overflowPunct/>
        <w:autoSpaceDE/>
        <w:autoSpaceDN/>
        <w:bidi w:val="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政府采购履约担保函</w:t>
      </w:r>
    </w:p>
    <w:p w14:paraId="2DFED5F1">
      <w:pPr>
        <w:keepNext w:val="0"/>
        <w:keepLines w:val="0"/>
        <w:pageBreakBefore w:val="0"/>
        <w:widowControl w:val="0"/>
        <w:kinsoku/>
        <w:overflow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                                                            </w:t>
      </w:r>
    </w:p>
    <w:p w14:paraId="4C0C8CB8">
      <w:pPr>
        <w:keepNext w:val="0"/>
        <w:keepLines w:val="0"/>
        <w:pageBreakBefore w:val="0"/>
        <w:widowControl w:val="0"/>
        <w:kinsoku/>
        <w:overflowPunct/>
        <w:autoSpaceDE/>
        <w:autoSpaceDN/>
        <w:bidi w:val="0"/>
        <w:spacing w:line="24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 编号：</w:t>
      </w:r>
    </w:p>
    <w:p w14:paraId="7211E983">
      <w:pPr>
        <w:keepNext w:val="0"/>
        <w:keepLines w:val="0"/>
        <w:pageBreakBefore w:val="0"/>
        <w:widowControl w:val="0"/>
        <w:kinsoku/>
        <w:overflowPunct/>
        <w:autoSpaceDE/>
        <w:autoSpaceDN/>
        <w:bidi w:val="0"/>
        <w:spacing w:line="240" w:lineRule="auto"/>
        <w:rPr>
          <w:rFonts w:hint="eastAsia" w:ascii="宋体" w:hAnsi="宋体" w:eastAsia="宋体" w:cs="宋体"/>
          <w:color w:val="auto"/>
          <w:spacing w:val="0"/>
          <w:kern w:val="2"/>
          <w:sz w:val="24"/>
          <w:szCs w:val="24"/>
          <w:highlight w:val="none"/>
        </w:rPr>
      </w:pPr>
    </w:p>
    <w:p w14:paraId="04D3EF32">
      <w:pPr>
        <w:keepNext w:val="0"/>
        <w:keepLines w:val="0"/>
        <w:pageBreakBefore w:val="0"/>
        <w:widowControl w:val="0"/>
        <w:kinsoku/>
        <w:overflowPunct/>
        <w:autoSpaceDE/>
        <w:autoSpaceDN/>
        <w:bidi w:val="0"/>
        <w:spacing w:line="240" w:lineRule="auto"/>
        <w:ind w:left="0" w:leftChars="0" w:firstLine="0" w:firstLineChars="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（采购人）：</w:t>
      </w:r>
    </w:p>
    <w:p w14:paraId="25127F78">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0CA9645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鉴于你方与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（以下简称中标人）于</w:t>
      </w:r>
      <w:r>
        <w:rPr>
          <w:rFonts w:hint="eastAsia" w:ascii="宋体" w:hAnsi="宋体" w:eastAsia="宋体" w:cs="宋体"/>
          <w:color w:val="auto"/>
          <w:spacing w:val="0"/>
          <w:kern w:val="2"/>
          <w:sz w:val="24"/>
          <w:szCs w:val="24"/>
          <w:highlight w:val="none"/>
          <w:u w:val="single"/>
        </w:rPr>
        <w:t xml:space="preserve">   年  月  日</w:t>
      </w:r>
      <w:r>
        <w:rPr>
          <w:rFonts w:hint="eastAsia" w:ascii="宋体" w:hAnsi="宋体" w:eastAsia="宋体" w:cs="宋体"/>
          <w:color w:val="auto"/>
          <w:spacing w:val="0"/>
          <w:kern w:val="2"/>
          <w:sz w:val="24"/>
          <w:szCs w:val="24"/>
          <w:highlight w:val="none"/>
        </w:rPr>
        <w:t>签订编号为</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的《  政府采购合同》（以下简称主合同），且依据该合同的约定，成交供应商应在</w:t>
      </w:r>
      <w:r>
        <w:rPr>
          <w:rFonts w:hint="eastAsia" w:ascii="宋体" w:hAnsi="宋体" w:eastAsia="宋体" w:cs="宋体"/>
          <w:color w:val="auto"/>
          <w:spacing w:val="0"/>
          <w:kern w:val="2"/>
          <w:sz w:val="24"/>
          <w:szCs w:val="24"/>
          <w:highlight w:val="none"/>
          <w:u w:val="single"/>
        </w:rPr>
        <w:t xml:space="preserve">    年    月   日</w:t>
      </w:r>
      <w:r>
        <w:rPr>
          <w:rFonts w:hint="eastAsia" w:ascii="宋体" w:hAnsi="宋体" w:eastAsia="宋体" w:cs="宋体"/>
          <w:color w:val="auto"/>
          <w:spacing w:val="0"/>
          <w:kern w:val="2"/>
          <w:sz w:val="24"/>
          <w:szCs w:val="24"/>
          <w:highlight w:val="none"/>
        </w:rPr>
        <w:t>前向你方交纳履约保证金，且可以履约担保函的形式交纳履约保证金。应成交供应商的申请，我方以保证的方式向你方提供如下履约保证金担保：</w:t>
      </w:r>
    </w:p>
    <w:p w14:paraId="430A129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一、保证责任的情形及保证金额</w:t>
      </w:r>
    </w:p>
    <w:p w14:paraId="72CBBA9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（一）在成交供应商出现下列情形之一时，我方承担保证责任：</w:t>
      </w:r>
    </w:p>
    <w:p w14:paraId="7EF33C4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1.将成交项目转让给他人，或者在响应文件中未说明，且未经你方同意，将成交项目分包给他人的；</w:t>
      </w:r>
    </w:p>
    <w:p w14:paraId="61948C37">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2.主合同约定的应当缴纳履约保证金的情形: </w:t>
      </w:r>
    </w:p>
    <w:p w14:paraId="437B62A4">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（1）未按主合同约定的质量、数量和期限供应货物的；</w:t>
      </w:r>
    </w:p>
    <w:p w14:paraId="7B61369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w:t>
      </w:r>
    </w:p>
    <w:p w14:paraId="78FD9716">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（二）我方的保证范围是主合同约定的合同价款总额的</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%数额为         元</w:t>
      </w:r>
      <w:r>
        <w:rPr>
          <w:rFonts w:hint="eastAsia" w:ascii="宋体" w:hAnsi="宋体" w:eastAsia="宋体" w:cs="宋体"/>
          <w:color w:val="auto"/>
          <w:spacing w:val="0"/>
          <w:kern w:val="2"/>
          <w:sz w:val="24"/>
          <w:szCs w:val="24"/>
          <w:highlight w:val="none"/>
          <w:u w:val="single"/>
        </w:rPr>
        <w:t xml:space="preserve">（大写           ），币种为        </w:t>
      </w:r>
      <w:r>
        <w:rPr>
          <w:rFonts w:hint="eastAsia" w:ascii="宋体" w:hAnsi="宋体" w:eastAsia="宋体" w:cs="宋体"/>
          <w:color w:val="auto"/>
          <w:spacing w:val="0"/>
          <w:kern w:val="2"/>
          <w:sz w:val="24"/>
          <w:szCs w:val="24"/>
          <w:highlight w:val="none"/>
        </w:rPr>
        <w:t>。（即主合同履约保证金金额）</w:t>
      </w:r>
    </w:p>
    <w:p w14:paraId="5755B73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二、保证的方式及保证期间</w:t>
      </w:r>
    </w:p>
    <w:p w14:paraId="31249CF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我方保证的方式为：连带责任保证。</w:t>
      </w:r>
    </w:p>
    <w:p w14:paraId="0C86BEF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我方保证的期间为：自本合同生效之日起至成交供应商按照主合同约定的供货期限届满后</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日内。</w:t>
      </w:r>
    </w:p>
    <w:p w14:paraId="54B2A26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如果成交供应商未按主合同约定向贵方供应货物的，由我方在保证金额内向你方支付上述款项。</w:t>
      </w:r>
    </w:p>
    <w:p w14:paraId="3D3CC72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三、承担保证责任的程序</w:t>
      </w:r>
    </w:p>
    <w:p w14:paraId="11086913">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1.你方要求我方承担保证责任的，应在本保函保证期间内向我方发出书面索赔通知。索赔通知应写明要求索赔的金额，支付款项应到达的帐号。并附有证明成交供应商违约事实的证明材料。</w:t>
      </w:r>
    </w:p>
    <w:p w14:paraId="5ADDD0AA">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如果你方与成交供应商因货物质量问题产生争议，你方还需同时提供        部门出具的质量检测报告，或经诉讼（仲裁）程序裁决后的裁决书、调解书，本保证人即按照检测结果或裁决书、调解书决定是否承担保证责任。</w:t>
      </w:r>
    </w:p>
    <w:p w14:paraId="3AE257F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2.我方收到你方的书面索赔通知及相应证明材料，在</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工作日内进行核定后按照本保函的承诺承担保证责任。</w:t>
      </w:r>
    </w:p>
    <w:p w14:paraId="5E7339D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四、保证责任的终止</w:t>
      </w:r>
    </w:p>
    <w:p w14:paraId="2D1AF59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1.保证期间届满你方未向我方书面主张保证责任的，自保证期间届满次日起，我方保证责任自动终止。保证期间届满前，主合同约定的货物全部验收合格的，自验收合格日起，我方保证责任自动终止。</w:t>
      </w:r>
    </w:p>
    <w:p w14:paraId="334D7FC4">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2.我方按照本保函向你方履行了保证责任后，自我方向你方支付款项（支付款项从我方账户划出）之日起，保证责任即终止。</w:t>
      </w:r>
    </w:p>
    <w:p w14:paraId="47B7CCB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3.按照法律法规的规定或出现应终止我方保证责任的其它情形的，我方在本保函项下的保证责任亦终止。</w:t>
      </w:r>
    </w:p>
    <w:p w14:paraId="2B1D0E7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你方与成交供应商修改主合同，加重我方保证责任的，我方对加重部分不承担保证责任，但该等修改事先经我方书面同意的除外；你方与成交供应商修改主合同履行期限，我方保证期间仍依修改前的履行期限计算，但该等修改事先经我方书面同意的除外。</w:t>
      </w:r>
    </w:p>
    <w:p w14:paraId="79A70708">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五、免责条款</w:t>
      </w:r>
    </w:p>
    <w:p w14:paraId="2BF5945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1.因你方违反主合同约定致使成交供应商不能履行义务的，我方不承担保证责任。</w:t>
      </w:r>
    </w:p>
    <w:p w14:paraId="5D75B990">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2.依照法律法规的规定或你方与成交供应商的另行约定，全部或者部分免除成交供应商应缴纳的保证金义务的，我方亦免除相应的保证责任。</w:t>
      </w:r>
    </w:p>
    <w:p w14:paraId="6E28A1B9">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3.因不可抗力造成成交供应商不能履行供货义务的，我方不承担保证责任。</w:t>
      </w:r>
    </w:p>
    <w:p w14:paraId="352A066C">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六、争议的解决</w:t>
      </w:r>
    </w:p>
    <w:p w14:paraId="17300457">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因本保函发生的纠纷，由你我双方协商解决，协商不成的，通过诉讼程序解决，诉讼管辖地法院为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法院。</w:t>
      </w:r>
    </w:p>
    <w:p w14:paraId="11E4C2F2">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七、保函的生效</w:t>
      </w:r>
    </w:p>
    <w:p w14:paraId="6DC20588">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本保函自我方加盖公章之日起生效。                                 </w:t>
      </w:r>
    </w:p>
    <w:p w14:paraId="3328C47B">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18AB717D">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22BF4D31">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p>
    <w:p w14:paraId="37D52D9E">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保证人：（盖单位章）</w:t>
      </w:r>
    </w:p>
    <w:p w14:paraId="67D7C9F6">
      <w:pPr>
        <w:keepNext w:val="0"/>
        <w:keepLines w:val="0"/>
        <w:pageBreakBefore w:val="0"/>
        <w:widowControl w:val="0"/>
        <w:kinsoku/>
        <w:overflowPunct/>
        <w:autoSpaceDE/>
        <w:autoSpaceDN/>
        <w:bidi w:val="0"/>
        <w:jc w:val="righ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                                  年  月  日</w:t>
      </w:r>
    </w:p>
    <w:p w14:paraId="0F6A6235">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br w:type="page"/>
      </w:r>
    </w:p>
    <w:p w14:paraId="7E1EB278">
      <w:pPr>
        <w:pStyle w:val="4"/>
        <w:keepNext w:val="0"/>
        <w:keepLines w:val="0"/>
        <w:pageBreakBefore w:val="0"/>
        <w:widowControl w:val="0"/>
        <w:kinsoku/>
        <w:wordWrap w:val="0"/>
        <w:overflowPunct/>
        <w:topLinePunct/>
        <w:autoSpaceDE/>
        <w:autoSpaceDN/>
        <w:bidi w:val="0"/>
        <w:snapToGrid/>
        <w:spacing w:line="360" w:lineRule="auto"/>
        <w:ind w:left="0" w:leftChars="0" w:firstLine="0" w:firstLineChars="0"/>
        <w:jc w:val="center"/>
        <w:outlineLvl w:val="0"/>
        <w:rPr>
          <w:rFonts w:hint="eastAsia" w:ascii="宋体" w:hAnsi="宋体" w:eastAsia="宋体" w:cs="宋体"/>
          <w:color w:val="auto"/>
          <w:spacing w:val="0"/>
          <w:kern w:val="2"/>
          <w:sz w:val="32"/>
          <w:szCs w:val="32"/>
          <w:highlight w:val="none"/>
        </w:rPr>
      </w:pPr>
      <w:bookmarkStart w:id="59" w:name="_Toc32563"/>
      <w:r>
        <w:rPr>
          <w:rFonts w:hint="eastAsia" w:ascii="宋体" w:hAnsi="宋体" w:eastAsia="宋体" w:cs="宋体"/>
          <w:b/>
          <w:bCs/>
          <w:spacing w:val="0"/>
          <w:kern w:val="2"/>
          <w:sz w:val="28"/>
          <w:szCs w:val="28"/>
          <w:lang w:val="en-US" w:eastAsia="zh-CN" w:bidi="ar-SA"/>
        </w:rPr>
        <w:t>第七章  竞争性谈判响应文件格式</w:t>
      </w:r>
      <w:bookmarkEnd w:id="57"/>
      <w:bookmarkEnd w:id="58"/>
      <w:bookmarkEnd w:id="59"/>
    </w:p>
    <w:p w14:paraId="383692FA">
      <w:pPr>
        <w:keepNext w:val="0"/>
        <w:keepLines w:val="0"/>
        <w:pageBreakBefore w:val="0"/>
        <w:widowControl w:val="0"/>
        <w:kinsoku/>
        <w:wordWrap w:val="0"/>
        <w:overflowPunct/>
        <w:topLinePunct/>
        <w:autoSpaceDE/>
        <w:autoSpaceDN/>
        <w:bidi w:val="0"/>
        <w:snapToGrid/>
        <w:spacing w:line="360" w:lineRule="auto"/>
        <w:ind w:left="0" w:leftChars="0" w:firstLine="0" w:firstLineChars="0"/>
        <w:jc w:val="center"/>
        <w:rPr>
          <w:rFonts w:hint="eastAsia" w:ascii="宋体" w:hAnsi="宋体" w:eastAsia="宋体" w:cs="宋体"/>
          <w:color w:val="auto"/>
          <w:spacing w:val="0"/>
          <w:kern w:val="2"/>
          <w:highlight w:val="none"/>
        </w:rPr>
      </w:pPr>
      <w:r>
        <w:rPr>
          <w:rFonts w:hint="eastAsia" w:ascii="宋体" w:hAnsi="宋体" w:eastAsia="宋体" w:cs="宋体"/>
          <w:b/>
          <w:bCs/>
          <w:color w:val="auto"/>
          <w:spacing w:val="0"/>
          <w:kern w:val="2"/>
          <w:sz w:val="30"/>
          <w:szCs w:val="30"/>
          <w:highlight w:val="none"/>
        </w:rPr>
        <w:t>竞争性谈判响应文件编制说明</w:t>
      </w:r>
    </w:p>
    <w:p w14:paraId="124450D4">
      <w:pPr>
        <w:keepNext w:val="0"/>
        <w:keepLines w:val="0"/>
        <w:pageBreakBefore w:val="0"/>
        <w:widowControl w:val="0"/>
        <w:kinsoku/>
        <w:wordWrap w:val="0"/>
        <w:overflowPunct/>
        <w:topLinePunct/>
        <w:autoSpaceDE/>
        <w:autoSpaceDN/>
        <w:bidi w:val="0"/>
        <w:snapToGrid/>
        <w:spacing w:line="360" w:lineRule="auto"/>
        <w:ind w:firstLine="560"/>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8"/>
          <w:szCs w:val="28"/>
          <w:highlight w:val="none"/>
        </w:rPr>
        <w:t>1、</w:t>
      </w:r>
      <w:r>
        <w:rPr>
          <w:rFonts w:hint="eastAsia" w:ascii="宋体" w:hAnsi="宋体" w:eastAsia="宋体" w:cs="宋体"/>
          <w:color w:val="auto"/>
          <w:spacing w:val="0"/>
          <w:kern w:val="2"/>
          <w:sz w:val="24"/>
          <w:szCs w:val="24"/>
          <w:highlight w:val="none"/>
        </w:rPr>
        <w:t>竞争性谈判响应文件应当使用竞争性谈判文件规定的全部格式（表格可以按同样格式扩展）编写，除明确允许供应商可以自行编写的外，供应商不得以“竞争性谈判响应文件格式”规定之外的方式填写相关内容。</w:t>
      </w:r>
    </w:p>
    <w:p w14:paraId="558F2023">
      <w:pPr>
        <w:keepNext w:val="0"/>
        <w:keepLines w:val="0"/>
        <w:pageBreakBefore w:val="0"/>
        <w:widowControl w:val="0"/>
        <w:kinsoku/>
        <w:wordWrap w:val="0"/>
        <w:overflowPunct/>
        <w:topLinePunct/>
        <w:autoSpaceDE/>
        <w:autoSpaceDN/>
        <w:bidi w:val="0"/>
        <w:snapToGrid/>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2、竞争性谈判响应文件的编制应按照样本格式提供的内容，做出逐一明确的答复；供应商认为有必要，还可以做其它补充说明。</w:t>
      </w:r>
      <w:r>
        <w:rPr>
          <w:rFonts w:hint="eastAsia" w:ascii="宋体" w:hAnsi="宋体" w:eastAsia="宋体" w:cs="宋体"/>
          <w:color w:val="auto"/>
          <w:spacing w:val="0"/>
          <w:kern w:val="2"/>
          <w:sz w:val="24"/>
          <w:szCs w:val="24"/>
          <w:highlight w:val="none"/>
        </w:rPr>
        <w:cr/>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color w:val="auto"/>
          <w:spacing w:val="0"/>
          <w:kern w:val="2"/>
          <w:sz w:val="24"/>
          <w:szCs w:val="24"/>
          <w:highlight w:val="none"/>
          <w:lang w:val="en-US" w:eastAsia="zh-CN"/>
        </w:rPr>
        <w:t xml:space="preserve"> </w:t>
      </w:r>
      <w:r>
        <w:rPr>
          <w:rFonts w:hint="eastAsia" w:ascii="宋体" w:hAnsi="宋体" w:eastAsia="宋体" w:cs="宋体"/>
          <w:color w:val="auto"/>
          <w:spacing w:val="0"/>
          <w:kern w:val="2"/>
          <w:sz w:val="24"/>
          <w:szCs w:val="24"/>
          <w:highlight w:val="none"/>
        </w:rPr>
        <w:t>3、</w:t>
      </w:r>
      <w:r>
        <w:rPr>
          <w:rFonts w:hint="eastAsia" w:ascii="宋体" w:hAnsi="宋体" w:eastAsia="宋体" w:cs="宋体"/>
          <w:color w:val="auto"/>
          <w:spacing w:val="0"/>
          <w:kern w:val="2"/>
          <w:sz w:val="24"/>
          <w:szCs w:val="24"/>
          <w:highlight w:val="none"/>
          <w:lang w:eastAsia="zh-CN"/>
        </w:rPr>
        <w:t>供应商</w:t>
      </w:r>
      <w:r>
        <w:rPr>
          <w:rFonts w:hint="eastAsia" w:ascii="宋体" w:hAnsi="宋体" w:eastAsia="宋体" w:cs="宋体"/>
          <w:color w:val="auto"/>
          <w:spacing w:val="0"/>
          <w:kern w:val="2"/>
          <w:sz w:val="24"/>
          <w:szCs w:val="24"/>
          <w:highlight w:val="none"/>
        </w:rPr>
        <w:t>必须按照竞争性</w:t>
      </w:r>
      <w:r>
        <w:rPr>
          <w:rFonts w:hint="eastAsia" w:ascii="宋体" w:hAnsi="宋体" w:eastAsia="宋体" w:cs="宋体"/>
          <w:color w:val="auto"/>
          <w:spacing w:val="0"/>
          <w:kern w:val="2"/>
          <w:sz w:val="24"/>
          <w:szCs w:val="24"/>
          <w:highlight w:val="none"/>
          <w:lang w:eastAsia="zh-CN"/>
        </w:rPr>
        <w:t>谈判文件</w:t>
      </w:r>
      <w:r>
        <w:rPr>
          <w:rFonts w:hint="eastAsia" w:ascii="宋体" w:hAnsi="宋体" w:eastAsia="宋体" w:cs="宋体"/>
          <w:color w:val="auto"/>
          <w:spacing w:val="0"/>
          <w:kern w:val="2"/>
          <w:sz w:val="24"/>
          <w:szCs w:val="24"/>
          <w:highlight w:val="none"/>
        </w:rPr>
        <w:t>的规定和要求由法定代表人或被授权人签字（或盖章）。</w:t>
      </w:r>
    </w:p>
    <w:p w14:paraId="1DBAD06E">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25644442">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74DD729B">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006BDA1B">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689C2018">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49A69E1A">
      <w:pPr>
        <w:pStyle w:val="14"/>
        <w:keepNext w:val="0"/>
        <w:keepLines w:val="0"/>
        <w:pageBreakBefore w:val="0"/>
        <w:widowControl w:val="0"/>
        <w:kinsoku/>
        <w:wordWrap w:val="0"/>
        <w:overflowPunct/>
        <w:topLinePunct/>
        <w:autoSpaceDE/>
        <w:autoSpaceDN/>
        <w:bidi w:val="0"/>
        <w:spacing w:after="0"/>
        <w:rPr>
          <w:rFonts w:hint="eastAsia" w:ascii="宋体" w:hAnsi="宋体" w:eastAsia="宋体" w:cs="宋体"/>
          <w:color w:val="auto"/>
          <w:spacing w:val="0"/>
          <w:kern w:val="2"/>
          <w:sz w:val="28"/>
          <w:szCs w:val="28"/>
          <w:highlight w:val="none"/>
        </w:rPr>
      </w:pPr>
    </w:p>
    <w:p w14:paraId="7A978833">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highlight w:val="none"/>
        </w:rPr>
      </w:pPr>
    </w:p>
    <w:p w14:paraId="40C129EA">
      <w:pPr>
        <w:pStyle w:val="46"/>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highlight w:val="none"/>
        </w:rPr>
      </w:pPr>
    </w:p>
    <w:p w14:paraId="087B1BFD">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3C2A6139">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48374D25">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8"/>
          <w:szCs w:val="28"/>
          <w:highlight w:val="none"/>
        </w:rPr>
      </w:pPr>
    </w:p>
    <w:p w14:paraId="363C6257">
      <w:pPr>
        <w:keepNext w:val="0"/>
        <w:keepLines w:val="0"/>
        <w:pageBreakBefore w:val="0"/>
        <w:widowControl w:val="0"/>
        <w:kinsoku/>
        <w:wordWrap w:val="0"/>
        <w:overflowPunct/>
        <w:topLinePunct/>
        <w:autoSpaceDE/>
        <w:autoSpaceDN/>
        <w:bidi w:val="0"/>
        <w:spacing w:line="520" w:lineRule="exact"/>
        <w:ind w:left="0" w:leftChars="0" w:firstLine="0" w:firstLineChars="0"/>
        <w:rPr>
          <w:rFonts w:hint="eastAsia" w:ascii="宋体" w:hAnsi="宋体" w:eastAsia="宋体" w:cs="宋体"/>
          <w:color w:val="auto"/>
          <w:spacing w:val="0"/>
          <w:kern w:val="2"/>
          <w:sz w:val="28"/>
          <w:szCs w:val="28"/>
          <w:highlight w:val="none"/>
        </w:rPr>
      </w:pPr>
    </w:p>
    <w:p w14:paraId="5E54A090">
      <w:pPr>
        <w:keepNext w:val="0"/>
        <w:keepLines w:val="0"/>
        <w:pageBreakBefore w:val="0"/>
        <w:widowControl w:val="0"/>
        <w:kinsoku/>
        <w:wordWrap w:val="0"/>
        <w:overflowPunct/>
        <w:topLinePunct/>
        <w:autoSpaceDE/>
        <w:autoSpaceDN/>
        <w:bidi w:val="0"/>
        <w:spacing w:line="520" w:lineRule="exact"/>
        <w:ind w:left="0" w:leftChars="0" w:firstLine="0" w:firstLineChars="0"/>
        <w:jc w:val="both"/>
        <w:rPr>
          <w:rFonts w:hint="eastAsia" w:ascii="宋体" w:hAnsi="宋体" w:eastAsia="宋体" w:cs="宋体"/>
          <w:color w:val="auto"/>
          <w:spacing w:val="0"/>
          <w:kern w:val="2"/>
          <w:sz w:val="28"/>
          <w:szCs w:val="28"/>
          <w:highlight w:val="none"/>
        </w:rPr>
      </w:pPr>
    </w:p>
    <w:p w14:paraId="02A344BA">
      <w:pPr>
        <w:keepNext w:val="0"/>
        <w:keepLines w:val="0"/>
        <w:pageBreakBefore w:val="0"/>
        <w:widowControl w:val="0"/>
        <w:kinsoku/>
        <w:wordWrap w:val="0"/>
        <w:overflowPunct/>
        <w:topLinePunct/>
        <w:autoSpaceDE/>
        <w:autoSpaceDN/>
        <w:bidi w:val="0"/>
        <w:spacing w:line="520" w:lineRule="exact"/>
        <w:ind w:right="360" w:firstLine="723"/>
        <w:jc w:val="right"/>
        <w:rPr>
          <w:rFonts w:hint="eastAsia" w:ascii="宋体" w:hAnsi="宋体" w:eastAsia="宋体" w:cs="宋体"/>
          <w:b/>
          <w:color w:val="auto"/>
          <w:spacing w:val="0"/>
          <w:kern w:val="2"/>
          <w:sz w:val="36"/>
          <w:szCs w:val="36"/>
          <w:highlight w:val="none"/>
          <w:bdr w:val="single" w:color="auto" w:sz="4" w:space="0"/>
          <w:shd w:val="pct10" w:color="auto" w:fill="FFFFFF"/>
        </w:rPr>
      </w:pPr>
    </w:p>
    <w:p w14:paraId="2B0E1114">
      <w:pPr>
        <w:keepNext w:val="0"/>
        <w:keepLines w:val="0"/>
        <w:pageBreakBefore w:val="0"/>
        <w:widowControl w:val="0"/>
        <w:kinsoku/>
        <w:wordWrap w:val="0"/>
        <w:overflowPunct/>
        <w:topLinePunct/>
        <w:autoSpaceDE/>
        <w:autoSpaceDN/>
        <w:bidi w:val="0"/>
        <w:spacing w:line="520" w:lineRule="exact"/>
        <w:ind w:right="360" w:firstLine="723"/>
        <w:jc w:val="left"/>
        <w:rPr>
          <w:rFonts w:hint="eastAsia" w:ascii="宋体" w:hAnsi="宋体" w:eastAsia="宋体" w:cs="宋体"/>
          <w:b/>
          <w:color w:val="auto"/>
          <w:spacing w:val="0"/>
          <w:kern w:val="2"/>
          <w:sz w:val="28"/>
          <w:szCs w:val="28"/>
          <w:highlight w:val="none"/>
        </w:rPr>
      </w:pPr>
    </w:p>
    <w:p w14:paraId="78ED365E">
      <w:pPr>
        <w:rPr>
          <w:rFonts w:hint="eastAsia" w:ascii="宋体" w:hAnsi="宋体" w:eastAsia="宋体" w:cs="宋体"/>
          <w:b/>
          <w:color w:val="auto"/>
          <w:spacing w:val="0"/>
          <w:kern w:val="2"/>
          <w:sz w:val="28"/>
          <w:szCs w:val="28"/>
          <w:highlight w:val="none"/>
        </w:rPr>
      </w:pPr>
      <w:r>
        <w:rPr>
          <w:rFonts w:hint="eastAsia" w:ascii="宋体" w:hAnsi="宋体" w:eastAsia="宋体" w:cs="宋体"/>
          <w:b/>
          <w:color w:val="auto"/>
          <w:spacing w:val="0"/>
          <w:kern w:val="2"/>
          <w:sz w:val="28"/>
          <w:szCs w:val="28"/>
          <w:highlight w:val="none"/>
        </w:rPr>
        <w:br w:type="page"/>
      </w:r>
    </w:p>
    <w:p w14:paraId="1880824E">
      <w:pPr>
        <w:keepNext w:val="0"/>
        <w:keepLines w:val="0"/>
        <w:pageBreakBefore w:val="0"/>
        <w:widowControl w:val="0"/>
        <w:kinsoku/>
        <w:wordWrap w:val="0"/>
        <w:overflowPunct/>
        <w:topLinePunct/>
        <w:autoSpaceDE/>
        <w:autoSpaceDN/>
        <w:bidi w:val="0"/>
        <w:spacing w:line="520" w:lineRule="exact"/>
        <w:ind w:left="0" w:leftChars="0" w:right="360" w:firstLine="0" w:firstLineChars="0"/>
        <w:jc w:val="left"/>
        <w:rPr>
          <w:rFonts w:hint="eastAsia" w:ascii="宋体" w:hAnsi="宋体" w:eastAsia="宋体" w:cs="宋体"/>
          <w:b/>
          <w:color w:val="auto"/>
          <w:spacing w:val="0"/>
          <w:kern w:val="2"/>
          <w:sz w:val="28"/>
          <w:szCs w:val="28"/>
          <w:highlight w:val="none"/>
        </w:rPr>
      </w:pPr>
      <w:r>
        <w:rPr>
          <w:rFonts w:hint="eastAsia" w:ascii="宋体" w:hAnsi="宋体" w:eastAsia="宋体" w:cs="宋体"/>
          <w:b/>
          <w:color w:val="auto"/>
          <w:spacing w:val="0"/>
          <w:kern w:val="2"/>
          <w:sz w:val="28"/>
          <w:szCs w:val="28"/>
          <w:highlight w:val="none"/>
        </w:rPr>
        <w:t>政府采购项目</w:t>
      </w:r>
    </w:p>
    <w:p w14:paraId="7D12FFA2">
      <w:pPr>
        <w:keepNext w:val="0"/>
        <w:keepLines w:val="0"/>
        <w:pageBreakBefore w:val="0"/>
        <w:widowControl w:val="0"/>
        <w:kinsoku/>
        <w:wordWrap w:val="0"/>
        <w:overflowPunct/>
        <w:topLinePunct/>
        <w:autoSpaceDE/>
        <w:autoSpaceDN/>
        <w:bidi w:val="0"/>
        <w:spacing w:line="520" w:lineRule="exact"/>
        <w:ind w:left="0" w:leftChars="0" w:right="360" w:firstLine="0" w:firstLineChars="0"/>
        <w:jc w:val="left"/>
        <w:rPr>
          <w:rFonts w:hint="eastAsia" w:ascii="宋体" w:hAnsi="宋体" w:eastAsia="宋体" w:cs="宋体"/>
          <w:b/>
          <w:color w:val="auto"/>
          <w:spacing w:val="0"/>
          <w:kern w:val="2"/>
          <w:sz w:val="36"/>
          <w:szCs w:val="36"/>
          <w:highlight w:val="none"/>
          <w:bdr w:val="single" w:color="auto" w:sz="4" w:space="0"/>
          <w:shd w:val="pct10" w:color="auto" w:fill="FFFFFF"/>
          <w:lang w:val="en-US"/>
        </w:rPr>
      </w:pPr>
      <w:r>
        <w:rPr>
          <w:rFonts w:hint="eastAsia" w:ascii="宋体" w:hAnsi="宋体" w:eastAsia="宋体" w:cs="宋体"/>
          <w:b/>
          <w:color w:val="auto"/>
          <w:spacing w:val="0"/>
          <w:kern w:val="2"/>
          <w:sz w:val="28"/>
          <w:szCs w:val="28"/>
          <w:highlight w:val="none"/>
        </w:rPr>
        <w:t>项目编号:LJHY2026-17.2B1</w:t>
      </w:r>
    </w:p>
    <w:p w14:paraId="0C463BB4">
      <w:pPr>
        <w:pStyle w:val="2"/>
        <w:keepNext w:val="0"/>
        <w:keepLines w:val="0"/>
        <w:pageBreakBefore w:val="0"/>
        <w:widowControl w:val="0"/>
        <w:kinsoku/>
        <w:wordWrap w:val="0"/>
        <w:overflowPunct/>
        <w:topLinePunct/>
        <w:autoSpaceDE/>
        <w:autoSpaceDN/>
        <w:bidi w:val="0"/>
        <w:spacing w:line="480" w:lineRule="auto"/>
        <w:ind w:left="0" w:leftChars="0" w:firstLine="0" w:firstLineChars="0"/>
        <w:jc w:val="both"/>
        <w:rPr>
          <w:rFonts w:hint="eastAsia" w:ascii="宋体" w:hAnsi="宋体" w:eastAsia="宋体" w:cs="宋体"/>
          <w:b/>
          <w:color w:val="auto"/>
          <w:spacing w:val="0"/>
          <w:kern w:val="2"/>
          <w:sz w:val="52"/>
          <w:szCs w:val="52"/>
          <w:highlight w:val="none"/>
          <w:lang w:val="en-US" w:eastAsia="zh-CN" w:bidi="ar-SA"/>
        </w:rPr>
      </w:pPr>
    </w:p>
    <w:p w14:paraId="47EC706B">
      <w:pPr>
        <w:pStyle w:val="2"/>
        <w:keepNext w:val="0"/>
        <w:keepLines w:val="0"/>
        <w:pageBreakBefore w:val="0"/>
        <w:widowControl w:val="0"/>
        <w:kinsoku/>
        <w:wordWrap w:val="0"/>
        <w:overflowPunct/>
        <w:topLinePunct/>
        <w:autoSpaceDE/>
        <w:autoSpaceDN/>
        <w:bidi w:val="0"/>
        <w:spacing w:line="480" w:lineRule="auto"/>
        <w:ind w:left="0" w:leftChars="0" w:firstLine="0" w:firstLineChars="0"/>
        <w:jc w:val="center"/>
        <w:rPr>
          <w:rFonts w:hint="eastAsia" w:ascii="宋体" w:hAnsi="宋体" w:eastAsia="宋体" w:cs="宋体"/>
          <w:b/>
          <w:color w:val="auto"/>
          <w:spacing w:val="0"/>
          <w:kern w:val="2"/>
          <w:sz w:val="52"/>
          <w:szCs w:val="52"/>
          <w:highlight w:val="none"/>
          <w:lang w:val="en-US" w:eastAsia="zh-CN" w:bidi="ar-SA"/>
        </w:rPr>
      </w:pPr>
    </w:p>
    <w:p w14:paraId="06F9F43A">
      <w:pPr>
        <w:pStyle w:val="22"/>
        <w:keepNext w:val="0"/>
        <w:keepLines w:val="0"/>
        <w:pageBreakBefore w:val="0"/>
        <w:widowControl w:val="0"/>
        <w:kinsoku/>
        <w:wordWrap w:val="0"/>
        <w:overflowPunct/>
        <w:topLinePunct/>
        <w:autoSpaceDE/>
        <w:autoSpaceDN/>
        <w:bidi w:val="0"/>
        <w:spacing w:line="360" w:lineRule="auto"/>
        <w:ind w:left="0" w:leftChars="0" w:firstLine="0" w:firstLineChars="0"/>
        <w:jc w:val="center"/>
        <w:rPr>
          <w:rFonts w:hint="eastAsia" w:ascii="宋体" w:hAnsi="宋体" w:eastAsia="宋体" w:cs="宋体"/>
          <w:b/>
          <w:color w:val="auto"/>
          <w:spacing w:val="0"/>
          <w:kern w:val="2"/>
          <w:sz w:val="21"/>
          <w:szCs w:val="21"/>
          <w:highlight w:val="none"/>
        </w:rPr>
      </w:pPr>
      <w:r>
        <w:rPr>
          <w:rFonts w:hint="eastAsia" w:ascii="宋体" w:hAnsi="宋体" w:eastAsia="宋体" w:cs="宋体"/>
          <w:b/>
          <w:color w:val="auto"/>
          <w:spacing w:val="0"/>
          <w:kern w:val="2"/>
          <w:sz w:val="36"/>
          <w:szCs w:val="36"/>
          <w:highlight w:val="none"/>
          <w:lang w:val="en-US" w:eastAsia="zh-CN" w:bidi="ar-SA"/>
        </w:rPr>
        <w:t>2026年蔬菜、调味品等食品辅材第2包（二次）</w:t>
      </w:r>
    </w:p>
    <w:p w14:paraId="6F2B21FE">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29E3F9D3">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0DD4F57D">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6ECFAEC9">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532B9CEF">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1692BA8A">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4880B07A">
      <w:pPr>
        <w:pStyle w:val="22"/>
        <w:keepNext w:val="0"/>
        <w:keepLines w:val="0"/>
        <w:pageBreakBefore w:val="0"/>
        <w:widowControl w:val="0"/>
        <w:kinsoku/>
        <w:wordWrap w:val="0"/>
        <w:overflowPunct/>
        <w:topLinePunct/>
        <w:autoSpaceDE/>
        <w:autoSpaceDN/>
        <w:bidi w:val="0"/>
        <w:spacing w:line="240" w:lineRule="auto"/>
        <w:ind w:left="0" w:leftChars="0" w:firstLine="0" w:firstLineChars="0"/>
        <w:jc w:val="center"/>
        <w:rPr>
          <w:rFonts w:hint="eastAsia" w:ascii="宋体" w:hAnsi="宋体" w:eastAsia="宋体" w:cs="宋体"/>
          <w:b/>
          <w:color w:val="auto"/>
          <w:spacing w:val="0"/>
          <w:kern w:val="2"/>
          <w:sz w:val="56"/>
          <w:szCs w:val="56"/>
          <w:highlight w:val="none"/>
          <w:lang w:eastAsia="zh-CN"/>
        </w:rPr>
      </w:pPr>
      <w:r>
        <w:rPr>
          <w:rFonts w:hint="eastAsia" w:ascii="宋体" w:hAnsi="宋体" w:eastAsia="宋体" w:cs="宋体"/>
          <w:b/>
          <w:color w:val="auto"/>
          <w:spacing w:val="0"/>
          <w:kern w:val="2"/>
          <w:sz w:val="56"/>
          <w:szCs w:val="56"/>
          <w:highlight w:val="none"/>
          <w:lang w:eastAsia="zh-CN"/>
        </w:rPr>
        <w:t>竞争性谈判响应文件</w:t>
      </w:r>
    </w:p>
    <w:p w14:paraId="128F0B4F">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lang w:val="en-US" w:eastAsia="zh-CN"/>
        </w:rPr>
      </w:pPr>
      <w:r>
        <w:rPr>
          <w:rFonts w:hint="eastAsia" w:ascii="宋体" w:hAnsi="宋体" w:eastAsia="宋体" w:cs="宋体"/>
          <w:b/>
          <w:color w:val="auto"/>
          <w:spacing w:val="0"/>
          <w:kern w:val="2"/>
          <w:sz w:val="28"/>
          <w:szCs w:val="28"/>
          <w:highlight w:val="none"/>
          <w:lang w:val="en-US" w:eastAsia="zh-CN"/>
        </w:rPr>
        <w:t xml:space="preserve"> </w:t>
      </w:r>
    </w:p>
    <w:p w14:paraId="2916F30E">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775C40B7">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6B6063B9">
      <w:pPr>
        <w:pStyle w:val="22"/>
        <w:keepNext w:val="0"/>
        <w:keepLines w:val="0"/>
        <w:pageBreakBefore w:val="0"/>
        <w:widowControl w:val="0"/>
        <w:kinsoku/>
        <w:wordWrap w:val="0"/>
        <w:overflowPunct/>
        <w:topLinePunct/>
        <w:autoSpaceDE/>
        <w:autoSpaceDN/>
        <w:bidi w:val="0"/>
        <w:rPr>
          <w:rFonts w:hint="eastAsia" w:ascii="宋体" w:hAnsi="宋体" w:eastAsia="宋体" w:cs="宋体"/>
          <w:b/>
          <w:color w:val="auto"/>
          <w:spacing w:val="0"/>
          <w:kern w:val="2"/>
          <w:sz w:val="28"/>
          <w:szCs w:val="28"/>
          <w:highlight w:val="none"/>
        </w:rPr>
      </w:pPr>
    </w:p>
    <w:p w14:paraId="3679BB35">
      <w:pPr>
        <w:keepNext w:val="0"/>
        <w:keepLines w:val="0"/>
        <w:pageBreakBefore w:val="0"/>
        <w:widowControl w:val="0"/>
        <w:kinsoku/>
        <w:wordWrap w:val="0"/>
        <w:overflowPunct/>
        <w:topLinePunct/>
        <w:autoSpaceDE/>
        <w:autoSpaceDN/>
        <w:bidi w:val="0"/>
        <w:spacing w:line="520" w:lineRule="exact"/>
        <w:ind w:firstLine="562"/>
        <w:rPr>
          <w:rFonts w:hint="eastAsia" w:ascii="宋体" w:hAnsi="宋体" w:eastAsia="宋体" w:cs="宋体"/>
          <w:b/>
          <w:color w:val="auto"/>
          <w:spacing w:val="0"/>
          <w:kern w:val="2"/>
          <w:sz w:val="28"/>
          <w:szCs w:val="28"/>
          <w:highlight w:val="none"/>
        </w:rPr>
      </w:pPr>
    </w:p>
    <w:p w14:paraId="58120C91">
      <w:pPr>
        <w:keepNext w:val="0"/>
        <w:keepLines w:val="0"/>
        <w:pageBreakBefore w:val="0"/>
        <w:widowControl w:val="0"/>
        <w:kinsoku/>
        <w:wordWrap w:val="0"/>
        <w:overflowPunct/>
        <w:topLinePunct/>
        <w:autoSpaceDE/>
        <w:autoSpaceDN/>
        <w:bidi w:val="0"/>
        <w:spacing w:line="520" w:lineRule="exact"/>
        <w:ind w:left="0" w:leftChars="0" w:firstLine="281" w:firstLineChars="100"/>
        <w:jc w:val="both"/>
        <w:rPr>
          <w:rFonts w:hint="eastAsia" w:ascii="宋体" w:hAnsi="宋体" w:eastAsia="宋体" w:cs="宋体"/>
          <w:b/>
          <w:bCs/>
          <w:color w:val="auto"/>
          <w:spacing w:val="0"/>
          <w:kern w:val="2"/>
          <w:sz w:val="28"/>
          <w:szCs w:val="28"/>
          <w:highlight w:val="none"/>
          <w:u w:val="none"/>
          <w:lang w:val="en-US" w:eastAsia="zh-CN"/>
        </w:rPr>
      </w:pPr>
      <w:r>
        <w:rPr>
          <w:rFonts w:hint="eastAsia" w:ascii="宋体" w:hAnsi="宋体" w:eastAsia="宋体" w:cs="宋体"/>
          <w:b/>
          <w:color w:val="auto"/>
          <w:spacing w:val="0"/>
          <w:kern w:val="2"/>
          <w:sz w:val="28"/>
          <w:szCs w:val="28"/>
          <w:highlight w:val="none"/>
        </w:rPr>
        <w:t>供   应   商：</w:t>
      </w:r>
      <w:r>
        <w:rPr>
          <w:rFonts w:hint="eastAsia" w:ascii="宋体" w:hAnsi="宋体" w:eastAsia="宋体" w:cs="宋体"/>
          <w:b/>
          <w:bCs/>
          <w:color w:val="auto"/>
          <w:spacing w:val="0"/>
          <w:kern w:val="2"/>
          <w:sz w:val="28"/>
          <w:szCs w:val="28"/>
          <w:highlight w:val="none"/>
          <w:u w:val="single"/>
          <w:lang w:val="en-US" w:eastAsia="zh-CN"/>
        </w:rPr>
        <w:t xml:space="preserve">                          </w:t>
      </w:r>
      <w:r>
        <w:rPr>
          <w:rFonts w:hint="eastAsia" w:ascii="宋体" w:hAnsi="宋体" w:eastAsia="宋体" w:cs="宋体"/>
          <w:b/>
          <w:bCs/>
          <w:color w:val="auto"/>
          <w:spacing w:val="0"/>
          <w:kern w:val="2"/>
          <w:sz w:val="28"/>
          <w:szCs w:val="28"/>
          <w:highlight w:val="none"/>
          <w:u w:val="none"/>
          <w:lang w:val="en-US" w:eastAsia="zh-CN"/>
        </w:rPr>
        <w:t>（盖单位公章）</w:t>
      </w:r>
    </w:p>
    <w:p w14:paraId="70602AD4">
      <w:pPr>
        <w:pStyle w:val="14"/>
        <w:keepNext w:val="0"/>
        <w:keepLines w:val="0"/>
        <w:pageBreakBefore w:val="0"/>
        <w:widowControl w:val="0"/>
        <w:kinsoku/>
        <w:wordWrap w:val="0"/>
        <w:overflowPunct/>
        <w:topLinePunct/>
        <w:autoSpaceDE/>
        <w:autoSpaceDN/>
        <w:bidi w:val="0"/>
        <w:spacing w:after="0"/>
        <w:jc w:val="center"/>
        <w:rPr>
          <w:rFonts w:hint="eastAsia" w:ascii="宋体" w:hAnsi="宋体" w:eastAsia="宋体" w:cs="宋体"/>
          <w:color w:val="auto"/>
          <w:spacing w:val="0"/>
          <w:kern w:val="2"/>
          <w:sz w:val="28"/>
          <w:szCs w:val="28"/>
          <w:highlight w:val="none"/>
          <w:lang w:val="en-US" w:eastAsia="zh-CN"/>
        </w:rPr>
      </w:pPr>
      <w:r>
        <w:rPr>
          <w:rFonts w:hint="eastAsia" w:ascii="宋体" w:hAnsi="宋体" w:eastAsia="宋体" w:cs="宋体"/>
          <w:color w:val="auto"/>
          <w:spacing w:val="0"/>
          <w:kern w:val="2"/>
          <w:sz w:val="28"/>
          <w:szCs w:val="28"/>
          <w:highlight w:val="none"/>
          <w:lang w:val="en-US" w:eastAsia="zh-CN"/>
        </w:rPr>
        <w:t xml:space="preserve">  </w:t>
      </w:r>
    </w:p>
    <w:p w14:paraId="66409F36">
      <w:pPr>
        <w:keepNext w:val="0"/>
        <w:keepLines w:val="0"/>
        <w:pageBreakBefore w:val="0"/>
        <w:widowControl w:val="0"/>
        <w:kinsoku/>
        <w:wordWrap w:val="0"/>
        <w:overflowPunct/>
        <w:topLinePunct/>
        <w:autoSpaceDE/>
        <w:autoSpaceDN/>
        <w:bidi w:val="0"/>
        <w:spacing w:line="360" w:lineRule="auto"/>
        <w:ind w:left="0" w:leftChars="0" w:right="-78" w:rightChars="-37" w:firstLine="281" w:firstLineChars="100"/>
        <w:jc w:val="both"/>
        <w:rPr>
          <w:rFonts w:hint="eastAsia" w:ascii="宋体" w:hAnsi="宋体" w:eastAsia="宋体" w:cs="宋体"/>
          <w:b/>
          <w:bCs/>
          <w:color w:val="auto"/>
          <w:spacing w:val="0"/>
          <w:kern w:val="2"/>
          <w:sz w:val="28"/>
          <w:szCs w:val="28"/>
          <w:highlight w:val="none"/>
          <w:u w:val="none"/>
          <w:lang w:val="en-US" w:eastAsia="zh-CN"/>
        </w:rPr>
      </w:pPr>
      <w:r>
        <w:rPr>
          <w:rFonts w:hint="eastAsia" w:ascii="宋体" w:hAnsi="宋体" w:eastAsia="宋体" w:cs="宋体"/>
          <w:b/>
          <w:color w:val="auto"/>
          <w:spacing w:val="0"/>
          <w:kern w:val="2"/>
          <w:sz w:val="28"/>
          <w:szCs w:val="28"/>
          <w:highlight w:val="none"/>
          <w:lang w:eastAsia="zh-CN"/>
        </w:rPr>
        <w:t>法人或委托代理人</w:t>
      </w:r>
      <w:r>
        <w:rPr>
          <w:rFonts w:hint="eastAsia" w:ascii="宋体" w:hAnsi="宋体" w:eastAsia="宋体" w:cs="宋体"/>
          <w:b/>
          <w:bCs/>
          <w:color w:val="auto"/>
          <w:spacing w:val="0"/>
          <w:kern w:val="2"/>
          <w:sz w:val="28"/>
          <w:szCs w:val="28"/>
          <w:highlight w:val="none"/>
          <w:lang w:eastAsia="zh-CN"/>
        </w:rPr>
        <w:t>：</w:t>
      </w:r>
      <w:r>
        <w:rPr>
          <w:rFonts w:hint="eastAsia" w:ascii="宋体" w:hAnsi="宋体" w:eastAsia="宋体" w:cs="宋体"/>
          <w:b/>
          <w:bCs/>
          <w:color w:val="auto"/>
          <w:spacing w:val="0"/>
          <w:kern w:val="2"/>
          <w:sz w:val="28"/>
          <w:szCs w:val="28"/>
          <w:highlight w:val="none"/>
          <w:u w:val="single"/>
          <w:lang w:val="en-US" w:eastAsia="zh-CN"/>
        </w:rPr>
        <w:t xml:space="preserve">                      </w:t>
      </w:r>
      <w:r>
        <w:rPr>
          <w:rFonts w:hint="eastAsia" w:ascii="宋体" w:hAnsi="宋体" w:eastAsia="宋体" w:cs="宋体"/>
          <w:b/>
          <w:bCs/>
          <w:color w:val="auto"/>
          <w:spacing w:val="0"/>
          <w:kern w:val="2"/>
          <w:sz w:val="28"/>
          <w:szCs w:val="28"/>
          <w:highlight w:val="none"/>
          <w:u w:val="none"/>
          <w:lang w:val="en-US" w:eastAsia="zh-CN"/>
        </w:rPr>
        <w:t>（签字或盖章）</w:t>
      </w:r>
    </w:p>
    <w:p w14:paraId="607E477E">
      <w:pPr>
        <w:pStyle w:val="14"/>
        <w:keepNext w:val="0"/>
        <w:keepLines w:val="0"/>
        <w:pageBreakBefore w:val="0"/>
        <w:widowControl w:val="0"/>
        <w:kinsoku/>
        <w:wordWrap w:val="0"/>
        <w:overflowPunct/>
        <w:topLinePunct/>
        <w:autoSpaceDE/>
        <w:autoSpaceDN/>
        <w:bidi w:val="0"/>
        <w:spacing w:after="0"/>
        <w:jc w:val="center"/>
        <w:rPr>
          <w:rFonts w:hint="eastAsia" w:ascii="宋体" w:hAnsi="宋体" w:eastAsia="宋体" w:cs="宋体"/>
          <w:color w:val="auto"/>
          <w:spacing w:val="0"/>
          <w:kern w:val="2"/>
          <w:sz w:val="28"/>
          <w:szCs w:val="28"/>
          <w:highlight w:val="none"/>
          <w:lang w:val="en-US" w:eastAsia="zh-CN"/>
        </w:rPr>
      </w:pPr>
    </w:p>
    <w:p w14:paraId="36FDE791">
      <w:pPr>
        <w:keepNext w:val="0"/>
        <w:keepLines w:val="0"/>
        <w:pageBreakBefore w:val="0"/>
        <w:widowControl w:val="0"/>
        <w:kinsoku/>
        <w:wordWrap w:val="0"/>
        <w:overflowPunct/>
        <w:topLinePunct/>
        <w:autoSpaceDE/>
        <w:autoSpaceDN/>
        <w:bidi w:val="0"/>
        <w:spacing w:line="360" w:lineRule="auto"/>
        <w:ind w:left="0" w:leftChars="0" w:right="-78" w:rightChars="-37" w:firstLine="0" w:firstLineChars="0"/>
        <w:jc w:val="center"/>
        <w:rPr>
          <w:rFonts w:hint="eastAsia" w:ascii="宋体" w:hAnsi="宋体" w:eastAsia="宋体" w:cs="宋体"/>
          <w:b/>
          <w:bCs/>
          <w:color w:val="auto"/>
          <w:spacing w:val="0"/>
          <w:kern w:val="2"/>
          <w:sz w:val="28"/>
          <w:szCs w:val="28"/>
          <w:highlight w:val="none"/>
          <w:lang w:val="en-US" w:eastAsia="zh-CN"/>
        </w:rPr>
      </w:pPr>
      <w:r>
        <w:rPr>
          <w:rFonts w:hint="eastAsia" w:ascii="宋体" w:hAnsi="宋体" w:eastAsia="宋体" w:cs="宋体"/>
          <w:b/>
          <w:color w:val="auto"/>
          <w:spacing w:val="0"/>
          <w:kern w:val="2"/>
          <w:sz w:val="28"/>
          <w:szCs w:val="28"/>
          <w:highlight w:val="none"/>
          <w:lang w:val="en-US" w:eastAsia="zh-CN"/>
        </w:rPr>
        <w:t xml:space="preserve">日  期 </w:t>
      </w:r>
      <w:r>
        <w:rPr>
          <w:rFonts w:hint="eastAsia" w:ascii="宋体" w:hAnsi="宋体" w:eastAsia="宋体" w:cs="宋体"/>
          <w:b/>
          <w:color w:val="auto"/>
          <w:spacing w:val="0"/>
          <w:kern w:val="2"/>
          <w:sz w:val="28"/>
          <w:szCs w:val="28"/>
          <w:highlight w:val="none"/>
        </w:rPr>
        <w:t>：</w:t>
      </w:r>
      <w:r>
        <w:rPr>
          <w:rFonts w:hint="eastAsia" w:ascii="宋体" w:hAnsi="宋体" w:eastAsia="宋体" w:cs="宋体"/>
          <w:b/>
          <w:color w:val="auto"/>
          <w:spacing w:val="0"/>
          <w:kern w:val="2"/>
          <w:sz w:val="28"/>
          <w:szCs w:val="28"/>
          <w:highlight w:val="none"/>
          <w:lang w:val="en-US" w:eastAsia="zh-CN"/>
        </w:rPr>
        <w:t xml:space="preserve">    </w:t>
      </w:r>
      <w:r>
        <w:rPr>
          <w:rFonts w:hint="eastAsia" w:ascii="宋体" w:hAnsi="宋体" w:eastAsia="宋体" w:cs="宋体"/>
          <w:b/>
          <w:bCs/>
          <w:color w:val="auto"/>
          <w:spacing w:val="0"/>
          <w:kern w:val="2"/>
          <w:sz w:val="28"/>
          <w:szCs w:val="28"/>
          <w:highlight w:val="none"/>
          <w:lang w:eastAsia="zh-CN"/>
        </w:rPr>
        <w:t>年</w:t>
      </w:r>
      <w:r>
        <w:rPr>
          <w:rFonts w:hint="eastAsia" w:ascii="宋体" w:hAnsi="宋体" w:eastAsia="宋体" w:cs="宋体"/>
          <w:b/>
          <w:bCs/>
          <w:color w:val="auto"/>
          <w:spacing w:val="0"/>
          <w:kern w:val="2"/>
          <w:sz w:val="28"/>
          <w:szCs w:val="28"/>
          <w:highlight w:val="none"/>
          <w:lang w:val="en-US" w:eastAsia="zh-CN"/>
        </w:rPr>
        <w:t xml:space="preserve">   月   日</w:t>
      </w:r>
    </w:p>
    <w:p w14:paraId="625B908C">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30"/>
          <w:szCs w:val="30"/>
          <w:highlight w:val="none"/>
          <w:lang w:val="en-US" w:eastAsia="zh-CN"/>
        </w:rPr>
      </w:pPr>
      <w:r>
        <w:rPr>
          <w:rFonts w:hint="eastAsia" w:ascii="宋体" w:hAnsi="宋体" w:eastAsia="宋体" w:cs="宋体"/>
          <w:b/>
          <w:bCs/>
          <w:color w:val="auto"/>
          <w:spacing w:val="0"/>
          <w:kern w:val="2"/>
          <w:sz w:val="30"/>
          <w:szCs w:val="30"/>
          <w:highlight w:val="none"/>
          <w:lang w:val="en-US" w:eastAsia="zh-CN"/>
        </w:rPr>
        <w:br w:type="page"/>
      </w:r>
    </w:p>
    <w:p w14:paraId="3DB5B883">
      <w:pPr>
        <w:keepNext w:val="0"/>
        <w:keepLines w:val="0"/>
        <w:pageBreakBefore w:val="0"/>
        <w:widowControl w:val="0"/>
        <w:numPr>
          <w:ilvl w:val="0"/>
          <w:numId w:val="0"/>
        </w:numPr>
        <w:kinsoku/>
        <w:wordWrap w:val="0"/>
        <w:overflowPunct/>
        <w:topLinePunct/>
        <w:autoSpaceDE/>
        <w:autoSpaceDN/>
        <w:bidi w:val="0"/>
        <w:spacing w:line="480" w:lineRule="auto"/>
        <w:ind w:leftChars="0"/>
        <w:jc w:val="center"/>
        <w:rPr>
          <w:rFonts w:hint="eastAsia" w:ascii="宋体" w:hAnsi="宋体" w:eastAsia="宋体" w:cs="宋体"/>
          <w:b/>
          <w:bCs/>
          <w:color w:val="auto"/>
          <w:spacing w:val="0"/>
          <w:kern w:val="2"/>
          <w:sz w:val="32"/>
          <w:szCs w:val="32"/>
          <w:highlight w:val="none"/>
          <w:lang w:val="en-US" w:eastAsia="zh-CN"/>
        </w:rPr>
      </w:pPr>
      <w:r>
        <w:rPr>
          <w:rFonts w:hint="eastAsia" w:ascii="宋体" w:hAnsi="宋体" w:eastAsia="宋体" w:cs="宋体"/>
          <w:b/>
          <w:bCs/>
          <w:color w:val="auto"/>
          <w:spacing w:val="0"/>
          <w:kern w:val="2"/>
          <w:sz w:val="32"/>
          <w:szCs w:val="32"/>
          <w:highlight w:val="none"/>
          <w:lang w:val="en-US" w:eastAsia="zh-CN"/>
        </w:rPr>
        <w:t xml:space="preserve"> 目   录</w:t>
      </w:r>
    </w:p>
    <w:p w14:paraId="30BDD471">
      <w:pPr>
        <w:keepNext w:val="0"/>
        <w:keepLines w:val="0"/>
        <w:pageBreakBefore w:val="0"/>
        <w:widowControl w:val="0"/>
        <w:kinsoku/>
        <w:wordWrap w:val="0"/>
        <w:overflowPunct/>
        <w:topLinePunct/>
        <w:autoSpaceDE/>
        <w:autoSpaceDN/>
        <w:bidi w:val="0"/>
        <w:rPr>
          <w:rFonts w:hint="eastAsia" w:ascii="宋体" w:hAnsi="宋体" w:eastAsia="宋体" w:cs="宋体"/>
          <w:spacing w:val="0"/>
          <w:kern w:val="2"/>
          <w:highlight w:val="none"/>
          <w:lang w:eastAsia="zh-CN"/>
        </w:rPr>
      </w:pPr>
      <w:r>
        <w:rPr>
          <w:rFonts w:hint="eastAsia" w:ascii="宋体" w:hAnsi="宋体" w:eastAsia="宋体" w:cs="宋体"/>
          <w:b/>
          <w:bCs/>
          <w:color w:val="auto"/>
          <w:spacing w:val="0"/>
          <w:kern w:val="2"/>
          <w:sz w:val="24"/>
          <w:szCs w:val="24"/>
          <w:highlight w:val="none"/>
          <w:lang w:val="en-US" w:eastAsia="zh-CN"/>
        </w:rPr>
        <w:t>第一部分、资格证明文件</w:t>
      </w:r>
    </w:p>
    <w:p w14:paraId="0CF01335">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w:t>
      </w:r>
    </w:p>
    <w:p w14:paraId="5174D98A">
      <w:pPr>
        <w:pStyle w:val="14"/>
        <w:keepNext w:val="0"/>
        <w:keepLines w:val="0"/>
        <w:pageBreakBefore w:val="0"/>
        <w:widowControl w:val="0"/>
        <w:numPr>
          <w:ilvl w:val="0"/>
          <w:numId w:val="1"/>
        </w:numPr>
        <w:kinsoku/>
        <w:wordWrap w:val="0"/>
        <w:overflowPunct/>
        <w:topLinePunct/>
        <w:autoSpaceDE/>
        <w:autoSpaceDN/>
        <w:bidi w:val="0"/>
        <w:spacing w:after="0"/>
        <w:jc w:val="left"/>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符合性证明文件</w:t>
      </w:r>
    </w:p>
    <w:p w14:paraId="5D302803">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w:t>
      </w:r>
    </w:p>
    <w:p w14:paraId="321E1FAB">
      <w:pPr>
        <w:pStyle w:val="14"/>
        <w:keepNext w:val="0"/>
        <w:keepLines w:val="0"/>
        <w:pageBreakBefore w:val="0"/>
        <w:widowControl w:val="0"/>
        <w:numPr>
          <w:ilvl w:val="0"/>
          <w:numId w:val="1"/>
        </w:numPr>
        <w:kinsoku/>
        <w:wordWrap w:val="0"/>
        <w:overflowPunct/>
        <w:topLinePunct/>
        <w:autoSpaceDE/>
        <w:autoSpaceDN/>
        <w:bidi w:val="0"/>
        <w:spacing w:after="0"/>
        <w:ind w:left="0" w:leftChars="0" w:firstLine="482" w:firstLineChars="200"/>
        <w:jc w:val="both"/>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响应方案</w:t>
      </w:r>
    </w:p>
    <w:p w14:paraId="0E9D7CD5">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w:t>
      </w:r>
    </w:p>
    <w:p w14:paraId="68E75A56">
      <w:pPr>
        <w:keepNext w:val="0"/>
        <w:keepLines w:val="0"/>
        <w:pageBreakBefore w:val="0"/>
        <w:widowControl w:val="0"/>
        <w:numPr>
          <w:ilvl w:val="0"/>
          <w:numId w:val="0"/>
        </w:numPr>
        <w:kinsoku/>
        <w:wordWrap w:val="0"/>
        <w:overflowPunct/>
        <w:topLinePunct/>
        <w:autoSpaceDE/>
        <w:autoSpaceDN/>
        <w:bidi w:val="0"/>
        <w:spacing w:line="480" w:lineRule="auto"/>
        <w:ind w:leftChars="0"/>
        <w:jc w:val="left"/>
        <w:rPr>
          <w:rFonts w:hint="eastAsia" w:ascii="宋体" w:hAnsi="宋体" w:eastAsia="宋体" w:cs="宋体"/>
          <w:b w:val="0"/>
          <w:bCs w:val="0"/>
          <w:color w:val="auto"/>
          <w:spacing w:val="0"/>
          <w:kern w:val="2"/>
          <w:sz w:val="24"/>
          <w:szCs w:val="24"/>
          <w:highlight w:val="none"/>
          <w:lang w:val="en-US" w:eastAsia="zh-CN"/>
        </w:rPr>
      </w:pPr>
    </w:p>
    <w:p w14:paraId="12148C40">
      <w:pPr>
        <w:pStyle w:val="14"/>
        <w:keepNext w:val="0"/>
        <w:keepLines w:val="0"/>
        <w:pageBreakBefore w:val="0"/>
        <w:widowControl w:val="0"/>
        <w:kinsoku/>
        <w:wordWrap w:val="0"/>
        <w:overflowPunct/>
        <w:topLinePunct/>
        <w:autoSpaceDE/>
        <w:autoSpaceDN/>
        <w:bidi w:val="0"/>
        <w:spacing w:after="0"/>
        <w:jc w:val="center"/>
        <w:rPr>
          <w:rFonts w:hint="eastAsia" w:ascii="宋体" w:hAnsi="宋体" w:eastAsia="宋体" w:cs="宋体"/>
          <w:spacing w:val="0"/>
          <w:kern w:val="2"/>
          <w:highlight w:val="none"/>
          <w:lang w:val="en-US" w:eastAsia="zh-CN"/>
        </w:rPr>
      </w:pPr>
      <w:r>
        <w:rPr>
          <w:rFonts w:hint="eastAsia" w:ascii="宋体" w:hAnsi="宋体" w:eastAsia="宋体" w:cs="宋体"/>
          <w:b w:val="0"/>
          <w:bCs w:val="0"/>
          <w:color w:val="auto"/>
          <w:spacing w:val="0"/>
          <w:kern w:val="2"/>
          <w:sz w:val="24"/>
          <w:szCs w:val="24"/>
          <w:highlight w:val="none"/>
          <w:lang w:val="en-US" w:eastAsia="zh-CN"/>
        </w:rPr>
        <w:t>详细格式自拟</w:t>
      </w:r>
    </w:p>
    <w:p w14:paraId="7611B2DB">
      <w:pPr>
        <w:keepNext w:val="0"/>
        <w:keepLines w:val="0"/>
        <w:pageBreakBefore w:val="0"/>
        <w:widowControl w:val="0"/>
        <w:numPr>
          <w:ilvl w:val="0"/>
          <w:numId w:val="0"/>
        </w:numPr>
        <w:kinsoku/>
        <w:wordWrap w:val="0"/>
        <w:overflowPunct/>
        <w:topLinePunct/>
        <w:autoSpaceDE/>
        <w:autoSpaceDN/>
        <w:bidi w:val="0"/>
        <w:spacing w:line="480" w:lineRule="auto"/>
        <w:ind w:leftChars="0"/>
        <w:jc w:val="left"/>
        <w:rPr>
          <w:rFonts w:hint="eastAsia" w:ascii="宋体" w:hAnsi="宋体" w:eastAsia="宋体" w:cs="宋体"/>
          <w:b w:val="0"/>
          <w:bCs w:val="0"/>
          <w:color w:val="auto"/>
          <w:spacing w:val="0"/>
          <w:kern w:val="2"/>
          <w:sz w:val="24"/>
          <w:szCs w:val="24"/>
          <w:highlight w:val="none"/>
          <w:lang w:val="en-US" w:eastAsia="zh-CN"/>
        </w:rPr>
      </w:pPr>
      <w:r>
        <w:rPr>
          <w:rFonts w:hint="eastAsia" w:ascii="宋体" w:hAnsi="宋体" w:eastAsia="宋体" w:cs="宋体"/>
          <w:b w:val="0"/>
          <w:bCs w:val="0"/>
          <w:color w:val="auto"/>
          <w:spacing w:val="0"/>
          <w:kern w:val="2"/>
          <w:sz w:val="24"/>
          <w:szCs w:val="24"/>
          <w:highlight w:val="none"/>
          <w:lang w:val="en-US" w:eastAsia="zh-CN"/>
        </w:rPr>
        <w:br w:type="page"/>
      </w:r>
    </w:p>
    <w:p w14:paraId="2667D10B">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auto"/>
          <w:spacing w:val="0"/>
          <w:kern w:val="2"/>
          <w:sz w:val="24"/>
          <w:szCs w:val="24"/>
          <w:highlight w:val="none"/>
          <w:lang w:val="en-US" w:eastAsia="zh-CN"/>
        </w:rPr>
      </w:pPr>
      <w:bookmarkStart w:id="60" w:name="_Toc193126882"/>
      <w:bookmarkStart w:id="61" w:name="_Toc188808834"/>
      <w:bookmarkStart w:id="62" w:name="_Toc193187098"/>
      <w:bookmarkStart w:id="63" w:name="_Toc194663919"/>
      <w:r>
        <w:rPr>
          <w:rFonts w:hint="eastAsia" w:ascii="宋体" w:hAnsi="宋体" w:eastAsia="宋体" w:cs="宋体"/>
          <w:b/>
          <w:bCs/>
          <w:color w:val="auto"/>
          <w:spacing w:val="0"/>
          <w:kern w:val="2"/>
          <w:sz w:val="24"/>
          <w:szCs w:val="24"/>
          <w:highlight w:val="none"/>
          <w:lang w:val="en-US" w:eastAsia="zh-CN"/>
        </w:rPr>
        <w:t>第一部分、资格证明文件</w:t>
      </w:r>
    </w:p>
    <w:tbl>
      <w:tblPr>
        <w:tblStyle w:val="29"/>
        <w:tblW w:w="82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5255"/>
        <w:gridCol w:w="1050"/>
        <w:gridCol w:w="1225"/>
      </w:tblGrid>
      <w:tr w14:paraId="1AF1B1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705" w:type="dxa"/>
            <w:noWrap w:val="0"/>
            <w:vAlign w:val="center"/>
          </w:tcPr>
          <w:p w14:paraId="3A5FFAA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序号</w:t>
            </w:r>
          </w:p>
        </w:tc>
        <w:tc>
          <w:tcPr>
            <w:tcW w:w="5255" w:type="dxa"/>
            <w:noWrap w:val="0"/>
            <w:vAlign w:val="center"/>
          </w:tcPr>
          <w:p w14:paraId="4BA8BF1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firstLine="480" w:firstLineChars="20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审查因素</w:t>
            </w:r>
          </w:p>
        </w:tc>
        <w:tc>
          <w:tcPr>
            <w:tcW w:w="1050" w:type="dxa"/>
            <w:noWrap w:val="0"/>
            <w:vAlign w:val="center"/>
          </w:tcPr>
          <w:p w14:paraId="16A5D61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审查</w:t>
            </w:r>
          </w:p>
          <w:p w14:paraId="49204A5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标准</w:t>
            </w:r>
          </w:p>
        </w:tc>
        <w:tc>
          <w:tcPr>
            <w:tcW w:w="1225" w:type="dxa"/>
            <w:noWrap w:val="0"/>
            <w:vAlign w:val="center"/>
          </w:tcPr>
          <w:p w14:paraId="0E0C0B4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备注</w:t>
            </w:r>
          </w:p>
        </w:tc>
      </w:tr>
      <w:tr w14:paraId="18B468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05" w:type="dxa"/>
            <w:noWrap w:val="0"/>
            <w:vAlign w:val="center"/>
          </w:tcPr>
          <w:p w14:paraId="5DC14583">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w:t>
            </w:r>
          </w:p>
        </w:tc>
        <w:tc>
          <w:tcPr>
            <w:tcW w:w="5255" w:type="dxa"/>
            <w:noWrap w:val="0"/>
            <w:vAlign w:val="center"/>
          </w:tcPr>
          <w:p w14:paraId="0130AD3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具有独立承担民事责任能力的法人、其他组织或自然人，并出具合法有效的统一社会信用代码的营业执照或事业单位法人证书等国家规定的相关证明，自然人参与的提供其身份证明。</w:t>
            </w:r>
          </w:p>
        </w:tc>
        <w:tc>
          <w:tcPr>
            <w:tcW w:w="1050" w:type="dxa"/>
            <w:noWrap w:val="0"/>
            <w:vAlign w:val="center"/>
          </w:tcPr>
          <w:p w14:paraId="4613093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2B450D8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0D1C25C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3B78C9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5" w:type="dxa"/>
            <w:noWrap w:val="0"/>
            <w:vAlign w:val="center"/>
          </w:tcPr>
          <w:p w14:paraId="63C5F9E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w:t>
            </w:r>
          </w:p>
        </w:tc>
        <w:tc>
          <w:tcPr>
            <w:tcW w:w="5255" w:type="dxa"/>
            <w:noWrap w:val="0"/>
            <w:vAlign w:val="center"/>
          </w:tcPr>
          <w:p w14:paraId="385F6CDC">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供应商是生产厂家的须提供有效的《食品生产许可证》及《食品经营许可证》;供应商为经销商的须提供有效的《食品经营许可证》；</w:t>
            </w:r>
          </w:p>
        </w:tc>
        <w:tc>
          <w:tcPr>
            <w:tcW w:w="1050" w:type="dxa"/>
            <w:noWrap w:val="0"/>
            <w:vAlign w:val="center"/>
          </w:tcPr>
          <w:p w14:paraId="03C80E3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02B890B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25E1A43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3B7C65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5" w:type="dxa"/>
            <w:noWrap w:val="0"/>
            <w:vAlign w:val="center"/>
          </w:tcPr>
          <w:p w14:paraId="04D5336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3</w:t>
            </w:r>
          </w:p>
        </w:tc>
        <w:tc>
          <w:tcPr>
            <w:tcW w:w="5255" w:type="dxa"/>
            <w:noWrap w:val="0"/>
            <w:vAlign w:val="center"/>
          </w:tcPr>
          <w:p w14:paraId="451B67F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应授权合法的人员参加谈判全过程，其中法定代表人直接参加谈判的，须出具法定代表人身份证明，并与营业执照上信息一致，法定代表人授权代表参加谈判的，须出具法定代表人授权书及授权代表身份证；</w:t>
            </w:r>
          </w:p>
        </w:tc>
        <w:tc>
          <w:tcPr>
            <w:tcW w:w="1050" w:type="dxa"/>
            <w:noWrap w:val="0"/>
            <w:vAlign w:val="center"/>
          </w:tcPr>
          <w:p w14:paraId="30A3263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4F0D9E4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39C5E0B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谈判文件提供的格式</w:t>
            </w:r>
          </w:p>
        </w:tc>
      </w:tr>
      <w:tr w14:paraId="12D8E6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705" w:type="dxa"/>
            <w:noWrap w:val="0"/>
            <w:vAlign w:val="center"/>
          </w:tcPr>
          <w:p w14:paraId="254830B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4</w:t>
            </w:r>
          </w:p>
        </w:tc>
        <w:tc>
          <w:tcPr>
            <w:tcW w:w="5255" w:type="dxa"/>
            <w:shd w:val="clear" w:color="auto" w:fill="auto"/>
            <w:noWrap w:val="0"/>
            <w:vAlign w:val="center"/>
          </w:tcPr>
          <w:p w14:paraId="034A4EA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财务状况：提供2025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p>
        </w:tc>
        <w:tc>
          <w:tcPr>
            <w:tcW w:w="1050" w:type="dxa"/>
            <w:shd w:val="clear" w:color="auto" w:fill="auto"/>
            <w:noWrap w:val="0"/>
            <w:vAlign w:val="center"/>
          </w:tcPr>
          <w:p w14:paraId="7B16691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08858062">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有效</w:t>
            </w:r>
          </w:p>
        </w:tc>
        <w:tc>
          <w:tcPr>
            <w:tcW w:w="1225" w:type="dxa"/>
            <w:shd w:val="clear" w:color="auto" w:fill="auto"/>
            <w:noWrap w:val="0"/>
            <w:vAlign w:val="center"/>
          </w:tcPr>
          <w:p w14:paraId="226BC39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559D7F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5" w:type="dxa"/>
            <w:noWrap w:val="0"/>
            <w:vAlign w:val="center"/>
          </w:tcPr>
          <w:p w14:paraId="72189D5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5</w:t>
            </w:r>
          </w:p>
        </w:tc>
        <w:tc>
          <w:tcPr>
            <w:tcW w:w="5255" w:type="dxa"/>
            <w:noWrap w:val="0"/>
            <w:vAlign w:val="center"/>
          </w:tcPr>
          <w:p w14:paraId="53BD656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社会保障资金缴纳证明：提供2025年7月至今已缴存的至少3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 </w:t>
            </w:r>
          </w:p>
        </w:tc>
        <w:tc>
          <w:tcPr>
            <w:tcW w:w="1050" w:type="dxa"/>
            <w:noWrap w:val="0"/>
            <w:vAlign w:val="center"/>
          </w:tcPr>
          <w:p w14:paraId="73F67C3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7255C663">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3337873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71E645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05" w:type="dxa"/>
            <w:noWrap w:val="0"/>
            <w:vAlign w:val="center"/>
          </w:tcPr>
          <w:p w14:paraId="7AA138D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6</w:t>
            </w:r>
          </w:p>
        </w:tc>
        <w:tc>
          <w:tcPr>
            <w:tcW w:w="5255" w:type="dxa"/>
            <w:noWrap w:val="0"/>
            <w:vAlign w:val="center"/>
          </w:tcPr>
          <w:p w14:paraId="792F3DE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税收缴纳证明：提供2025年7月至今已缴纳的至少3个月的纳税证明或完税证明，依法免税的单位应提供相关证明材料（注册时间不满3个月的，应当提供注册时至参加政府采购活动时相应期限内本单位税收缴纳的相关证明文件）；</w:t>
            </w:r>
          </w:p>
        </w:tc>
        <w:tc>
          <w:tcPr>
            <w:tcW w:w="1050" w:type="dxa"/>
            <w:noWrap w:val="0"/>
            <w:vAlign w:val="center"/>
          </w:tcPr>
          <w:p w14:paraId="0433444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138272B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580DCC7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646A82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05" w:type="dxa"/>
            <w:noWrap w:val="0"/>
            <w:vAlign w:val="center"/>
          </w:tcPr>
          <w:p w14:paraId="2737D3A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7</w:t>
            </w:r>
          </w:p>
        </w:tc>
        <w:tc>
          <w:tcPr>
            <w:tcW w:w="5255" w:type="dxa"/>
            <w:noWrap w:val="0"/>
            <w:vAlign w:val="center"/>
          </w:tcPr>
          <w:p w14:paraId="285ED825">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参加本次政府采购活动前三年内，在经营活动中没有重大违法记录声明。</w:t>
            </w:r>
          </w:p>
        </w:tc>
        <w:tc>
          <w:tcPr>
            <w:tcW w:w="1050" w:type="dxa"/>
            <w:noWrap w:val="0"/>
            <w:vAlign w:val="center"/>
          </w:tcPr>
          <w:p w14:paraId="3AA9779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2AC16FE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53B7D0B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1DF29D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05" w:type="dxa"/>
            <w:noWrap w:val="0"/>
            <w:vAlign w:val="center"/>
          </w:tcPr>
          <w:p w14:paraId="2DCD142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8</w:t>
            </w:r>
          </w:p>
        </w:tc>
        <w:tc>
          <w:tcPr>
            <w:tcW w:w="5255" w:type="dxa"/>
            <w:noWrap w:val="0"/>
            <w:vAlign w:val="center"/>
          </w:tcPr>
          <w:p w14:paraId="35B4150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提供具有履行合同所必需的设备和专业技术能力的承诺函；</w:t>
            </w:r>
          </w:p>
        </w:tc>
        <w:tc>
          <w:tcPr>
            <w:tcW w:w="1050" w:type="dxa"/>
            <w:noWrap w:val="0"/>
            <w:vAlign w:val="center"/>
          </w:tcPr>
          <w:p w14:paraId="437532E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070E91A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353D65E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635CBB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705" w:type="dxa"/>
            <w:noWrap w:val="0"/>
            <w:vAlign w:val="center"/>
          </w:tcPr>
          <w:p w14:paraId="1C326E9C">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9</w:t>
            </w:r>
          </w:p>
        </w:tc>
        <w:tc>
          <w:tcPr>
            <w:tcW w:w="5255" w:type="dxa"/>
            <w:noWrap w:val="0"/>
            <w:vAlign w:val="center"/>
          </w:tcPr>
          <w:p w14:paraId="0B396607">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不得为“信用中国”网站(http://www.creditchina.gov.cn)列入“失信被执行人（页面跳转至“中国执行信息公开网”http://zxgk.court.gov.cn/shixin/）、重大税收违法失信主体的供应商；不得为中国政府采购网(http://www.ccgp.gov.cn)“政府采购严重违法失信行为记录名单”中的供应商；</w:t>
            </w:r>
          </w:p>
        </w:tc>
        <w:tc>
          <w:tcPr>
            <w:tcW w:w="1050" w:type="dxa"/>
            <w:noWrap w:val="0"/>
            <w:vAlign w:val="center"/>
          </w:tcPr>
          <w:p w14:paraId="6C8E86B9">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164E0F4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096EC770">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5CD876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705" w:type="dxa"/>
            <w:noWrap w:val="0"/>
            <w:vAlign w:val="center"/>
          </w:tcPr>
          <w:p w14:paraId="2EEC400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10</w:t>
            </w:r>
          </w:p>
        </w:tc>
        <w:tc>
          <w:tcPr>
            <w:tcW w:w="5255" w:type="dxa"/>
            <w:noWrap w:val="0"/>
            <w:vAlign w:val="center"/>
          </w:tcPr>
          <w:p w14:paraId="7BA7AAE8">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本项目不接受联合体谈判</w:t>
            </w:r>
            <w:r>
              <w:rPr>
                <w:rFonts w:hint="eastAsia" w:ascii="宋体" w:hAnsi="宋体" w:eastAsia="宋体" w:cs="宋体"/>
                <w:color w:val="auto"/>
                <w:spacing w:val="0"/>
                <w:kern w:val="2"/>
                <w:sz w:val="24"/>
                <w:szCs w:val="24"/>
                <w:highlight w:val="none"/>
                <w:lang w:eastAsia="zh-CN"/>
              </w:rPr>
              <w:t>；</w:t>
            </w:r>
          </w:p>
        </w:tc>
        <w:tc>
          <w:tcPr>
            <w:tcW w:w="1050" w:type="dxa"/>
            <w:noWrap w:val="0"/>
            <w:vAlign w:val="center"/>
          </w:tcPr>
          <w:p w14:paraId="79AA2B1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464F1884">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4040A981">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23C201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05" w:type="dxa"/>
            <w:noWrap w:val="0"/>
            <w:vAlign w:val="center"/>
          </w:tcPr>
          <w:p w14:paraId="1E751322">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11</w:t>
            </w:r>
          </w:p>
        </w:tc>
        <w:tc>
          <w:tcPr>
            <w:tcW w:w="5255" w:type="dxa"/>
            <w:noWrap w:val="0"/>
            <w:vAlign w:val="center"/>
          </w:tcPr>
          <w:p w14:paraId="5E92490C">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本项目为专门面向中小企业采购项目，需提供中小企业声明函。</w:t>
            </w:r>
          </w:p>
        </w:tc>
        <w:tc>
          <w:tcPr>
            <w:tcW w:w="1050" w:type="dxa"/>
            <w:noWrap w:val="0"/>
            <w:vAlign w:val="center"/>
          </w:tcPr>
          <w:p w14:paraId="0C9025B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6C900EA6">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22FD63D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提供证明</w:t>
            </w:r>
            <w:r>
              <w:rPr>
                <w:rFonts w:hint="eastAsia" w:ascii="宋体" w:hAnsi="宋体" w:eastAsia="宋体" w:cs="宋体"/>
                <w:color w:val="auto"/>
                <w:spacing w:val="0"/>
                <w:kern w:val="2"/>
                <w:sz w:val="24"/>
                <w:szCs w:val="24"/>
                <w:highlight w:val="none"/>
                <w:lang w:eastAsia="zh-CN"/>
              </w:rPr>
              <w:t>材料</w:t>
            </w:r>
          </w:p>
        </w:tc>
      </w:tr>
      <w:tr w14:paraId="0C7CF4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05" w:type="dxa"/>
            <w:noWrap w:val="0"/>
            <w:vAlign w:val="center"/>
          </w:tcPr>
          <w:p w14:paraId="4E16E37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12</w:t>
            </w:r>
          </w:p>
        </w:tc>
        <w:tc>
          <w:tcPr>
            <w:tcW w:w="5255" w:type="dxa"/>
            <w:noWrap w:val="0"/>
            <w:vAlign w:val="center"/>
          </w:tcPr>
          <w:p w14:paraId="5CCA1EEE">
            <w:pPr>
              <w:pStyle w:val="2"/>
              <w:ind w:left="0" w:leftChars="0" w:firstLine="0" w:firstLineChars="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bidi="ar-SA"/>
              </w:rPr>
              <w:t>谈判保证金</w:t>
            </w:r>
          </w:p>
        </w:tc>
        <w:tc>
          <w:tcPr>
            <w:tcW w:w="1050" w:type="dxa"/>
            <w:noWrap w:val="0"/>
            <w:vAlign w:val="center"/>
          </w:tcPr>
          <w:p w14:paraId="4D1BA86F">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合法</w:t>
            </w:r>
          </w:p>
          <w:p w14:paraId="2DC17DBD">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有效</w:t>
            </w:r>
          </w:p>
        </w:tc>
        <w:tc>
          <w:tcPr>
            <w:tcW w:w="1225" w:type="dxa"/>
            <w:noWrap w:val="0"/>
            <w:vAlign w:val="center"/>
          </w:tcPr>
          <w:p w14:paraId="52E644FB">
            <w:pPr>
              <w:keepNext w:val="0"/>
              <w:keepLines w:val="0"/>
              <w:pageBreakBefore w:val="0"/>
              <w:widowControl w:val="0"/>
              <w:tabs>
                <w:tab w:val="left" w:pos="0"/>
              </w:tabs>
              <w:kinsoku/>
              <w:wordWrap w:val="0"/>
              <w:overflowPunct/>
              <w:topLinePunct/>
              <w:autoSpaceDE/>
              <w:autoSpaceDN/>
              <w:bidi w:val="0"/>
              <w:adjustRightInd w:val="0"/>
              <w:snapToGrid w:val="0"/>
              <w:spacing w:line="500" w:lineRule="exact"/>
              <w:ind w:left="0" w:leftChars="0" w:firstLine="0" w:firstLineChars="0"/>
              <w:jc w:val="center"/>
              <w:textAlignment w:val="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提供复印件</w:t>
            </w:r>
          </w:p>
        </w:tc>
      </w:tr>
    </w:tbl>
    <w:p w14:paraId="77621220">
      <w:pPr>
        <w:keepNext w:val="0"/>
        <w:keepLines w:val="0"/>
        <w:pageBreakBefore w:val="0"/>
        <w:widowControl w:val="0"/>
        <w:kinsoku/>
        <w:wordWrap w:val="0"/>
        <w:overflowPunct/>
        <w:topLinePunct/>
        <w:autoSpaceDE/>
        <w:autoSpaceDN/>
        <w:bidi w:val="0"/>
        <w:spacing w:line="360" w:lineRule="auto"/>
        <w:ind w:left="0" w:leftChars="0" w:firstLine="0" w:firstLineChars="0"/>
        <w:rPr>
          <w:rFonts w:hint="eastAsia" w:ascii="宋体" w:hAnsi="宋体" w:eastAsia="宋体" w:cs="宋体"/>
          <w:b/>
          <w:bCs/>
          <w:color w:val="auto"/>
          <w:spacing w:val="0"/>
          <w:kern w:val="2"/>
          <w:sz w:val="24"/>
          <w:szCs w:val="24"/>
          <w:highlight w:val="none"/>
          <w:lang w:eastAsia="zh-CN"/>
        </w:rPr>
      </w:pPr>
      <w:r>
        <w:rPr>
          <w:rFonts w:hint="eastAsia" w:ascii="宋体" w:hAnsi="宋体" w:eastAsia="宋体" w:cs="宋体"/>
          <w:b/>
          <w:bCs/>
          <w:color w:val="auto"/>
          <w:spacing w:val="0"/>
          <w:kern w:val="2"/>
          <w:sz w:val="24"/>
          <w:szCs w:val="24"/>
          <w:highlight w:val="none"/>
        </w:rPr>
        <w:t>响应文件中应附一套完整的资格证明材料，缺少一项或某项达不到谈判文件要求的按无效响应文件处理，复印件加盖供应商单位公章</w:t>
      </w:r>
      <w:r>
        <w:rPr>
          <w:rFonts w:hint="eastAsia" w:ascii="宋体" w:hAnsi="宋体" w:eastAsia="宋体" w:cs="宋体"/>
          <w:b/>
          <w:bCs/>
          <w:color w:val="auto"/>
          <w:spacing w:val="0"/>
          <w:kern w:val="2"/>
          <w:sz w:val="24"/>
          <w:szCs w:val="24"/>
          <w:highlight w:val="none"/>
          <w:lang w:eastAsia="zh-CN"/>
        </w:rPr>
        <w:t>。</w:t>
      </w:r>
    </w:p>
    <w:p w14:paraId="7504AD67">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br w:type="page"/>
      </w:r>
    </w:p>
    <w:p w14:paraId="72129E73">
      <w:pPr>
        <w:keepNext w:val="0"/>
        <w:keepLines w:val="0"/>
        <w:pageBreakBefore w:val="0"/>
        <w:widowControl w:val="0"/>
        <w:numPr>
          <w:ilvl w:val="0"/>
          <w:numId w:val="0"/>
        </w:numPr>
        <w:kinsoku/>
        <w:wordWrap w:val="0"/>
        <w:overflowPunct/>
        <w:topLinePunct/>
        <w:autoSpaceDE/>
        <w:autoSpaceDN/>
        <w:bidi w:val="0"/>
        <w:ind w:leftChars="0"/>
        <w:jc w:val="both"/>
        <w:outlineLvl w:val="9"/>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附件1：</w:t>
      </w:r>
    </w:p>
    <w:p w14:paraId="4D1D2B2E">
      <w:pPr>
        <w:keepNext w:val="0"/>
        <w:keepLines w:val="0"/>
        <w:pageBreakBefore w:val="0"/>
        <w:widowControl w:val="0"/>
        <w:numPr>
          <w:ilvl w:val="0"/>
          <w:numId w:val="0"/>
        </w:numPr>
        <w:kinsoku/>
        <w:wordWrap w:val="0"/>
        <w:overflowPunct/>
        <w:topLinePunct/>
        <w:autoSpaceDE/>
        <w:autoSpaceDN/>
        <w:bidi w:val="0"/>
        <w:ind w:leftChars="0"/>
        <w:jc w:val="center"/>
        <w:outlineLvl w:val="9"/>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法定代表人身份证明书或法定代表人授权委托书</w:t>
      </w:r>
    </w:p>
    <w:p w14:paraId="3BF94A1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法定代表人身份证明</w:t>
      </w:r>
    </w:p>
    <w:p w14:paraId="73225289">
      <w:pPr>
        <w:keepNext w:val="0"/>
        <w:keepLines w:val="0"/>
        <w:pageBreakBefore w:val="0"/>
        <w:widowControl w:val="0"/>
        <w:kinsoku/>
        <w:wordWrap w:val="0"/>
        <w:overflowPunct/>
        <w:topLinePunct/>
        <w:autoSpaceDE/>
        <w:autoSpaceDN/>
        <w:bidi w:val="0"/>
        <w:snapToGrid w:val="0"/>
        <w:spacing w:line="480" w:lineRule="auto"/>
        <w:rPr>
          <w:rFonts w:hint="eastAsia" w:ascii="宋体" w:hAnsi="宋体" w:eastAsia="宋体" w:cs="宋体"/>
          <w:color w:val="auto"/>
          <w:spacing w:val="0"/>
          <w:kern w:val="2"/>
          <w:sz w:val="24"/>
          <w:szCs w:val="24"/>
          <w:highlight w:val="none"/>
        </w:rPr>
      </w:pPr>
    </w:p>
    <w:p w14:paraId="4F1012CC">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供应商名称：</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p w14:paraId="06CDD30F">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统一社会信用代码：</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p>
    <w:p w14:paraId="02914C25">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姓名：</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性别：</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 xml:space="preserve"> 年龄：</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职务：</w:t>
      </w:r>
      <w:r>
        <w:rPr>
          <w:rFonts w:hint="eastAsia" w:ascii="宋体" w:hAnsi="宋体" w:eastAsia="宋体" w:cs="宋体"/>
          <w:color w:val="auto"/>
          <w:spacing w:val="0"/>
          <w:kern w:val="2"/>
          <w:sz w:val="24"/>
          <w:szCs w:val="24"/>
          <w:highlight w:val="none"/>
          <w:u w:val="single"/>
        </w:rPr>
        <w:t xml:space="preserve">         </w:t>
      </w:r>
    </w:p>
    <w:p w14:paraId="1F85BD6B">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系</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（供应商名称）的法定代表人。</w:t>
      </w:r>
    </w:p>
    <w:p w14:paraId="38BB2761">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特此证明。</w:t>
      </w:r>
    </w:p>
    <w:p w14:paraId="78138F34">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附：法定代表人身份证复印件</w:t>
      </w:r>
    </w:p>
    <w:p w14:paraId="70613ACB">
      <w:pPr>
        <w:keepNext w:val="0"/>
        <w:keepLines w:val="0"/>
        <w:pageBreakBefore w:val="0"/>
        <w:widowControl w:val="0"/>
        <w:kinsoku/>
        <w:wordWrap w:val="0"/>
        <w:overflowPunct/>
        <w:topLinePunct/>
        <w:autoSpaceDE/>
        <w:autoSpaceDN/>
        <w:bidi w:val="0"/>
        <w:snapToGrid w:val="0"/>
        <w:spacing w:line="480" w:lineRule="auto"/>
        <w:rPr>
          <w:rFonts w:hint="eastAsia" w:ascii="宋体" w:hAnsi="宋体" w:eastAsia="宋体" w:cs="宋体"/>
          <w:color w:val="auto"/>
          <w:spacing w:val="0"/>
          <w:kern w:val="2"/>
          <w:sz w:val="24"/>
          <w:szCs w:val="24"/>
          <w:highlight w:val="none"/>
        </w:rPr>
      </w:pPr>
    </w:p>
    <w:tbl>
      <w:tblPr>
        <w:tblStyle w:val="2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6"/>
      </w:tblGrid>
      <w:tr w14:paraId="5232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7036" w:type="dxa"/>
            <w:noWrap w:val="0"/>
            <w:vAlign w:val="center"/>
          </w:tcPr>
          <w:p w14:paraId="530875F0">
            <w:pPr>
              <w:keepNext w:val="0"/>
              <w:keepLines w:val="0"/>
              <w:pageBreakBefore w:val="0"/>
              <w:widowControl w:val="0"/>
              <w:kinsoku/>
              <w:wordWrap w:val="0"/>
              <w:overflowPunct/>
              <w:topLinePunct/>
              <w:autoSpaceDE/>
              <w:autoSpaceDN/>
              <w:bidi w:val="0"/>
              <w:snapToGrid w:val="0"/>
              <w:spacing w:line="480" w:lineRule="auto"/>
              <w:jc w:val="center"/>
              <w:rPr>
                <w:rFonts w:hint="eastAsia" w:ascii="宋体" w:hAnsi="宋体" w:eastAsia="宋体" w:cs="宋体"/>
                <w:color w:val="auto"/>
                <w:spacing w:val="0"/>
                <w:kern w:val="2"/>
                <w:sz w:val="24"/>
                <w:szCs w:val="24"/>
                <w:highlight w:val="none"/>
              </w:rPr>
            </w:pPr>
          </w:p>
          <w:p w14:paraId="343E5156">
            <w:pPr>
              <w:keepNext w:val="0"/>
              <w:keepLines w:val="0"/>
              <w:pageBreakBefore w:val="0"/>
              <w:widowControl w:val="0"/>
              <w:kinsoku/>
              <w:wordWrap w:val="0"/>
              <w:overflowPunct/>
              <w:topLinePunct/>
              <w:autoSpaceDE/>
              <w:autoSpaceDN/>
              <w:bidi w:val="0"/>
              <w:snapToGrid w:val="0"/>
              <w:spacing w:line="480" w:lineRule="auto"/>
              <w:jc w:val="center"/>
              <w:rPr>
                <w:rFonts w:hint="eastAsia" w:ascii="宋体" w:hAnsi="宋体" w:eastAsia="宋体" w:cs="宋体"/>
                <w:color w:val="auto"/>
                <w:spacing w:val="0"/>
                <w:kern w:val="2"/>
                <w:sz w:val="24"/>
                <w:szCs w:val="24"/>
                <w:highlight w:val="none"/>
              </w:rPr>
            </w:pPr>
          </w:p>
          <w:p w14:paraId="66AE154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法定代表人身份证正</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rPr>
              <w:t>反面复印件</w:t>
            </w:r>
          </w:p>
          <w:p w14:paraId="1745884F">
            <w:pPr>
              <w:keepNext w:val="0"/>
              <w:keepLines w:val="0"/>
              <w:pageBreakBefore w:val="0"/>
              <w:widowControl w:val="0"/>
              <w:kinsoku/>
              <w:wordWrap w:val="0"/>
              <w:overflowPunct/>
              <w:topLinePunct/>
              <w:autoSpaceDE/>
              <w:autoSpaceDN/>
              <w:bidi w:val="0"/>
              <w:snapToGrid w:val="0"/>
              <w:spacing w:line="480" w:lineRule="auto"/>
              <w:jc w:val="center"/>
              <w:rPr>
                <w:rFonts w:hint="eastAsia" w:ascii="宋体" w:hAnsi="宋体" w:eastAsia="宋体" w:cs="宋体"/>
                <w:color w:val="auto"/>
                <w:spacing w:val="0"/>
                <w:kern w:val="2"/>
                <w:sz w:val="24"/>
                <w:szCs w:val="24"/>
                <w:highlight w:val="none"/>
              </w:rPr>
            </w:pPr>
          </w:p>
          <w:p w14:paraId="7EB37B04">
            <w:pPr>
              <w:keepNext w:val="0"/>
              <w:keepLines w:val="0"/>
              <w:pageBreakBefore w:val="0"/>
              <w:widowControl w:val="0"/>
              <w:kinsoku/>
              <w:wordWrap w:val="0"/>
              <w:overflowPunct/>
              <w:topLinePunct/>
              <w:autoSpaceDE/>
              <w:autoSpaceDN/>
              <w:bidi w:val="0"/>
              <w:snapToGrid w:val="0"/>
              <w:spacing w:line="480" w:lineRule="auto"/>
              <w:jc w:val="center"/>
              <w:rPr>
                <w:rFonts w:hint="eastAsia" w:ascii="宋体" w:hAnsi="宋体" w:eastAsia="宋体" w:cs="宋体"/>
                <w:color w:val="auto"/>
                <w:spacing w:val="0"/>
                <w:kern w:val="2"/>
                <w:sz w:val="24"/>
                <w:szCs w:val="24"/>
                <w:highlight w:val="none"/>
              </w:rPr>
            </w:pPr>
          </w:p>
        </w:tc>
      </w:tr>
    </w:tbl>
    <w:p w14:paraId="0578510B">
      <w:pPr>
        <w:keepNext w:val="0"/>
        <w:keepLines w:val="0"/>
        <w:pageBreakBefore w:val="0"/>
        <w:widowControl w:val="0"/>
        <w:kinsoku/>
        <w:wordWrap w:val="0"/>
        <w:overflowPunct/>
        <w:topLinePunct/>
        <w:autoSpaceDE/>
        <w:autoSpaceDN/>
        <w:bidi w:val="0"/>
        <w:snapToGrid w:val="0"/>
        <w:spacing w:line="480" w:lineRule="auto"/>
        <w:rPr>
          <w:rFonts w:hint="eastAsia" w:ascii="宋体" w:hAnsi="宋体" w:eastAsia="宋体" w:cs="宋体"/>
          <w:color w:val="auto"/>
          <w:spacing w:val="0"/>
          <w:kern w:val="2"/>
          <w:sz w:val="24"/>
          <w:szCs w:val="24"/>
          <w:highlight w:val="none"/>
        </w:rPr>
      </w:pPr>
    </w:p>
    <w:p w14:paraId="72F3A71A">
      <w:pPr>
        <w:keepNext w:val="0"/>
        <w:keepLines w:val="0"/>
        <w:pageBreakBefore w:val="0"/>
        <w:widowControl w:val="0"/>
        <w:kinsoku/>
        <w:wordWrap w:val="0"/>
        <w:overflowPunct/>
        <w:topLinePunct/>
        <w:autoSpaceDE/>
        <w:autoSpaceDN/>
        <w:bidi w:val="0"/>
        <w:adjustRightInd w:val="0"/>
        <w:snapToGrid w:val="0"/>
        <w:spacing w:line="360" w:lineRule="auto"/>
        <w:ind w:left="0" w:leftChars="0" w:right="420" w:firstLine="0" w:firstLineChars="0"/>
        <w:rPr>
          <w:rFonts w:hint="eastAsia" w:ascii="宋体" w:hAnsi="宋体" w:eastAsia="宋体" w:cs="宋体"/>
          <w:color w:val="auto"/>
          <w:spacing w:val="0"/>
          <w:kern w:val="2"/>
          <w:sz w:val="24"/>
          <w:szCs w:val="24"/>
          <w:highlight w:val="none"/>
        </w:rPr>
      </w:pPr>
    </w:p>
    <w:p w14:paraId="1B1EF3BD">
      <w:pPr>
        <w:keepNext w:val="0"/>
        <w:keepLines w:val="0"/>
        <w:pageBreakBefore w:val="0"/>
        <w:widowControl w:val="0"/>
        <w:kinsoku/>
        <w:wordWrap w:val="0"/>
        <w:overflowPunct/>
        <w:topLinePunct/>
        <w:autoSpaceDE/>
        <w:autoSpaceDN/>
        <w:bidi w:val="0"/>
        <w:adjustRightInd w:val="0"/>
        <w:snapToGrid w:val="0"/>
        <w:spacing w:line="360" w:lineRule="auto"/>
        <w:ind w:right="42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供应商名称：</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（盖单位章）</w:t>
      </w:r>
    </w:p>
    <w:p w14:paraId="4EF27137">
      <w:pPr>
        <w:keepNext w:val="0"/>
        <w:keepLines w:val="0"/>
        <w:pageBreakBefore w:val="0"/>
        <w:widowControl w:val="0"/>
        <w:kinsoku/>
        <w:wordWrap w:val="0"/>
        <w:overflowPunct/>
        <w:topLinePunct/>
        <w:autoSpaceDE/>
        <w:autoSpaceDN/>
        <w:bidi w:val="0"/>
        <w:adjustRightInd w:val="0"/>
        <w:snapToGrid w:val="0"/>
        <w:spacing w:line="360" w:lineRule="auto"/>
        <w:ind w:right="420" w:firstLine="5520" w:firstLineChars="2300"/>
        <w:rPr>
          <w:rFonts w:hint="eastAsia" w:ascii="宋体" w:hAnsi="宋体" w:eastAsia="宋体" w:cs="宋体"/>
          <w:color w:val="auto"/>
          <w:spacing w:val="0"/>
          <w:kern w:val="2"/>
          <w:sz w:val="24"/>
          <w:szCs w:val="24"/>
          <w:highlight w:val="none"/>
        </w:rPr>
      </w:pPr>
    </w:p>
    <w:p w14:paraId="5DDE13AE">
      <w:pPr>
        <w:keepNext w:val="0"/>
        <w:keepLines w:val="0"/>
        <w:pageBreakBefore w:val="0"/>
        <w:widowControl w:val="0"/>
        <w:kinsoku/>
        <w:wordWrap w:val="0"/>
        <w:overflowPunct/>
        <w:topLinePunct/>
        <w:autoSpaceDE/>
        <w:autoSpaceDN/>
        <w:bidi w:val="0"/>
        <w:spacing w:line="240" w:lineRule="auto"/>
        <w:rPr>
          <w:rFonts w:hint="eastAsia" w:ascii="宋体" w:hAnsi="宋体" w:eastAsia="宋体" w:cs="宋体"/>
          <w:color w:val="auto"/>
          <w:spacing w:val="0"/>
          <w:kern w:val="2"/>
          <w:sz w:val="24"/>
          <w:szCs w:val="24"/>
          <w:highlight w:val="none"/>
          <w:lang w:val="zh-CN"/>
        </w:rPr>
      </w:pPr>
      <w:r>
        <w:rPr>
          <w:rFonts w:hint="eastAsia" w:ascii="宋体" w:hAnsi="宋体" w:eastAsia="宋体" w:cs="宋体"/>
          <w:color w:val="auto"/>
          <w:spacing w:val="0"/>
          <w:kern w:val="2"/>
          <w:sz w:val="24"/>
          <w:szCs w:val="24"/>
          <w:highlight w:val="none"/>
        </w:rPr>
        <w:t>日期：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63592B64">
      <w:pPr>
        <w:keepNext w:val="0"/>
        <w:keepLines w:val="0"/>
        <w:pageBreakBefore w:val="0"/>
        <w:widowControl w:val="0"/>
        <w:kinsoku/>
        <w:wordWrap w:val="0"/>
        <w:overflowPunct/>
        <w:topLinePunct/>
        <w:autoSpaceDE/>
        <w:autoSpaceDN/>
        <w:bidi w:val="0"/>
        <w:adjustRightInd w:val="0"/>
        <w:snapToGrid w:val="0"/>
        <w:spacing w:line="360" w:lineRule="auto"/>
        <w:ind w:right="420" w:firstLine="4860" w:firstLineChars="2025"/>
        <w:rPr>
          <w:rFonts w:hint="eastAsia" w:ascii="宋体" w:hAnsi="宋体" w:eastAsia="宋体" w:cs="宋体"/>
          <w:color w:val="auto"/>
          <w:spacing w:val="0"/>
          <w:kern w:val="2"/>
          <w:sz w:val="24"/>
          <w:szCs w:val="24"/>
          <w:highlight w:val="none"/>
        </w:rPr>
      </w:pPr>
    </w:p>
    <w:p w14:paraId="27A5EB1D">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br w:type="page"/>
      </w:r>
    </w:p>
    <w:p w14:paraId="12A83DCF">
      <w:pPr>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授权委托书</w:t>
      </w:r>
    </w:p>
    <w:p w14:paraId="45F92738">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本人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（姓名）系</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（供应商名称）的法定代表人（单位负责人），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现委托</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（姓名）为我方代理人。代理人根据授权，以我方的名义签署、澄清确认、递交、撤回、修改</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（项目名称）响应文件、签订合同和全权处理一切与之有关的事宜，</w:t>
      </w:r>
      <w:r>
        <w:rPr>
          <w:rFonts w:hint="eastAsia" w:ascii="宋体" w:hAnsi="宋体" w:eastAsia="宋体" w:cs="宋体"/>
          <w:color w:val="auto"/>
          <w:spacing w:val="0"/>
          <w:kern w:val="2"/>
          <w:sz w:val="24"/>
          <w:szCs w:val="24"/>
          <w:highlight w:val="none"/>
        </w:rPr>
        <w:t>其法律后果由我方承担。</w:t>
      </w:r>
    </w:p>
    <w:p w14:paraId="7103E417">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委托期限</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en-US" w:eastAsia="zh-CN"/>
        </w:rPr>
        <w:t>自谈判响应截止之日起90日历天</w:t>
      </w:r>
      <w:r>
        <w:rPr>
          <w:rFonts w:hint="eastAsia" w:ascii="宋体" w:hAnsi="宋体" w:eastAsia="宋体" w:cs="宋体"/>
          <w:color w:val="auto"/>
          <w:spacing w:val="0"/>
          <w:kern w:val="2"/>
          <w:sz w:val="24"/>
          <w:szCs w:val="24"/>
          <w:highlight w:val="none"/>
          <w:lang w:val="zh-CN"/>
        </w:rPr>
        <w:t>。</w:t>
      </w:r>
    </w:p>
    <w:p w14:paraId="014D033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b/>
          <w:bCs/>
          <w:color w:val="auto"/>
          <w:spacing w:val="0"/>
          <w:kern w:val="2"/>
          <w:sz w:val="24"/>
          <w:szCs w:val="24"/>
          <w:highlight w:val="none"/>
        </w:rPr>
      </w:pPr>
      <w:r>
        <w:rPr>
          <w:rFonts w:hint="eastAsia" w:ascii="宋体" w:hAnsi="宋体" w:eastAsia="宋体" w:cs="宋体"/>
          <w:color w:val="auto"/>
          <w:spacing w:val="0"/>
          <w:kern w:val="2"/>
          <w:sz w:val="24"/>
          <w:szCs w:val="24"/>
          <w:highlight w:val="none"/>
        </w:rPr>
        <w:t>代理人无转委托权。</w:t>
      </w:r>
    </w:p>
    <w:p w14:paraId="0BB21BE7">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u w:val="single"/>
        </w:rPr>
      </w:pPr>
      <w:r>
        <w:rPr>
          <w:rFonts w:hint="eastAsia" w:ascii="宋体" w:hAnsi="宋体" w:eastAsia="宋体" w:cs="宋体"/>
          <w:color w:val="auto"/>
          <w:spacing w:val="0"/>
          <w:kern w:val="2"/>
          <w:sz w:val="24"/>
          <w:szCs w:val="24"/>
          <w:highlight w:val="none"/>
          <w:lang w:val="zh-CN"/>
        </w:rPr>
        <w:t>附：法定代表人（单位负责人）身份证复印件</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val="zh-CN"/>
        </w:rPr>
        <w:t>委托代理人身份证复印件</w:t>
      </w:r>
    </w:p>
    <w:tbl>
      <w:tblPr>
        <w:tblStyle w:val="29"/>
        <w:tblW w:w="0" w:type="auto"/>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060"/>
      </w:tblGrid>
      <w:tr w14:paraId="136E33A9">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196"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73D1C468">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法定代表人身份证复印件（正</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反</w:t>
            </w:r>
            <w:r>
              <w:rPr>
                <w:rFonts w:hint="eastAsia" w:ascii="宋体" w:hAnsi="宋体" w:eastAsia="宋体" w:cs="宋体"/>
                <w:color w:val="auto"/>
                <w:spacing w:val="0"/>
                <w:kern w:val="2"/>
                <w:sz w:val="24"/>
                <w:szCs w:val="24"/>
                <w:highlight w:val="none"/>
              </w:rPr>
              <w:t>面）</w:t>
            </w:r>
          </w:p>
          <w:p w14:paraId="0AA31FCE">
            <w:pPr>
              <w:keepNext w:val="0"/>
              <w:keepLines w:val="0"/>
              <w:pageBreakBefore w:val="0"/>
              <w:widowControl w:val="0"/>
              <w:kinsoku/>
              <w:wordWrap w:val="0"/>
              <w:overflowPunct/>
              <w:topLinePunct/>
              <w:autoSpaceDE/>
              <w:autoSpaceDN/>
              <w:bidi w:val="0"/>
              <w:adjustRightInd w:val="0"/>
              <w:snapToGrid w:val="0"/>
              <w:rPr>
                <w:rFonts w:hint="eastAsia" w:ascii="宋体" w:hAnsi="宋体" w:eastAsia="宋体" w:cs="宋体"/>
                <w:color w:val="auto"/>
                <w:spacing w:val="0"/>
                <w:kern w:val="2"/>
                <w:sz w:val="24"/>
                <w:szCs w:val="24"/>
                <w:highlight w:val="none"/>
              </w:rPr>
            </w:pPr>
          </w:p>
        </w:tc>
      </w:tr>
      <w:tr w14:paraId="6DCC734F">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223"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7D932BE9">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委托代理人身份证复印件（正</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反</w:t>
            </w:r>
            <w:r>
              <w:rPr>
                <w:rFonts w:hint="eastAsia" w:ascii="宋体" w:hAnsi="宋体" w:eastAsia="宋体" w:cs="宋体"/>
                <w:color w:val="auto"/>
                <w:spacing w:val="0"/>
                <w:kern w:val="2"/>
                <w:sz w:val="24"/>
                <w:szCs w:val="24"/>
                <w:highlight w:val="none"/>
              </w:rPr>
              <w:t>面）</w:t>
            </w:r>
          </w:p>
          <w:p w14:paraId="133D1B62">
            <w:pPr>
              <w:keepNext w:val="0"/>
              <w:keepLines w:val="0"/>
              <w:pageBreakBefore w:val="0"/>
              <w:widowControl w:val="0"/>
              <w:kinsoku/>
              <w:wordWrap w:val="0"/>
              <w:overflowPunct/>
              <w:topLinePunct/>
              <w:autoSpaceDE/>
              <w:autoSpaceDN/>
              <w:bidi w:val="0"/>
              <w:adjustRightInd w:val="0"/>
              <w:snapToGrid w:val="0"/>
              <w:rPr>
                <w:rFonts w:hint="eastAsia" w:ascii="宋体" w:hAnsi="宋体" w:eastAsia="宋体" w:cs="宋体"/>
                <w:color w:val="auto"/>
                <w:spacing w:val="0"/>
                <w:kern w:val="2"/>
                <w:sz w:val="24"/>
                <w:szCs w:val="24"/>
                <w:highlight w:val="none"/>
              </w:rPr>
            </w:pPr>
          </w:p>
        </w:tc>
      </w:tr>
    </w:tbl>
    <w:p w14:paraId="6B7FDB55">
      <w:pPr>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color w:val="auto"/>
          <w:spacing w:val="0"/>
          <w:kern w:val="2"/>
          <w:sz w:val="24"/>
          <w:szCs w:val="24"/>
          <w:highlight w:val="none"/>
        </w:rPr>
      </w:pPr>
    </w:p>
    <w:p w14:paraId="07DDA719">
      <w:pPr>
        <w:keepNext w:val="0"/>
        <w:keepLines w:val="0"/>
        <w:pageBreakBefore w:val="0"/>
        <w:widowControl w:val="0"/>
        <w:kinsoku/>
        <w:wordWrap w:val="0"/>
        <w:overflowPunct/>
        <w:topLinePunct/>
        <w:autoSpaceDE/>
        <w:autoSpaceDN/>
        <w:bidi w:val="0"/>
        <w:spacing w:line="240" w:lineRule="auto"/>
        <w:ind w:firstLine="3240" w:firstLineChars="13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  应  商：</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（盖单位章） </w:t>
      </w:r>
    </w:p>
    <w:p w14:paraId="6271046D">
      <w:pPr>
        <w:keepNext w:val="0"/>
        <w:keepLines w:val="0"/>
        <w:pageBreakBefore w:val="0"/>
        <w:widowControl w:val="0"/>
        <w:kinsoku/>
        <w:wordWrap w:val="0"/>
        <w:overflowPunct/>
        <w:topLinePunct/>
        <w:autoSpaceDE/>
        <w:autoSpaceDN/>
        <w:bidi w:val="0"/>
        <w:spacing w:line="240" w:lineRule="auto"/>
        <w:ind w:firstLine="3240" w:firstLineChars="13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法定代表人（单位负责人）: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（签名）</w:t>
      </w:r>
    </w:p>
    <w:p w14:paraId="3CD108BC">
      <w:pPr>
        <w:keepNext w:val="0"/>
        <w:keepLines w:val="0"/>
        <w:pageBreakBefore w:val="0"/>
        <w:widowControl w:val="0"/>
        <w:kinsoku/>
        <w:wordWrap w:val="0"/>
        <w:overflowPunct/>
        <w:topLinePunct/>
        <w:autoSpaceDE/>
        <w:autoSpaceDN/>
        <w:bidi w:val="0"/>
        <w:spacing w:line="240" w:lineRule="auto"/>
        <w:rPr>
          <w:rFonts w:hint="eastAsia" w:ascii="宋体" w:hAnsi="宋体" w:eastAsia="宋体" w:cs="宋体"/>
          <w:color w:val="auto"/>
          <w:spacing w:val="0"/>
          <w:kern w:val="2"/>
          <w:sz w:val="24"/>
          <w:szCs w:val="24"/>
          <w:highlight w:val="none"/>
        </w:rPr>
      </w:pPr>
    </w:p>
    <w:p w14:paraId="221CF293">
      <w:pPr>
        <w:keepNext w:val="0"/>
        <w:keepLines w:val="0"/>
        <w:pageBreakBefore w:val="0"/>
        <w:widowControl w:val="0"/>
        <w:kinsoku/>
        <w:wordWrap w:val="0"/>
        <w:overflowPunct/>
        <w:topLinePunct/>
        <w:autoSpaceDE/>
        <w:autoSpaceDN/>
        <w:bidi w:val="0"/>
        <w:spacing w:line="240" w:lineRule="auto"/>
        <w:ind w:firstLine="3240" w:firstLineChars="1350"/>
        <w:jc w:val="left"/>
        <w:rPr>
          <w:rFonts w:hint="eastAsia" w:ascii="宋体" w:hAnsi="宋体" w:eastAsia="宋体" w:cs="宋体"/>
          <w:color w:val="auto"/>
          <w:spacing w:val="0"/>
          <w:kern w:val="2"/>
          <w:sz w:val="24"/>
          <w:szCs w:val="24"/>
          <w:highlight w:val="none"/>
          <w:u w:val="single"/>
        </w:rPr>
      </w:pPr>
      <w:r>
        <w:rPr>
          <w:rFonts w:hint="eastAsia" w:ascii="宋体" w:hAnsi="宋体" w:eastAsia="宋体" w:cs="宋体"/>
          <w:color w:val="auto"/>
          <w:spacing w:val="0"/>
          <w:kern w:val="2"/>
          <w:sz w:val="24"/>
          <w:szCs w:val="24"/>
          <w:highlight w:val="none"/>
        </w:rPr>
        <w:t>身 份 证 号：</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p>
    <w:p w14:paraId="36332F1D">
      <w:pPr>
        <w:keepNext w:val="0"/>
        <w:keepLines w:val="0"/>
        <w:pageBreakBefore w:val="0"/>
        <w:widowControl w:val="0"/>
        <w:kinsoku/>
        <w:wordWrap w:val="0"/>
        <w:overflowPunct/>
        <w:topLinePunct/>
        <w:autoSpaceDE/>
        <w:autoSpaceDN/>
        <w:bidi w:val="0"/>
        <w:spacing w:line="240" w:lineRule="auto"/>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 xml:space="preserve"> </w:t>
      </w:r>
    </w:p>
    <w:p w14:paraId="3AE41148">
      <w:pPr>
        <w:keepNext w:val="0"/>
        <w:keepLines w:val="0"/>
        <w:pageBreakBefore w:val="0"/>
        <w:widowControl w:val="0"/>
        <w:kinsoku/>
        <w:wordWrap w:val="0"/>
        <w:overflowPunct/>
        <w:topLinePunct/>
        <w:autoSpaceDE/>
        <w:autoSpaceDN/>
        <w:bidi w:val="0"/>
        <w:spacing w:line="240" w:lineRule="auto"/>
        <w:ind w:firstLine="3240" w:firstLineChars="13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委托代理人：</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p>
    <w:p w14:paraId="02C3F86C">
      <w:pPr>
        <w:keepNext w:val="0"/>
        <w:keepLines w:val="0"/>
        <w:pageBreakBefore w:val="0"/>
        <w:widowControl w:val="0"/>
        <w:kinsoku/>
        <w:wordWrap w:val="0"/>
        <w:overflowPunct/>
        <w:topLinePunct/>
        <w:autoSpaceDE/>
        <w:autoSpaceDN/>
        <w:bidi w:val="0"/>
        <w:spacing w:line="240" w:lineRule="auto"/>
        <w:jc w:val="left"/>
        <w:rPr>
          <w:rFonts w:hint="eastAsia" w:ascii="宋体" w:hAnsi="宋体" w:eastAsia="宋体" w:cs="宋体"/>
          <w:color w:val="auto"/>
          <w:spacing w:val="0"/>
          <w:kern w:val="2"/>
          <w:sz w:val="24"/>
          <w:szCs w:val="24"/>
          <w:highlight w:val="none"/>
        </w:rPr>
      </w:pPr>
    </w:p>
    <w:p w14:paraId="126EC65F">
      <w:pPr>
        <w:keepNext w:val="0"/>
        <w:keepLines w:val="0"/>
        <w:pageBreakBefore w:val="0"/>
        <w:widowControl w:val="0"/>
        <w:kinsoku/>
        <w:wordWrap w:val="0"/>
        <w:overflowPunct/>
        <w:topLinePunct/>
        <w:autoSpaceDE/>
        <w:autoSpaceDN/>
        <w:bidi w:val="0"/>
        <w:spacing w:line="240" w:lineRule="auto"/>
        <w:ind w:firstLine="3240" w:firstLineChars="1350"/>
        <w:jc w:val="left"/>
        <w:rPr>
          <w:rFonts w:hint="eastAsia" w:ascii="宋体" w:hAnsi="宋体" w:eastAsia="宋体" w:cs="宋体"/>
          <w:color w:val="auto"/>
          <w:spacing w:val="0"/>
          <w:kern w:val="2"/>
          <w:sz w:val="24"/>
          <w:szCs w:val="24"/>
          <w:highlight w:val="none"/>
          <w:u w:val="single"/>
        </w:rPr>
      </w:pPr>
      <w:r>
        <w:rPr>
          <w:rFonts w:hint="eastAsia" w:ascii="宋体" w:hAnsi="宋体" w:eastAsia="宋体" w:cs="宋体"/>
          <w:color w:val="auto"/>
          <w:spacing w:val="0"/>
          <w:kern w:val="2"/>
          <w:sz w:val="24"/>
          <w:szCs w:val="24"/>
          <w:highlight w:val="none"/>
        </w:rPr>
        <w:t>身 份 证 号：</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p>
    <w:p w14:paraId="174123B2">
      <w:pPr>
        <w:keepNext w:val="0"/>
        <w:keepLines w:val="0"/>
        <w:pageBreakBefore w:val="0"/>
        <w:widowControl w:val="0"/>
        <w:kinsoku/>
        <w:wordWrap w:val="0"/>
        <w:overflowPunct/>
        <w:topLinePunct/>
        <w:autoSpaceDE/>
        <w:autoSpaceDN/>
        <w:bidi w:val="0"/>
        <w:spacing w:line="240" w:lineRule="auto"/>
        <w:rPr>
          <w:rFonts w:hint="eastAsia" w:ascii="宋体" w:hAnsi="宋体" w:eastAsia="宋体" w:cs="宋体"/>
          <w:color w:val="auto"/>
          <w:spacing w:val="0"/>
          <w:kern w:val="2"/>
          <w:sz w:val="24"/>
          <w:szCs w:val="24"/>
          <w:highlight w:val="none"/>
        </w:rPr>
      </w:pPr>
    </w:p>
    <w:p w14:paraId="0EEFAF23">
      <w:pPr>
        <w:keepNext w:val="0"/>
        <w:keepLines w:val="0"/>
        <w:pageBreakBefore w:val="0"/>
        <w:widowControl w:val="0"/>
        <w:kinsoku/>
        <w:wordWrap w:val="0"/>
        <w:overflowPunct/>
        <w:topLinePunct/>
        <w:autoSpaceDE/>
        <w:autoSpaceDN/>
        <w:bidi w:val="0"/>
        <w:spacing w:line="240" w:lineRule="auto"/>
        <w:ind w:firstLine="3120" w:firstLineChars="1300"/>
        <w:rPr>
          <w:rFonts w:hint="eastAsia" w:ascii="宋体" w:hAnsi="宋体" w:eastAsia="宋体" w:cs="宋体"/>
          <w:color w:val="auto"/>
          <w:spacing w:val="0"/>
          <w:kern w:val="2"/>
          <w:sz w:val="24"/>
          <w:szCs w:val="24"/>
          <w:highlight w:val="none"/>
          <w:lang w:val="zh-CN"/>
        </w:rPr>
      </w:pPr>
      <w:r>
        <w:rPr>
          <w:rFonts w:hint="eastAsia" w:ascii="宋体" w:hAnsi="宋体" w:eastAsia="宋体" w:cs="宋体"/>
          <w:color w:val="auto"/>
          <w:spacing w:val="0"/>
          <w:kern w:val="2"/>
          <w:sz w:val="24"/>
          <w:szCs w:val="24"/>
          <w:highlight w:val="none"/>
        </w:rPr>
        <w:t xml:space="preserve"> 授权委托日期：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61698EE9">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br w:type="page"/>
      </w:r>
    </w:p>
    <w:p w14:paraId="34DBA090">
      <w:pPr>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jc w:val="both"/>
        <w:textAlignment w:val="auto"/>
        <w:outlineLvl w:val="9"/>
        <w:rPr>
          <w:rFonts w:hint="eastAsia" w:ascii="宋体" w:hAnsi="宋体" w:eastAsia="宋体" w:cs="宋体"/>
          <w:b/>
          <w:bCs w:val="0"/>
          <w:caps w:val="0"/>
          <w:color w:val="auto"/>
          <w:spacing w:val="0"/>
          <w:kern w:val="2"/>
          <w:position w:val="0"/>
          <w:sz w:val="24"/>
          <w:szCs w:val="24"/>
          <w:highlight w:val="none"/>
          <w:lang w:val="en-US" w:eastAsia="zh-CN"/>
        </w:rPr>
      </w:pPr>
      <w:r>
        <w:rPr>
          <w:rFonts w:hint="eastAsia" w:ascii="宋体" w:hAnsi="宋体" w:eastAsia="宋体" w:cs="宋体"/>
          <w:b/>
          <w:bCs/>
          <w:caps w:val="0"/>
          <w:color w:val="auto"/>
          <w:spacing w:val="0"/>
          <w:kern w:val="2"/>
          <w:position w:val="0"/>
          <w:sz w:val="24"/>
          <w:szCs w:val="24"/>
          <w:highlight w:val="none"/>
          <w:lang w:val="en-US" w:eastAsia="zh-CN" w:bidi="ar-SA"/>
        </w:rPr>
        <w:t>附件2</w:t>
      </w:r>
    </w:p>
    <w:p w14:paraId="6A7F6EBA">
      <w:pPr>
        <w:keepNext w:val="0"/>
        <w:keepLines w:val="0"/>
        <w:pageBreakBefore w:val="0"/>
        <w:widowControl w:val="0"/>
        <w:kinsoku/>
        <w:wordWrap/>
        <w:overflowPunct/>
        <w:topLinePunct w:val="0"/>
        <w:autoSpaceDE/>
        <w:autoSpaceDN/>
        <w:bidi w:val="0"/>
        <w:adjustRightInd/>
        <w:snapToGrid w:val="0"/>
        <w:spacing w:line="520" w:lineRule="exact"/>
        <w:ind w:firstLine="482" w:firstLineChars="200"/>
        <w:jc w:val="center"/>
        <w:textAlignment w:val="auto"/>
        <w:outlineLvl w:val="9"/>
        <w:rPr>
          <w:rFonts w:hint="eastAsia" w:ascii="宋体" w:hAnsi="宋体" w:eastAsia="宋体" w:cs="宋体"/>
          <w:bCs/>
          <w:caps w:val="0"/>
          <w:color w:val="auto"/>
          <w:spacing w:val="0"/>
          <w:kern w:val="2"/>
          <w:position w:val="0"/>
          <w:sz w:val="24"/>
          <w:szCs w:val="24"/>
          <w:highlight w:val="none"/>
          <w:lang w:val="en-US" w:eastAsia="zh-CN"/>
        </w:rPr>
      </w:pPr>
      <w:r>
        <w:rPr>
          <w:rFonts w:hint="eastAsia" w:ascii="宋体" w:hAnsi="宋体" w:eastAsia="宋体" w:cs="宋体"/>
          <w:b/>
          <w:bCs w:val="0"/>
          <w:caps w:val="0"/>
          <w:color w:val="auto"/>
          <w:spacing w:val="0"/>
          <w:kern w:val="2"/>
          <w:position w:val="0"/>
          <w:sz w:val="24"/>
          <w:szCs w:val="24"/>
          <w:highlight w:val="none"/>
          <w:lang w:val="en-US" w:eastAsia="zh-CN"/>
        </w:rPr>
        <w:t>投标保证金</w:t>
      </w:r>
    </w:p>
    <w:p w14:paraId="6D2E094C">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outlineLvl w:val="9"/>
        <w:rPr>
          <w:rFonts w:hint="eastAsia" w:ascii="宋体" w:hAnsi="宋体" w:eastAsia="宋体" w:cs="宋体"/>
          <w:caps w:val="0"/>
          <w:spacing w:val="0"/>
          <w:kern w:val="2"/>
          <w:position w:val="0"/>
          <w:sz w:val="24"/>
          <w:szCs w:val="24"/>
          <w:highlight w:val="none"/>
          <w:lang w:val="en-US" w:eastAsia="zh-CN"/>
        </w:rPr>
      </w:pPr>
      <w:r>
        <w:rPr>
          <w:rFonts w:hint="eastAsia" w:ascii="宋体" w:hAnsi="宋体" w:eastAsia="宋体" w:cs="宋体"/>
          <w:b/>
          <w:bCs w:val="0"/>
          <w:caps w:val="0"/>
          <w:spacing w:val="0"/>
          <w:kern w:val="2"/>
          <w:position w:val="0"/>
          <w:sz w:val="24"/>
          <w:szCs w:val="24"/>
          <w:highlight w:val="none"/>
          <w:lang w:val="en-US" w:eastAsia="zh-CN"/>
        </w:rPr>
        <w:t>交易保证金信用承诺书</w:t>
      </w:r>
    </w:p>
    <w:p w14:paraId="78BC861F">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u w:val="single"/>
          <w:lang w:val="en-US" w:eastAsia="zh-CN"/>
        </w:rPr>
      </w:pPr>
      <w:r>
        <w:rPr>
          <w:rFonts w:hint="eastAsia" w:ascii="宋体" w:hAnsi="宋体" w:eastAsia="宋体" w:cs="宋体"/>
          <w:caps w:val="0"/>
          <w:color w:val="000000"/>
          <w:spacing w:val="0"/>
          <w:kern w:val="2"/>
          <w:position w:val="0"/>
          <w:sz w:val="24"/>
          <w:szCs w:val="24"/>
          <w:u w:val="single"/>
          <w:lang w:val="en-US" w:eastAsia="zh-CN"/>
        </w:rPr>
        <w:t>（招标采购单位名称）：</w:t>
      </w:r>
    </w:p>
    <w:p w14:paraId="220FC9B6">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为维护公平、公正、公开的招标采购市场秩序，树立诚实守信的投标人供应商形象，我单位自愿作出以下承诺：</w:t>
      </w:r>
    </w:p>
    <w:p w14:paraId="210E63B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01A6BD2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统一社会信用代码：</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227C4CC1">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法定代表人：</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36C5284C">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地址和联系电话：</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p>
    <w:p w14:paraId="325A252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一、我单位具备承担招标采购项目的能力，自愿参加</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u w:val="none"/>
          <w:lang w:val="en-US" w:eastAsia="zh-CN"/>
        </w:rPr>
        <w:t xml:space="preserve"> </w:t>
      </w:r>
      <w:r>
        <w:rPr>
          <w:rFonts w:hint="eastAsia" w:ascii="宋体" w:hAnsi="宋体" w:eastAsia="宋体" w:cs="宋体"/>
          <w:color w:val="auto"/>
          <w:spacing w:val="0"/>
          <w:kern w:val="2"/>
          <w:sz w:val="24"/>
          <w:szCs w:val="24"/>
          <w:highlight w:val="none"/>
          <w:u w:val="none"/>
          <w:lang w:val="zh-CN"/>
        </w:rPr>
        <w:t>项目名称</w:t>
      </w:r>
      <w:r>
        <w:rPr>
          <w:rFonts w:hint="eastAsia" w:ascii="宋体" w:hAnsi="宋体" w:eastAsia="宋体" w:cs="宋体"/>
          <w:caps w:val="0"/>
          <w:color w:val="000000"/>
          <w:spacing w:val="0"/>
          <w:kern w:val="2"/>
          <w:position w:val="0"/>
          <w:sz w:val="24"/>
          <w:szCs w:val="24"/>
          <w:u w:val="single"/>
          <w:lang w:val="en-US" w:eastAsia="zh-CN"/>
        </w:rPr>
        <w:t>）</w:t>
      </w:r>
      <w:r>
        <w:rPr>
          <w:rFonts w:hint="eastAsia" w:ascii="宋体" w:hAnsi="宋体" w:eastAsia="宋体" w:cs="宋体"/>
          <w:caps w:val="0"/>
          <w:color w:val="000000"/>
          <w:spacing w:val="0"/>
          <w:kern w:val="2"/>
          <w:position w:val="0"/>
          <w:sz w:val="24"/>
          <w:szCs w:val="24"/>
          <w:u w:val="none"/>
          <w:lang w:val="en-US" w:eastAsia="zh-CN"/>
        </w:rPr>
        <w:t>招标采购</w:t>
      </w:r>
      <w:r>
        <w:rPr>
          <w:rFonts w:hint="eastAsia" w:ascii="宋体" w:hAnsi="宋体" w:eastAsia="宋体" w:cs="宋体"/>
          <w:caps w:val="0"/>
          <w:color w:val="000000"/>
          <w:spacing w:val="0"/>
          <w:kern w:val="2"/>
          <w:position w:val="0"/>
          <w:sz w:val="24"/>
          <w:szCs w:val="24"/>
          <w:lang w:val="en-US" w:eastAsia="zh-CN"/>
        </w:rPr>
        <w:t>活动，严格遵守《中华人民共和国招标投标法》《中华人民共和国政府采购法》及相关法律法规，依法守信，诚信履约，自觉执行招标采购活动的各项规定。</w:t>
      </w:r>
    </w:p>
    <w:p w14:paraId="2602EE9E">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二、按照国家公共信用查询结果，我单位属于国家公共信用评价的无违规违法不良信用记录企业。</w:t>
      </w:r>
    </w:p>
    <w:p w14:paraId="2626D6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三、我单位如有发生下述任何一种违约行为，自愿承担相关法律责任，5年内自动放弃在宝鸡市项目招标采购中使用“保证金信用承诺书”资格</w:t>
      </w:r>
      <w:r>
        <w:rPr>
          <w:rFonts w:hint="eastAsia" w:ascii="宋体" w:hAnsi="宋体" w:eastAsia="宋体" w:cs="宋体"/>
          <w:caps w:val="0"/>
          <w:color w:val="000000"/>
          <w:spacing w:val="0"/>
          <w:kern w:val="2"/>
          <w:position w:val="0"/>
          <w:sz w:val="24"/>
          <w:szCs w:val="24"/>
          <w:lang w:eastAsia="zh-CN"/>
        </w:rPr>
        <w:t>。</w:t>
      </w:r>
      <w:r>
        <w:rPr>
          <w:rFonts w:hint="eastAsia" w:ascii="宋体" w:hAnsi="宋体" w:eastAsia="宋体" w:cs="宋体"/>
          <w:caps w:val="0"/>
          <w:color w:val="000000"/>
          <w:spacing w:val="0"/>
          <w:kern w:val="2"/>
          <w:position w:val="0"/>
          <w:sz w:val="24"/>
          <w:szCs w:val="24"/>
          <w:lang w:val="en-US" w:eastAsia="zh-CN"/>
        </w:rPr>
        <w:t>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1D465C08">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（一）在招标采购文件中规定的有效期内撤销投标采购文件；</w:t>
      </w:r>
    </w:p>
    <w:p w14:paraId="7993861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（二）中标后在规定期限内无正当理由不与招标人采购人签订合同，或者未按招标采购文件规定提交履约保证金；</w:t>
      </w:r>
    </w:p>
    <w:p w14:paraId="2B1F1E44">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（三）未按照宝鸡市公共资源交易规定，及时足额缴纳进场交易服务费，或仍有拖欠交易服务费；</w:t>
      </w:r>
    </w:p>
    <w:p w14:paraId="5DB7E564">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（四）行政监管机构认定投标采购人有串通投标或弄虚作假等违法违纪行为；</w:t>
      </w:r>
    </w:p>
    <w:p w14:paraId="281C694D">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（五）法律法规规定的其他情形。</w:t>
      </w:r>
    </w:p>
    <w:p w14:paraId="7873E48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四、同意将承诺和失诺信息纳入宝鸡市公共资源交易领域信用记录并归集至信用中国（陕西宝鸡）等信用平台合规应用。</w:t>
      </w:r>
    </w:p>
    <w:p w14:paraId="5D1AC55D">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特此承诺。</w:t>
      </w:r>
    </w:p>
    <w:p w14:paraId="2CC2E8B4">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附件：</w:t>
      </w:r>
      <w:r>
        <w:rPr>
          <w:rFonts w:hint="eastAsia" w:ascii="宋体" w:hAnsi="宋体" w:eastAsia="宋体" w:cs="宋体"/>
          <w:b/>
          <w:bCs/>
          <w:caps w:val="0"/>
          <w:spacing w:val="0"/>
          <w:kern w:val="2"/>
          <w:position w:val="0"/>
          <w:sz w:val="24"/>
          <w:szCs w:val="24"/>
          <w:lang w:val="en-US" w:eastAsia="zh-CN"/>
        </w:rPr>
        <w:t>“信用中国”网站信用报告。</w:t>
      </w:r>
      <w:r>
        <w:rPr>
          <w:rFonts w:hint="eastAsia" w:ascii="宋体" w:hAnsi="宋体" w:eastAsia="宋体" w:cs="宋体"/>
          <w:caps w:val="0"/>
          <w:spacing w:val="0"/>
          <w:kern w:val="2"/>
          <w:position w:val="0"/>
          <w:sz w:val="24"/>
          <w:szCs w:val="24"/>
          <w:lang w:val="en-US" w:eastAsia="zh-CN"/>
        </w:rPr>
        <w:t>（要求：“信用中国”网站下载的信用报告显示无不良信用记录(带水印)并加盖公章，信用报告查询出具日期为</w:t>
      </w:r>
      <w:r>
        <w:rPr>
          <w:rFonts w:hint="eastAsia" w:ascii="宋体" w:hAnsi="宋体" w:eastAsia="宋体" w:cs="宋体"/>
          <w:b/>
          <w:bCs/>
          <w:caps w:val="0"/>
          <w:spacing w:val="0"/>
          <w:kern w:val="2"/>
          <w:position w:val="0"/>
          <w:sz w:val="24"/>
          <w:szCs w:val="24"/>
          <w:lang w:val="en-US" w:eastAsia="zh-CN"/>
        </w:rPr>
        <w:t>项目公告发布之日起</w:t>
      </w:r>
      <w:r>
        <w:rPr>
          <w:rFonts w:hint="eastAsia" w:ascii="宋体" w:hAnsi="宋体" w:eastAsia="宋体" w:cs="宋体"/>
          <w:caps w:val="0"/>
          <w:spacing w:val="0"/>
          <w:kern w:val="2"/>
          <w:position w:val="0"/>
          <w:sz w:val="24"/>
          <w:szCs w:val="24"/>
          <w:lang w:val="en-US" w:eastAsia="zh-CN"/>
        </w:rPr>
        <w:t>至投标人投标文件或响应文件递交截止之日。）</w:t>
      </w:r>
    </w:p>
    <w:p w14:paraId="7BDCFBF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027F27E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3D72571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53EBD502">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投标人供应商                    法定代表人或</w:t>
      </w:r>
    </w:p>
    <w:p w14:paraId="7F17F6DD">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单位名称：（盖章）              授权代表：（签字或签章）</w:t>
      </w:r>
    </w:p>
    <w:p w14:paraId="4FEDA0DB">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年    月    日                 年    月    日</w:t>
      </w:r>
    </w:p>
    <w:p w14:paraId="55B22805">
      <w:pPr>
        <w:keepNext w:val="0"/>
        <w:keepLines w:val="0"/>
        <w:pageBreakBefore w:val="0"/>
        <w:widowControl w:val="0"/>
        <w:kinsoku/>
        <w:overflow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br w:type="page"/>
      </w:r>
    </w:p>
    <w:p w14:paraId="0A47AB96">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bidi="ar-SA"/>
        </w:rPr>
      </w:pPr>
      <w:bookmarkStart w:id="64" w:name="_Toc3106"/>
      <w:r>
        <w:rPr>
          <w:rFonts w:hint="eastAsia" w:ascii="宋体" w:hAnsi="宋体" w:eastAsia="宋体" w:cs="宋体"/>
          <w:b/>
          <w:bCs/>
          <w:color w:val="auto"/>
          <w:spacing w:val="0"/>
          <w:kern w:val="2"/>
          <w:sz w:val="24"/>
          <w:szCs w:val="24"/>
          <w:highlight w:val="none"/>
          <w:lang w:val="en-US" w:eastAsia="zh-CN" w:bidi="ar-SA"/>
        </w:rPr>
        <w:t>附件3：</w:t>
      </w:r>
      <w:bookmarkEnd w:id="64"/>
    </w:p>
    <w:p w14:paraId="763E016E">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享受政府采购优惠政策的证明材料</w:t>
      </w:r>
    </w:p>
    <w:p w14:paraId="4A769573">
      <w:pPr>
        <w:keepNext w:val="0"/>
        <w:keepLines w:val="0"/>
        <w:pageBreakBefore w:val="0"/>
        <w:widowControl w:val="0"/>
        <w:kinsoku/>
        <w:wordWrap w:val="0"/>
        <w:overflowPunct/>
        <w:topLinePunct/>
        <w:autoSpaceDE/>
        <w:autoSpaceDN/>
        <w:bidi w:val="0"/>
        <w:rPr>
          <w:rFonts w:hint="eastAsia" w:ascii="宋体" w:hAnsi="宋体" w:eastAsia="宋体" w:cs="宋体"/>
          <w:b/>
          <w:bCs/>
          <w:color w:val="auto"/>
          <w:spacing w:val="0"/>
          <w:kern w:val="2"/>
          <w:sz w:val="24"/>
          <w:szCs w:val="24"/>
          <w:highlight w:val="none"/>
          <w:lang w:val="en-US" w:eastAsia="zh-CN" w:bidi="ar-SA"/>
        </w:rPr>
      </w:pPr>
      <w:bookmarkStart w:id="65" w:name="_Toc5084"/>
      <w:r>
        <w:rPr>
          <w:rFonts w:hint="eastAsia" w:ascii="宋体" w:hAnsi="宋体" w:eastAsia="宋体" w:cs="宋体"/>
          <w:b/>
          <w:bCs/>
          <w:color w:val="auto"/>
          <w:spacing w:val="0"/>
          <w:kern w:val="2"/>
          <w:sz w:val="24"/>
          <w:szCs w:val="24"/>
          <w:highlight w:val="none"/>
          <w:lang w:val="en-US" w:eastAsia="zh-CN" w:bidi="ar-SA"/>
        </w:rPr>
        <w:t>《小微企业声明函》（格式）</w:t>
      </w:r>
      <w:bookmarkEnd w:id="65"/>
    </w:p>
    <w:p w14:paraId="7983E06E">
      <w:pPr>
        <w:pStyle w:val="16"/>
        <w:keepNext w:val="0"/>
        <w:keepLines w:val="0"/>
        <w:pageBreakBefore w:val="0"/>
        <w:widowControl w:val="0"/>
        <w:kinsoku/>
        <w:wordWrap w:val="0"/>
        <w:overflowPunct/>
        <w:topLinePunct/>
        <w:autoSpaceDE/>
        <w:autoSpaceDN/>
        <w:bidi w:val="0"/>
        <w:adjustRightInd w:val="0"/>
        <w:snapToGrid w:val="0"/>
        <w:spacing w:line="360" w:lineRule="auto"/>
        <w:ind w:firstLine="3735" w:firstLineChars="1550"/>
        <w:jc w:val="both"/>
        <w:rPr>
          <w:rFonts w:hint="eastAsia" w:ascii="宋体" w:hAnsi="宋体" w:eastAsia="宋体" w:cs="宋体"/>
          <w:b/>
          <w:bCs/>
          <w:color w:val="auto"/>
          <w:spacing w:val="0"/>
          <w:kern w:val="2"/>
          <w:sz w:val="24"/>
          <w:szCs w:val="24"/>
          <w:highlight w:val="none"/>
          <w:lang w:val="en-US" w:eastAsia="zh-CN" w:bidi="ar-SA"/>
        </w:rPr>
      </w:pPr>
      <w:bookmarkStart w:id="66" w:name="_Toc30563"/>
      <w:bookmarkStart w:id="67" w:name="_Toc19434"/>
      <w:r>
        <w:rPr>
          <w:rFonts w:hint="eastAsia" w:ascii="宋体" w:hAnsi="宋体" w:eastAsia="宋体" w:cs="宋体"/>
          <w:b/>
          <w:bCs/>
          <w:color w:val="auto"/>
          <w:spacing w:val="0"/>
          <w:kern w:val="2"/>
          <w:sz w:val="24"/>
          <w:szCs w:val="24"/>
          <w:highlight w:val="none"/>
          <w:lang w:val="en-US" w:eastAsia="zh-CN" w:bidi="ar-SA"/>
        </w:rPr>
        <w:t>中小企业声明函</w:t>
      </w:r>
    </w:p>
    <w:p w14:paraId="4C6F5D2E">
      <w:pPr>
        <w:keepNext w:val="0"/>
        <w:keepLines w:val="0"/>
        <w:pageBreakBefore w:val="0"/>
        <w:widowControl w:val="0"/>
        <w:kinsoku/>
        <w:wordWrap w:val="0"/>
        <w:overflowPunct/>
        <w:topLinePunct/>
        <w:autoSpaceDE/>
        <w:autoSpaceDN/>
        <w:bidi w:val="0"/>
        <w:spacing w:line="360" w:lineRule="auto"/>
        <w:ind w:firstLine="720" w:firstLineChars="300"/>
        <w:rPr>
          <w:rFonts w:hint="eastAsia" w:ascii="宋体" w:hAnsi="宋体" w:eastAsia="宋体" w:cs="宋体"/>
          <w:spacing w:val="0"/>
          <w:kern w:val="2"/>
          <w:sz w:val="24"/>
          <w:szCs w:val="24"/>
          <w:highlight w:val="none"/>
        </w:rPr>
      </w:pPr>
      <w:r>
        <w:rPr>
          <w:rFonts w:hint="eastAsia" w:ascii="宋体" w:hAnsi="宋体" w:eastAsia="宋体" w:cs="宋体"/>
          <w:spacing w:val="0"/>
          <w:kern w:val="2"/>
          <w:sz w:val="24"/>
          <w:szCs w:val="24"/>
          <w:highlight w:val="none"/>
        </w:rPr>
        <w:t>本公司(联合体)郑重声明，根据《政府采购促进中小企业发展管理办法》(财库〔2020〕46 号)的规定，本公司(联合体)参加(</w:t>
      </w:r>
      <w:r>
        <w:rPr>
          <w:rFonts w:hint="eastAsia" w:ascii="宋体" w:hAnsi="宋体" w:eastAsia="宋体" w:cs="宋体"/>
          <w:spacing w:val="0"/>
          <w:kern w:val="2"/>
          <w:sz w:val="24"/>
          <w:szCs w:val="24"/>
          <w:highlight w:val="none"/>
          <w:u w:val="single"/>
        </w:rPr>
        <w:t>采 购 人 名 称</w:t>
      </w:r>
      <w:r>
        <w:rPr>
          <w:rFonts w:hint="eastAsia" w:ascii="宋体" w:hAnsi="宋体" w:eastAsia="宋体" w:cs="宋体"/>
          <w:spacing w:val="0"/>
          <w:kern w:val="2"/>
          <w:sz w:val="24"/>
          <w:szCs w:val="24"/>
          <w:highlight w:val="none"/>
        </w:rPr>
        <w:t>)的(</w:t>
      </w:r>
      <w:r>
        <w:rPr>
          <w:rFonts w:hint="eastAsia" w:ascii="宋体" w:hAnsi="宋体" w:eastAsia="宋体" w:cs="宋体"/>
          <w:color w:val="auto"/>
          <w:spacing w:val="0"/>
          <w:kern w:val="2"/>
          <w:sz w:val="24"/>
          <w:szCs w:val="24"/>
          <w:highlight w:val="none"/>
          <w:u w:val="single"/>
          <w:lang w:val="zh-CN"/>
        </w:rPr>
        <w:t>项目名称</w:t>
      </w:r>
      <w:r>
        <w:rPr>
          <w:rFonts w:hint="eastAsia" w:ascii="宋体" w:hAnsi="宋体" w:eastAsia="宋体" w:cs="宋体"/>
          <w:spacing w:val="0"/>
          <w:kern w:val="2"/>
          <w:sz w:val="24"/>
          <w:szCs w:val="24"/>
          <w:highlight w:val="none"/>
        </w:rPr>
        <w:t>)采购活动，服务全部由符合政策要求的中小企业承接。相关企业(含联合体中的中小企业)的具体情况如下:</w:t>
      </w:r>
    </w:p>
    <w:p w14:paraId="33F45F9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pacing w:val="0"/>
          <w:kern w:val="2"/>
          <w:sz w:val="24"/>
          <w:szCs w:val="24"/>
          <w:highlight w:val="none"/>
        </w:rPr>
      </w:pPr>
      <w:r>
        <w:rPr>
          <w:rFonts w:hint="eastAsia" w:ascii="宋体" w:hAnsi="宋体" w:eastAsia="宋体" w:cs="宋体"/>
          <w:spacing w:val="0"/>
          <w:kern w:val="2"/>
          <w:sz w:val="24"/>
          <w:szCs w:val="24"/>
          <w:highlight w:val="none"/>
        </w:rPr>
        <w:t>1.(</w:t>
      </w:r>
      <w:r>
        <w:rPr>
          <w:rFonts w:hint="eastAsia" w:ascii="宋体" w:hAnsi="宋体" w:eastAsia="宋体" w:cs="宋体"/>
          <w:spacing w:val="0"/>
          <w:kern w:val="2"/>
          <w:sz w:val="24"/>
          <w:szCs w:val="24"/>
          <w:highlight w:val="none"/>
          <w:u w:val="single"/>
        </w:rPr>
        <w:t>标 的 名 称</w:t>
      </w:r>
      <w:r>
        <w:rPr>
          <w:rFonts w:hint="eastAsia" w:ascii="宋体" w:hAnsi="宋体" w:eastAsia="宋体" w:cs="宋体"/>
          <w:spacing w:val="0"/>
          <w:kern w:val="2"/>
          <w:sz w:val="24"/>
          <w:szCs w:val="24"/>
          <w:highlight w:val="none"/>
          <w:u w:val="single"/>
          <w:lang w:eastAsia="zh-CN"/>
        </w:rPr>
        <w:t>（</w:t>
      </w:r>
      <w:r>
        <w:rPr>
          <w:rFonts w:hint="eastAsia" w:ascii="宋体" w:hAnsi="宋体" w:eastAsia="宋体" w:cs="宋体"/>
          <w:color w:val="auto"/>
          <w:spacing w:val="0"/>
          <w:kern w:val="2"/>
          <w:sz w:val="24"/>
          <w:szCs w:val="24"/>
          <w:highlight w:val="none"/>
          <w:u w:val="single"/>
          <w:lang w:val="zh-CN"/>
        </w:rPr>
        <w:t>项目名称</w:t>
      </w:r>
      <w:r>
        <w:rPr>
          <w:rFonts w:hint="eastAsia" w:ascii="宋体" w:hAnsi="宋体" w:eastAsia="宋体" w:cs="宋体"/>
          <w:spacing w:val="0"/>
          <w:kern w:val="2"/>
          <w:sz w:val="24"/>
          <w:szCs w:val="24"/>
          <w:highlight w:val="none"/>
          <w:u w:val="single"/>
          <w:lang w:eastAsia="zh-CN"/>
        </w:rPr>
        <w:t>）</w:t>
      </w:r>
      <w:r>
        <w:rPr>
          <w:rFonts w:hint="eastAsia" w:ascii="宋体" w:hAnsi="宋体" w:eastAsia="宋体" w:cs="宋体"/>
          <w:spacing w:val="0"/>
          <w:kern w:val="2"/>
          <w:sz w:val="24"/>
          <w:szCs w:val="24"/>
          <w:highlight w:val="none"/>
        </w:rPr>
        <w:t>) ，属于(</w:t>
      </w:r>
      <w:r>
        <w:rPr>
          <w:rFonts w:hint="eastAsia" w:ascii="宋体" w:hAnsi="宋体" w:eastAsia="宋体" w:cs="宋体"/>
          <w:spacing w:val="0"/>
          <w:kern w:val="2"/>
          <w:sz w:val="24"/>
          <w:szCs w:val="24"/>
          <w:highlight w:val="none"/>
          <w:u w:val="single"/>
        </w:rPr>
        <w:t>采购文件中明确的所属行业</w:t>
      </w:r>
      <w:r>
        <w:rPr>
          <w:rFonts w:hint="eastAsia" w:ascii="宋体" w:hAnsi="宋体" w:eastAsia="宋体" w:cs="宋体"/>
          <w:spacing w:val="0"/>
          <w:kern w:val="2"/>
          <w:sz w:val="24"/>
          <w:szCs w:val="24"/>
          <w:highlight w:val="none"/>
        </w:rPr>
        <w:t>);承接企业为(</w:t>
      </w:r>
      <w:r>
        <w:rPr>
          <w:rFonts w:hint="eastAsia" w:ascii="宋体" w:hAnsi="宋体" w:eastAsia="宋体" w:cs="宋体"/>
          <w:spacing w:val="0"/>
          <w:kern w:val="2"/>
          <w:sz w:val="24"/>
          <w:szCs w:val="24"/>
          <w:highlight w:val="none"/>
          <w:u w:val="single"/>
        </w:rPr>
        <w:t>企 业 名 称</w:t>
      </w:r>
      <w:r>
        <w:rPr>
          <w:rFonts w:hint="eastAsia" w:ascii="宋体" w:hAnsi="宋体" w:eastAsia="宋体" w:cs="宋体"/>
          <w:spacing w:val="0"/>
          <w:kern w:val="2"/>
          <w:sz w:val="24"/>
          <w:szCs w:val="24"/>
          <w:highlight w:val="none"/>
        </w:rPr>
        <w:t>)，从业人员</w:t>
      </w:r>
      <w:r>
        <w:rPr>
          <w:rFonts w:hint="eastAsia" w:ascii="宋体" w:hAnsi="宋体" w:eastAsia="宋体" w:cs="宋体"/>
          <w:spacing w:val="0"/>
          <w:kern w:val="2"/>
          <w:sz w:val="24"/>
          <w:szCs w:val="24"/>
          <w:highlight w:val="none"/>
          <w:u w:val="single"/>
        </w:rPr>
        <w:t xml:space="preserve">     </w:t>
      </w:r>
      <w:r>
        <w:rPr>
          <w:rFonts w:hint="eastAsia" w:ascii="宋体" w:hAnsi="宋体" w:eastAsia="宋体" w:cs="宋体"/>
          <w:spacing w:val="0"/>
          <w:kern w:val="2"/>
          <w:sz w:val="24"/>
          <w:szCs w:val="24"/>
          <w:highlight w:val="none"/>
        </w:rPr>
        <w:t>人，营业收入为</w:t>
      </w:r>
      <w:r>
        <w:rPr>
          <w:rFonts w:hint="eastAsia" w:ascii="宋体" w:hAnsi="宋体" w:eastAsia="宋体" w:cs="宋体"/>
          <w:spacing w:val="0"/>
          <w:kern w:val="2"/>
          <w:sz w:val="24"/>
          <w:szCs w:val="24"/>
          <w:highlight w:val="none"/>
          <w:u w:val="single"/>
        </w:rPr>
        <w:t xml:space="preserve">          </w:t>
      </w:r>
      <w:r>
        <w:rPr>
          <w:rFonts w:hint="eastAsia" w:ascii="宋体" w:hAnsi="宋体" w:eastAsia="宋体" w:cs="宋体"/>
          <w:spacing w:val="0"/>
          <w:kern w:val="2"/>
          <w:sz w:val="24"/>
          <w:szCs w:val="24"/>
          <w:highlight w:val="none"/>
        </w:rPr>
        <w:t>万元，资产总额为</w:t>
      </w:r>
      <w:r>
        <w:rPr>
          <w:rFonts w:hint="eastAsia" w:ascii="宋体" w:hAnsi="宋体" w:eastAsia="宋体" w:cs="宋体"/>
          <w:spacing w:val="0"/>
          <w:kern w:val="2"/>
          <w:sz w:val="24"/>
          <w:szCs w:val="24"/>
          <w:highlight w:val="none"/>
          <w:u w:val="single"/>
        </w:rPr>
        <w:t xml:space="preserve">         </w:t>
      </w:r>
      <w:r>
        <w:rPr>
          <w:rFonts w:hint="eastAsia" w:ascii="宋体" w:hAnsi="宋体" w:eastAsia="宋体" w:cs="宋体"/>
          <w:spacing w:val="0"/>
          <w:kern w:val="2"/>
          <w:sz w:val="24"/>
          <w:szCs w:val="24"/>
          <w:highlight w:val="none"/>
        </w:rPr>
        <w:t>万元，属于(中型企业、小型企业、微型企业);</w:t>
      </w:r>
    </w:p>
    <w:p w14:paraId="7963429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spacing w:val="0"/>
          <w:kern w:val="2"/>
          <w:sz w:val="24"/>
          <w:szCs w:val="24"/>
          <w:highlight w:val="none"/>
        </w:rPr>
      </w:pPr>
      <w:r>
        <w:rPr>
          <w:rFonts w:hint="eastAsia" w:ascii="宋体" w:hAnsi="宋体" w:eastAsia="宋体" w:cs="宋体"/>
          <w:spacing w:val="0"/>
          <w:kern w:val="2"/>
          <w:sz w:val="24"/>
          <w:szCs w:val="24"/>
          <w:highlight w:val="none"/>
        </w:rPr>
        <w:t>2.(</w:t>
      </w:r>
      <w:r>
        <w:rPr>
          <w:rFonts w:hint="eastAsia" w:ascii="宋体" w:hAnsi="宋体" w:eastAsia="宋体" w:cs="宋体"/>
          <w:spacing w:val="0"/>
          <w:kern w:val="2"/>
          <w:sz w:val="24"/>
          <w:szCs w:val="24"/>
          <w:highlight w:val="none"/>
          <w:u w:val="single"/>
        </w:rPr>
        <w:t>标 的 名 称</w:t>
      </w:r>
      <w:r>
        <w:rPr>
          <w:rFonts w:hint="eastAsia" w:ascii="宋体" w:hAnsi="宋体" w:eastAsia="宋体" w:cs="宋体"/>
          <w:color w:val="auto"/>
          <w:spacing w:val="0"/>
          <w:kern w:val="2"/>
          <w:sz w:val="24"/>
          <w:szCs w:val="24"/>
          <w:highlight w:val="none"/>
          <w:u w:val="single"/>
          <w:lang w:val="zh-CN"/>
        </w:rPr>
        <w:t>项目名称</w:t>
      </w:r>
      <w:r>
        <w:rPr>
          <w:rFonts w:hint="eastAsia" w:ascii="宋体" w:hAnsi="宋体" w:eastAsia="宋体" w:cs="宋体"/>
          <w:spacing w:val="0"/>
          <w:kern w:val="2"/>
          <w:sz w:val="24"/>
          <w:szCs w:val="24"/>
          <w:highlight w:val="none"/>
        </w:rPr>
        <w:t>) ，属于(</w:t>
      </w:r>
      <w:r>
        <w:rPr>
          <w:rFonts w:hint="eastAsia" w:ascii="宋体" w:hAnsi="宋体" w:eastAsia="宋体" w:cs="宋体"/>
          <w:spacing w:val="0"/>
          <w:kern w:val="2"/>
          <w:sz w:val="24"/>
          <w:szCs w:val="24"/>
          <w:highlight w:val="none"/>
          <w:u w:val="single"/>
        </w:rPr>
        <w:t>采购文件中明确的所属行业</w:t>
      </w:r>
      <w:r>
        <w:rPr>
          <w:rFonts w:hint="eastAsia" w:ascii="宋体" w:hAnsi="宋体" w:eastAsia="宋体" w:cs="宋体"/>
          <w:spacing w:val="0"/>
          <w:kern w:val="2"/>
          <w:sz w:val="24"/>
          <w:szCs w:val="24"/>
          <w:highlight w:val="none"/>
        </w:rPr>
        <w:t>);承接企业为(</w:t>
      </w:r>
      <w:r>
        <w:rPr>
          <w:rFonts w:hint="eastAsia" w:ascii="宋体" w:hAnsi="宋体" w:eastAsia="宋体" w:cs="宋体"/>
          <w:spacing w:val="0"/>
          <w:kern w:val="2"/>
          <w:sz w:val="24"/>
          <w:szCs w:val="24"/>
          <w:highlight w:val="none"/>
          <w:u w:val="single"/>
        </w:rPr>
        <w:t>企 业 名 称</w:t>
      </w:r>
      <w:r>
        <w:rPr>
          <w:rFonts w:hint="eastAsia" w:ascii="宋体" w:hAnsi="宋体" w:eastAsia="宋体" w:cs="宋体"/>
          <w:spacing w:val="0"/>
          <w:kern w:val="2"/>
          <w:sz w:val="24"/>
          <w:szCs w:val="24"/>
          <w:highlight w:val="none"/>
        </w:rPr>
        <w:t>)，从业人员</w:t>
      </w:r>
      <w:r>
        <w:rPr>
          <w:rFonts w:hint="eastAsia" w:ascii="宋体" w:hAnsi="宋体" w:eastAsia="宋体" w:cs="宋体"/>
          <w:spacing w:val="0"/>
          <w:kern w:val="2"/>
          <w:sz w:val="24"/>
          <w:szCs w:val="24"/>
          <w:highlight w:val="none"/>
          <w:u w:val="single"/>
        </w:rPr>
        <w:t xml:space="preserve">     </w:t>
      </w:r>
      <w:r>
        <w:rPr>
          <w:rFonts w:hint="eastAsia" w:ascii="宋体" w:hAnsi="宋体" w:eastAsia="宋体" w:cs="宋体"/>
          <w:spacing w:val="0"/>
          <w:kern w:val="2"/>
          <w:sz w:val="24"/>
          <w:szCs w:val="24"/>
          <w:highlight w:val="none"/>
        </w:rPr>
        <w:t>人，营业收入为</w:t>
      </w:r>
      <w:r>
        <w:rPr>
          <w:rFonts w:hint="eastAsia" w:ascii="宋体" w:hAnsi="宋体" w:eastAsia="宋体" w:cs="宋体"/>
          <w:spacing w:val="0"/>
          <w:kern w:val="2"/>
          <w:sz w:val="24"/>
          <w:szCs w:val="24"/>
          <w:highlight w:val="none"/>
          <w:u w:val="single"/>
        </w:rPr>
        <w:t xml:space="preserve">          </w:t>
      </w:r>
      <w:r>
        <w:rPr>
          <w:rFonts w:hint="eastAsia" w:ascii="宋体" w:hAnsi="宋体" w:eastAsia="宋体" w:cs="宋体"/>
          <w:spacing w:val="0"/>
          <w:kern w:val="2"/>
          <w:sz w:val="24"/>
          <w:szCs w:val="24"/>
          <w:highlight w:val="none"/>
        </w:rPr>
        <w:t>万元，资产总额为</w:t>
      </w:r>
      <w:r>
        <w:rPr>
          <w:rFonts w:hint="eastAsia" w:ascii="宋体" w:hAnsi="宋体" w:eastAsia="宋体" w:cs="宋体"/>
          <w:spacing w:val="0"/>
          <w:kern w:val="2"/>
          <w:sz w:val="24"/>
          <w:szCs w:val="24"/>
          <w:highlight w:val="none"/>
          <w:u w:val="single"/>
        </w:rPr>
        <w:t xml:space="preserve">         </w:t>
      </w:r>
      <w:r>
        <w:rPr>
          <w:rFonts w:hint="eastAsia" w:ascii="宋体" w:hAnsi="宋体" w:eastAsia="宋体" w:cs="宋体"/>
          <w:spacing w:val="0"/>
          <w:kern w:val="2"/>
          <w:sz w:val="24"/>
          <w:szCs w:val="24"/>
          <w:highlight w:val="none"/>
        </w:rPr>
        <w:t>万元，属于(中型企业、小型企业、微型企业);</w:t>
      </w:r>
    </w:p>
    <w:p w14:paraId="6091A37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以上企业，不属于大企业的分支机构，不存在控股股东为大企业的情形，也不存在与大企业的负责人为同一人的情形。</w:t>
      </w:r>
    </w:p>
    <w:p w14:paraId="564BB0A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本企业对上述声明内容的真实性负责。如有虚假，将依法承担相应责任。</w:t>
      </w:r>
    </w:p>
    <w:p w14:paraId="6F5E725C">
      <w:pPr>
        <w:keepNext w:val="0"/>
        <w:keepLines w:val="0"/>
        <w:pageBreakBefore w:val="0"/>
        <w:widowControl w:val="0"/>
        <w:kinsoku/>
        <w:wordWrap w:val="0"/>
        <w:overflowPunct/>
        <w:topLinePunct/>
        <w:autoSpaceDE/>
        <w:autoSpaceDN/>
        <w:bidi w:val="0"/>
        <w:spacing w:line="480" w:lineRule="auto"/>
        <w:jc w:val="left"/>
        <w:outlineLvl w:val="9"/>
        <w:rPr>
          <w:rFonts w:hint="eastAsia" w:ascii="宋体" w:hAnsi="宋体" w:eastAsia="宋体" w:cs="宋体"/>
          <w:b w:val="0"/>
          <w:bCs w:val="0"/>
          <w:color w:val="auto"/>
          <w:spacing w:val="0"/>
          <w:kern w:val="2"/>
          <w:sz w:val="24"/>
          <w:szCs w:val="24"/>
          <w:highlight w:val="none"/>
          <w:lang w:val="en-US" w:eastAsia="zh-CN"/>
        </w:rPr>
      </w:pPr>
    </w:p>
    <w:p w14:paraId="4EA141E3">
      <w:pPr>
        <w:keepNext w:val="0"/>
        <w:keepLines w:val="0"/>
        <w:pageBreakBefore w:val="0"/>
        <w:widowControl w:val="0"/>
        <w:kinsoku/>
        <w:wordWrap w:val="0"/>
        <w:overflowPunct/>
        <w:topLinePunct/>
        <w:autoSpaceDE/>
        <w:autoSpaceDN/>
        <w:bidi w:val="0"/>
        <w:spacing w:line="480" w:lineRule="auto"/>
        <w:jc w:val="left"/>
        <w:outlineLvl w:val="9"/>
        <w:rPr>
          <w:rFonts w:hint="eastAsia" w:ascii="宋体" w:hAnsi="宋体" w:eastAsia="宋体" w:cs="宋体"/>
          <w:b w:val="0"/>
          <w:bCs w:val="0"/>
          <w:color w:val="auto"/>
          <w:spacing w:val="0"/>
          <w:kern w:val="2"/>
          <w:sz w:val="24"/>
          <w:szCs w:val="24"/>
          <w:highlight w:val="none"/>
          <w:u w:val="none"/>
          <w:lang w:val="en-US" w:eastAsia="zh-CN"/>
        </w:rPr>
      </w:pPr>
      <w:r>
        <w:rPr>
          <w:rFonts w:hint="eastAsia" w:ascii="宋体" w:hAnsi="宋体" w:eastAsia="宋体" w:cs="宋体"/>
          <w:b w:val="0"/>
          <w:bCs w:val="0"/>
          <w:color w:val="auto"/>
          <w:spacing w:val="0"/>
          <w:kern w:val="2"/>
          <w:sz w:val="24"/>
          <w:szCs w:val="24"/>
          <w:highlight w:val="none"/>
          <w:lang w:val="en-US" w:eastAsia="zh-CN"/>
        </w:rPr>
        <w:t>供应商：</w:t>
      </w:r>
      <w:r>
        <w:rPr>
          <w:rFonts w:hint="eastAsia" w:ascii="宋体" w:hAnsi="宋体" w:eastAsia="宋体" w:cs="宋体"/>
          <w:b w:val="0"/>
          <w:bCs w:val="0"/>
          <w:color w:val="auto"/>
          <w:spacing w:val="0"/>
          <w:kern w:val="2"/>
          <w:sz w:val="24"/>
          <w:szCs w:val="24"/>
          <w:highlight w:val="none"/>
          <w:u w:val="single"/>
          <w:lang w:val="en-US" w:eastAsia="zh-CN"/>
        </w:rPr>
        <w:t xml:space="preserve">                                     </w:t>
      </w:r>
      <w:r>
        <w:rPr>
          <w:rFonts w:hint="eastAsia" w:ascii="宋体" w:hAnsi="宋体" w:eastAsia="宋体" w:cs="宋体"/>
          <w:b w:val="0"/>
          <w:bCs w:val="0"/>
          <w:color w:val="auto"/>
          <w:spacing w:val="0"/>
          <w:kern w:val="2"/>
          <w:sz w:val="24"/>
          <w:szCs w:val="24"/>
          <w:highlight w:val="none"/>
          <w:u w:val="none"/>
          <w:lang w:val="en-US" w:eastAsia="zh-CN"/>
        </w:rPr>
        <w:t>（盖章）</w:t>
      </w:r>
    </w:p>
    <w:p w14:paraId="36826F6E">
      <w:pPr>
        <w:pStyle w:val="46"/>
        <w:keepNext w:val="0"/>
        <w:keepLines w:val="0"/>
        <w:pageBreakBefore w:val="0"/>
        <w:widowControl w:val="0"/>
        <w:kinsoku/>
        <w:wordWrap w:val="0"/>
        <w:overflowPunct/>
        <w:topLinePunct/>
        <w:autoSpaceDE/>
        <w:autoSpaceDN/>
        <w:bidi w:val="0"/>
        <w:spacing w:line="480" w:lineRule="auto"/>
        <w:ind w:left="0" w:leftChars="0"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zh-CN"/>
        </w:rPr>
        <w:t>法定代表人或其委托代理人：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 xml:space="preserve"> （签字</w:t>
      </w:r>
      <w:r>
        <w:rPr>
          <w:rFonts w:hint="eastAsia" w:ascii="宋体" w:hAnsi="宋体" w:eastAsia="宋体" w:cs="宋体"/>
          <w:color w:val="auto"/>
          <w:spacing w:val="0"/>
          <w:kern w:val="2"/>
          <w:sz w:val="24"/>
          <w:szCs w:val="24"/>
          <w:highlight w:val="none"/>
          <w:lang w:val="en-US" w:eastAsia="zh-CN"/>
        </w:rPr>
        <w:t>或盖章</w:t>
      </w:r>
      <w:r>
        <w:rPr>
          <w:rFonts w:hint="eastAsia" w:ascii="宋体" w:hAnsi="宋体" w:eastAsia="宋体" w:cs="宋体"/>
          <w:color w:val="auto"/>
          <w:spacing w:val="0"/>
          <w:kern w:val="2"/>
          <w:sz w:val="24"/>
          <w:szCs w:val="24"/>
          <w:highlight w:val="none"/>
          <w:lang w:val="zh-CN"/>
        </w:rPr>
        <w:t>）</w:t>
      </w:r>
    </w:p>
    <w:p w14:paraId="17E0FDA9">
      <w:pPr>
        <w:pStyle w:val="2"/>
        <w:keepNext w:val="0"/>
        <w:keepLines w:val="0"/>
        <w:pageBreakBefore w:val="0"/>
        <w:widowControl w:val="0"/>
        <w:kinsoku/>
        <w:wordWrap w:val="0"/>
        <w:overflowPunct/>
        <w:topLinePunct/>
        <w:autoSpaceDE/>
        <w:autoSpaceDN/>
        <w:bidi w:val="0"/>
        <w:adjustRightInd/>
        <w:snapToGrid/>
        <w:spacing w:line="480" w:lineRule="auto"/>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日     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bookmarkEnd w:id="66"/>
    <w:bookmarkEnd w:id="67"/>
    <w:p w14:paraId="0B2BD3C6">
      <w:pPr>
        <w:keepNext w:val="0"/>
        <w:keepLines w:val="0"/>
        <w:pageBreakBefore w:val="0"/>
        <w:widowControl w:val="0"/>
        <w:kinsoku/>
        <w:overflowPunct/>
        <w:autoSpaceDE/>
        <w:autoSpaceDN/>
        <w:bidi w:val="0"/>
        <w:rPr>
          <w:rFonts w:hint="eastAsia" w:ascii="宋体" w:hAnsi="宋体" w:eastAsia="宋体" w:cs="宋体"/>
          <w:spacing w:val="0"/>
          <w:kern w:val="2"/>
          <w:lang w:val="en-US" w:eastAsia="zh-CN"/>
        </w:rPr>
      </w:pPr>
      <w:bookmarkStart w:id="68" w:name="_Toc21592"/>
      <w:r>
        <w:rPr>
          <w:rFonts w:hint="eastAsia" w:ascii="宋体" w:hAnsi="宋体" w:eastAsia="宋体" w:cs="宋体"/>
          <w:spacing w:val="0"/>
          <w:kern w:val="2"/>
          <w:lang w:val="en-US" w:eastAsia="zh-CN"/>
        </w:rPr>
        <w:br w:type="page"/>
      </w:r>
    </w:p>
    <w:bookmarkEnd w:id="68"/>
    <w:p w14:paraId="3F789B92">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auto"/>
          <w:spacing w:val="0"/>
          <w:kern w:val="2"/>
          <w:sz w:val="24"/>
          <w:szCs w:val="24"/>
          <w:highlight w:val="none"/>
          <w:lang w:val="en-US" w:eastAsia="zh-CN" w:bidi="ar-SA"/>
        </w:rPr>
      </w:pPr>
      <w:bookmarkStart w:id="69" w:name="_Toc94"/>
      <w:r>
        <w:rPr>
          <w:rFonts w:hint="eastAsia" w:ascii="宋体" w:hAnsi="宋体" w:eastAsia="宋体" w:cs="宋体"/>
          <w:b/>
          <w:bCs/>
          <w:color w:val="auto"/>
          <w:spacing w:val="0"/>
          <w:kern w:val="2"/>
          <w:sz w:val="24"/>
          <w:szCs w:val="24"/>
          <w:highlight w:val="none"/>
          <w:lang w:val="en-US" w:eastAsia="zh-CN" w:bidi="ar-SA"/>
        </w:rPr>
        <w:t>《残疾人福利性单位声明函》（格式）</w:t>
      </w:r>
      <w:bookmarkEnd w:id="69"/>
    </w:p>
    <w:p w14:paraId="55A19D92">
      <w:pPr>
        <w:keepNext w:val="0"/>
        <w:keepLines w:val="0"/>
        <w:pageBreakBefore w:val="0"/>
        <w:widowControl w:val="0"/>
        <w:kinsoku/>
        <w:wordWrap w:val="0"/>
        <w:overflowPunct/>
        <w:topLinePunct/>
        <w:autoSpaceDE/>
        <w:autoSpaceDN/>
        <w:bidi w:val="0"/>
        <w:jc w:val="center"/>
        <w:rPr>
          <w:rFonts w:hint="eastAsia" w:ascii="宋体" w:hAnsi="宋体" w:eastAsia="宋体" w:cs="宋体"/>
          <w:spacing w:val="0"/>
          <w:kern w:val="2"/>
          <w:lang w:eastAsia="zh-CN"/>
        </w:rPr>
      </w:pPr>
      <w:bookmarkStart w:id="70" w:name="_Toc26383"/>
      <w:bookmarkStart w:id="71" w:name="OLE_LINK14"/>
      <w:r>
        <w:rPr>
          <w:rFonts w:hint="eastAsia" w:ascii="宋体" w:hAnsi="宋体" w:eastAsia="宋体" w:cs="宋体"/>
          <w:b/>
          <w:bCs/>
          <w:color w:val="auto"/>
          <w:spacing w:val="0"/>
          <w:kern w:val="2"/>
          <w:sz w:val="24"/>
          <w:szCs w:val="24"/>
          <w:highlight w:val="none"/>
          <w:lang w:val="en-US" w:eastAsia="zh-CN" w:bidi="ar-SA"/>
        </w:rPr>
        <w:t>残疾人福利性单位声明函（非残疾人福利性单位不填）</w:t>
      </w:r>
      <w:bookmarkEnd w:id="70"/>
    </w:p>
    <w:bookmarkEnd w:id="71"/>
    <w:p w14:paraId="5C54F113">
      <w:pPr>
        <w:keepNext w:val="0"/>
        <w:keepLines w:val="0"/>
        <w:pageBreakBefore w:val="0"/>
        <w:widowControl w:val="0"/>
        <w:kinsoku/>
        <w:wordWrap w:val="0"/>
        <w:overflowPunct/>
        <w:topLinePunct/>
        <w:autoSpaceDE/>
        <w:autoSpaceDN/>
        <w:bidi w:val="0"/>
        <w:spacing w:line="520" w:lineRule="exact"/>
        <w:ind w:firstLine="0" w:firstLineChars="0"/>
        <w:rPr>
          <w:rFonts w:hint="eastAsia" w:ascii="宋体" w:hAnsi="宋体" w:eastAsia="宋体" w:cs="宋体"/>
          <w:b/>
          <w:color w:val="auto"/>
          <w:spacing w:val="0"/>
          <w:kern w:val="2"/>
          <w:sz w:val="24"/>
          <w:szCs w:val="24"/>
          <w:highlight w:val="none"/>
        </w:rPr>
      </w:pPr>
    </w:p>
    <w:p w14:paraId="691271A3">
      <w:pPr>
        <w:keepNext w:val="0"/>
        <w:keepLines w:val="0"/>
        <w:pageBreakBefore w:val="0"/>
        <w:widowControl w:val="0"/>
        <w:kinsoku/>
        <w:wordWrap w:val="0"/>
        <w:overflowPunct/>
        <w:topLinePunct/>
        <w:autoSpaceDE/>
        <w:autoSpaceDN/>
        <w:bidi w:val="0"/>
        <w:spacing w:line="520" w:lineRule="exact"/>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036686">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本单位对上述声明的真实性负责。如有虚假，将依法承担相应责任。</w:t>
      </w:r>
    </w:p>
    <w:p w14:paraId="7D869711">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若内容属实，请附相关部门证明文件，加盖公章。</w:t>
      </w:r>
    </w:p>
    <w:p w14:paraId="4F831BCE">
      <w:pPr>
        <w:keepNext w:val="0"/>
        <w:keepLines w:val="0"/>
        <w:pageBreakBefore w:val="0"/>
        <w:widowControl w:val="0"/>
        <w:kinsoku/>
        <w:wordWrap w:val="0"/>
        <w:overflowPunct/>
        <w:topLinePunct/>
        <w:autoSpaceDE/>
        <w:autoSpaceDN/>
        <w:bidi w:val="0"/>
        <w:spacing w:line="520" w:lineRule="exact"/>
        <w:ind w:firstLine="640"/>
        <w:jc w:val="center"/>
        <w:rPr>
          <w:rFonts w:hint="eastAsia" w:ascii="宋体" w:hAnsi="宋体" w:eastAsia="宋体" w:cs="宋体"/>
          <w:color w:val="auto"/>
          <w:spacing w:val="0"/>
          <w:kern w:val="2"/>
          <w:sz w:val="24"/>
          <w:szCs w:val="24"/>
          <w:highlight w:val="none"/>
        </w:rPr>
      </w:pPr>
    </w:p>
    <w:p w14:paraId="3DC05375">
      <w:pPr>
        <w:keepNext w:val="0"/>
        <w:keepLines w:val="0"/>
        <w:pageBreakBefore w:val="0"/>
        <w:widowControl w:val="0"/>
        <w:kinsoku/>
        <w:wordWrap w:val="0"/>
        <w:overflowPunct/>
        <w:topLinePunct/>
        <w:autoSpaceDE/>
        <w:autoSpaceDN/>
        <w:bidi w:val="0"/>
        <w:spacing w:line="520" w:lineRule="exact"/>
        <w:ind w:firstLine="640"/>
        <w:jc w:val="center"/>
        <w:rPr>
          <w:rFonts w:hint="eastAsia" w:ascii="宋体" w:hAnsi="宋体" w:eastAsia="宋体" w:cs="宋体"/>
          <w:color w:val="auto"/>
          <w:spacing w:val="0"/>
          <w:kern w:val="2"/>
          <w:sz w:val="24"/>
          <w:szCs w:val="24"/>
          <w:highlight w:val="none"/>
        </w:rPr>
      </w:pPr>
    </w:p>
    <w:p w14:paraId="64B0A8C8">
      <w:pPr>
        <w:keepNext w:val="0"/>
        <w:keepLines w:val="0"/>
        <w:pageBreakBefore w:val="0"/>
        <w:widowControl w:val="0"/>
        <w:kinsoku/>
        <w:wordWrap w:val="0"/>
        <w:overflowPunct/>
        <w:topLinePunct/>
        <w:autoSpaceDE/>
        <w:autoSpaceDN/>
        <w:bidi w:val="0"/>
        <w:spacing w:line="520" w:lineRule="exact"/>
        <w:ind w:firstLine="640"/>
        <w:jc w:val="center"/>
        <w:rPr>
          <w:rFonts w:hint="eastAsia" w:ascii="宋体" w:hAnsi="宋体" w:eastAsia="宋体" w:cs="宋体"/>
          <w:color w:val="auto"/>
          <w:spacing w:val="0"/>
          <w:kern w:val="2"/>
          <w:sz w:val="24"/>
          <w:szCs w:val="24"/>
          <w:highlight w:val="none"/>
        </w:rPr>
      </w:pPr>
    </w:p>
    <w:p w14:paraId="4D56AB87">
      <w:pPr>
        <w:keepNext w:val="0"/>
        <w:keepLines w:val="0"/>
        <w:pageBreakBefore w:val="0"/>
        <w:widowControl w:val="0"/>
        <w:kinsoku/>
        <w:wordWrap w:val="0"/>
        <w:overflowPunct/>
        <w:topLinePunct/>
        <w:autoSpaceDE/>
        <w:autoSpaceDN/>
        <w:bidi w:val="0"/>
        <w:spacing w:line="520" w:lineRule="exact"/>
        <w:ind w:firstLine="640"/>
        <w:jc w:val="center"/>
        <w:rPr>
          <w:rFonts w:hint="eastAsia" w:ascii="宋体" w:hAnsi="宋体" w:eastAsia="宋体" w:cs="宋体"/>
          <w:color w:val="auto"/>
          <w:spacing w:val="0"/>
          <w:kern w:val="2"/>
          <w:sz w:val="24"/>
          <w:szCs w:val="24"/>
          <w:highlight w:val="none"/>
        </w:rPr>
      </w:pPr>
    </w:p>
    <w:p w14:paraId="583BB55B">
      <w:pPr>
        <w:pStyle w:val="14"/>
        <w:keepNext w:val="0"/>
        <w:keepLines w:val="0"/>
        <w:pageBreakBefore w:val="0"/>
        <w:widowControl w:val="0"/>
        <w:kinsoku/>
        <w:wordWrap w:val="0"/>
        <w:overflowPunct/>
        <w:topLinePunct/>
        <w:autoSpaceDE/>
        <w:autoSpaceDN/>
        <w:bidi w:val="0"/>
        <w:spacing w:after="0"/>
        <w:rPr>
          <w:rFonts w:hint="eastAsia" w:ascii="宋体" w:hAnsi="宋体" w:eastAsia="宋体" w:cs="宋体"/>
          <w:color w:val="auto"/>
          <w:spacing w:val="0"/>
          <w:kern w:val="2"/>
          <w:sz w:val="24"/>
          <w:szCs w:val="24"/>
          <w:highlight w:val="none"/>
        </w:rPr>
      </w:pPr>
    </w:p>
    <w:p w14:paraId="4E6452D2">
      <w:pPr>
        <w:pStyle w:val="22"/>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54716CFE">
      <w:pPr>
        <w:pStyle w:val="22"/>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3E258D0E">
      <w:pPr>
        <w:pStyle w:val="22"/>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rPr>
      </w:pPr>
    </w:p>
    <w:p w14:paraId="3D5D648A">
      <w:pPr>
        <w:keepNext w:val="0"/>
        <w:keepLines w:val="0"/>
        <w:pageBreakBefore w:val="0"/>
        <w:widowControl w:val="0"/>
        <w:kinsoku/>
        <w:wordWrap w:val="0"/>
        <w:overflowPunct/>
        <w:topLinePunct/>
        <w:autoSpaceDE/>
        <w:autoSpaceDN/>
        <w:bidi w:val="0"/>
        <w:spacing w:line="480" w:lineRule="auto"/>
        <w:ind w:firstLine="2160" w:firstLineChars="900"/>
        <w:jc w:val="left"/>
        <w:outlineLvl w:val="9"/>
        <w:rPr>
          <w:rFonts w:hint="eastAsia" w:ascii="宋体" w:hAnsi="宋体" w:eastAsia="宋体" w:cs="宋体"/>
          <w:b w:val="0"/>
          <w:bCs w:val="0"/>
          <w:color w:val="auto"/>
          <w:spacing w:val="0"/>
          <w:kern w:val="2"/>
          <w:sz w:val="24"/>
          <w:szCs w:val="24"/>
          <w:highlight w:val="none"/>
          <w:u w:val="none"/>
          <w:lang w:val="en-US" w:eastAsia="zh-CN"/>
        </w:rPr>
      </w:pPr>
      <w:r>
        <w:rPr>
          <w:rFonts w:hint="eastAsia" w:ascii="宋体" w:hAnsi="宋体" w:eastAsia="宋体" w:cs="宋体"/>
          <w:b w:val="0"/>
          <w:bCs w:val="0"/>
          <w:color w:val="auto"/>
          <w:spacing w:val="0"/>
          <w:kern w:val="2"/>
          <w:sz w:val="24"/>
          <w:szCs w:val="24"/>
          <w:highlight w:val="none"/>
          <w:lang w:val="en-US" w:eastAsia="zh-CN"/>
        </w:rPr>
        <w:t>供应商：</w:t>
      </w:r>
      <w:r>
        <w:rPr>
          <w:rFonts w:hint="eastAsia" w:ascii="宋体" w:hAnsi="宋体" w:eastAsia="宋体" w:cs="宋体"/>
          <w:b w:val="0"/>
          <w:bCs w:val="0"/>
          <w:color w:val="auto"/>
          <w:spacing w:val="0"/>
          <w:kern w:val="2"/>
          <w:sz w:val="24"/>
          <w:szCs w:val="24"/>
          <w:highlight w:val="none"/>
          <w:u w:val="single"/>
          <w:lang w:val="en-US" w:eastAsia="zh-CN"/>
        </w:rPr>
        <w:t xml:space="preserve">                         </w:t>
      </w:r>
      <w:r>
        <w:rPr>
          <w:rFonts w:hint="eastAsia" w:ascii="宋体" w:hAnsi="宋体" w:eastAsia="宋体" w:cs="宋体"/>
          <w:b w:val="0"/>
          <w:bCs w:val="0"/>
          <w:color w:val="auto"/>
          <w:spacing w:val="0"/>
          <w:kern w:val="2"/>
          <w:sz w:val="24"/>
          <w:szCs w:val="24"/>
          <w:highlight w:val="none"/>
          <w:u w:val="none"/>
          <w:lang w:val="en-US" w:eastAsia="zh-CN"/>
        </w:rPr>
        <w:t>（盖章）</w:t>
      </w:r>
    </w:p>
    <w:p w14:paraId="70DDF6D4">
      <w:pPr>
        <w:pStyle w:val="46"/>
        <w:keepNext w:val="0"/>
        <w:keepLines w:val="0"/>
        <w:pageBreakBefore w:val="0"/>
        <w:widowControl w:val="0"/>
        <w:kinsoku/>
        <w:wordWrap w:val="0"/>
        <w:overflowPunct/>
        <w:topLinePunct/>
        <w:autoSpaceDE/>
        <w:autoSpaceDN/>
        <w:bidi w:val="0"/>
        <w:spacing w:line="480" w:lineRule="auto"/>
        <w:ind w:left="1260" w:leftChars="0" w:firstLine="960" w:firstLineChars="4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zh-CN"/>
        </w:rPr>
        <w:t>法定代表人或其委托代理人：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（签字</w:t>
      </w:r>
      <w:r>
        <w:rPr>
          <w:rFonts w:hint="eastAsia" w:ascii="宋体" w:hAnsi="宋体" w:eastAsia="宋体" w:cs="宋体"/>
          <w:color w:val="auto"/>
          <w:spacing w:val="0"/>
          <w:kern w:val="2"/>
          <w:sz w:val="24"/>
          <w:szCs w:val="24"/>
          <w:highlight w:val="none"/>
          <w:lang w:val="en-US" w:eastAsia="zh-CN"/>
        </w:rPr>
        <w:t>或盖章</w:t>
      </w:r>
      <w:r>
        <w:rPr>
          <w:rFonts w:hint="eastAsia" w:ascii="宋体" w:hAnsi="宋体" w:eastAsia="宋体" w:cs="宋体"/>
          <w:color w:val="auto"/>
          <w:spacing w:val="0"/>
          <w:kern w:val="2"/>
          <w:sz w:val="24"/>
          <w:szCs w:val="24"/>
          <w:highlight w:val="none"/>
          <w:lang w:val="zh-CN"/>
        </w:rPr>
        <w:t>）</w:t>
      </w:r>
    </w:p>
    <w:p w14:paraId="1232F0FB">
      <w:pPr>
        <w:pStyle w:val="2"/>
        <w:keepNext w:val="0"/>
        <w:keepLines w:val="0"/>
        <w:pageBreakBefore w:val="0"/>
        <w:widowControl w:val="0"/>
        <w:kinsoku/>
        <w:wordWrap w:val="0"/>
        <w:overflowPunct/>
        <w:topLinePunct/>
        <w:autoSpaceDE/>
        <w:autoSpaceDN/>
        <w:bidi w:val="0"/>
        <w:adjustRightInd/>
        <w:snapToGrid/>
        <w:spacing w:line="480" w:lineRule="auto"/>
        <w:ind w:left="1260" w:leftChars="0" w:firstLine="960" w:firstLineChars="4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日     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281FFA3F">
      <w:pPr>
        <w:keepNext w:val="0"/>
        <w:keepLines w:val="0"/>
        <w:pageBreakBefore w:val="0"/>
        <w:widowControl w:val="0"/>
        <w:kinsoku/>
        <w:wordWrap w:val="0"/>
        <w:overflowPunct/>
        <w:topLinePunct/>
        <w:autoSpaceDE/>
        <w:autoSpaceDN/>
        <w:bidi w:val="0"/>
        <w:spacing w:line="480" w:lineRule="auto"/>
        <w:ind w:left="0" w:leftChars="0" w:firstLine="0" w:firstLineChars="0"/>
        <w:rPr>
          <w:rFonts w:hint="eastAsia" w:ascii="宋体" w:hAnsi="宋体" w:eastAsia="宋体" w:cs="宋体"/>
          <w:color w:val="auto"/>
          <w:spacing w:val="0"/>
          <w:kern w:val="2"/>
          <w:sz w:val="24"/>
          <w:szCs w:val="24"/>
          <w:highlight w:val="none"/>
          <w:lang w:val="en-US" w:eastAsia="zh-CN"/>
        </w:rPr>
        <w:sectPr>
          <w:footerReference r:id="rId10" w:type="first"/>
          <w:headerReference r:id="rId8" w:type="default"/>
          <w:footerReference r:id="rId9" w:type="default"/>
          <w:pgSz w:w="11905" w:h="16838"/>
          <w:pgMar w:top="1440" w:right="1800" w:bottom="1440" w:left="1800" w:header="850" w:footer="992" w:gutter="567"/>
          <w:pgBorders>
            <w:top w:val="none" w:sz="0" w:space="0"/>
            <w:left w:val="none" w:sz="0" w:space="0"/>
            <w:bottom w:val="none" w:sz="0" w:space="0"/>
            <w:right w:val="none" w:sz="0" w:space="0"/>
          </w:pgBorders>
          <w:pgNumType w:fmt="decimal" w:start="1"/>
          <w:cols w:space="0" w:num="1"/>
          <w:titlePg/>
          <w:docGrid w:type="lines" w:linePitch="314" w:charSpace="0"/>
        </w:sectPr>
      </w:pPr>
    </w:p>
    <w:p w14:paraId="0AD37616">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color w:val="auto"/>
          <w:spacing w:val="0"/>
          <w:kern w:val="2"/>
          <w:sz w:val="24"/>
          <w:szCs w:val="24"/>
          <w:highlight w:val="none"/>
          <w:lang w:val="en-US" w:eastAsia="zh-CN" w:bidi="ar-SA"/>
        </w:rPr>
      </w:pPr>
      <w:bookmarkStart w:id="72" w:name="_Toc6047"/>
      <w:r>
        <w:rPr>
          <w:rFonts w:hint="eastAsia" w:ascii="宋体" w:hAnsi="宋体" w:eastAsia="宋体" w:cs="宋体"/>
          <w:b/>
          <w:bCs/>
          <w:color w:val="auto"/>
          <w:spacing w:val="0"/>
          <w:kern w:val="2"/>
          <w:sz w:val="24"/>
          <w:szCs w:val="24"/>
          <w:highlight w:val="none"/>
          <w:lang w:val="en-US" w:eastAsia="zh-CN" w:bidi="ar-SA"/>
        </w:rPr>
        <w:t>《监狱企业证明文件》（格式）</w:t>
      </w:r>
      <w:bookmarkEnd w:id="72"/>
    </w:p>
    <w:p w14:paraId="20CFB1A5">
      <w:pPr>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b/>
          <w:bCs/>
          <w:color w:val="auto"/>
          <w:spacing w:val="0"/>
          <w:kern w:val="2"/>
          <w:sz w:val="24"/>
          <w:szCs w:val="24"/>
          <w:highlight w:val="none"/>
          <w:lang w:val="en-US" w:eastAsia="zh-CN" w:bidi="ar-SA"/>
        </w:rPr>
      </w:pPr>
    </w:p>
    <w:p w14:paraId="165FE41A">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4"/>
          <w:szCs w:val="24"/>
          <w:highlight w:val="none"/>
        </w:rPr>
      </w:pPr>
      <w:r>
        <w:rPr>
          <w:rFonts w:hint="eastAsia" w:ascii="宋体" w:hAnsi="宋体" w:eastAsia="宋体" w:cs="宋体"/>
          <w:spacing w:val="0"/>
          <w:kern w:val="2"/>
          <w:lang w:val="en-US" w:eastAsia="zh-CN"/>
        </w:rPr>
        <w:t xml:space="preserve"> </w:t>
      </w:r>
      <w:r>
        <w:rPr>
          <w:rFonts w:hint="eastAsia" w:ascii="宋体" w:hAnsi="宋体" w:eastAsia="宋体" w:cs="宋体"/>
          <w:color w:val="auto"/>
          <w:spacing w:val="0"/>
          <w:kern w:val="2"/>
          <w:sz w:val="24"/>
          <w:szCs w:val="24"/>
          <w:highlight w:val="none"/>
          <w:lang w:val="en-US" w:eastAsia="zh-CN"/>
        </w:rPr>
        <w:t xml:space="preserve"> </w:t>
      </w:r>
      <w:bookmarkStart w:id="73" w:name="_Toc10551"/>
      <w:r>
        <w:rPr>
          <w:rFonts w:hint="eastAsia" w:ascii="宋体" w:hAnsi="宋体" w:eastAsia="宋体" w:cs="宋体"/>
          <w:color w:val="auto"/>
          <w:spacing w:val="0"/>
          <w:kern w:val="2"/>
          <w:sz w:val="24"/>
          <w:szCs w:val="24"/>
          <w:highlight w:val="none"/>
        </w:rPr>
        <w:t>监狱企业证明文件（非监狱企业单位不填）</w:t>
      </w:r>
      <w:bookmarkEnd w:id="73"/>
    </w:p>
    <w:p w14:paraId="142944BD">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4"/>
          <w:szCs w:val="24"/>
          <w:highlight w:val="none"/>
        </w:rPr>
      </w:pPr>
    </w:p>
    <w:p w14:paraId="46906CB3">
      <w:pPr>
        <w:keepNext w:val="0"/>
        <w:keepLines w:val="0"/>
        <w:pageBreakBefore w:val="0"/>
        <w:widowControl w:val="0"/>
        <w:kinsoku/>
        <w:wordWrap w:val="0"/>
        <w:overflowPunct/>
        <w:topLinePunct/>
        <w:autoSpaceDE/>
        <w:autoSpaceDN/>
        <w:bidi w:val="0"/>
        <w:spacing w:line="520" w:lineRule="exact"/>
        <w:ind w:firstLine="56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 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6AB4ED0B">
      <w:pPr>
        <w:keepNext w:val="0"/>
        <w:keepLines w:val="0"/>
        <w:pageBreakBefore w:val="0"/>
        <w:widowControl w:val="0"/>
        <w:kinsoku/>
        <w:wordWrap w:val="0"/>
        <w:overflowPunct/>
        <w:topLinePunct/>
        <w:autoSpaceDE/>
        <w:autoSpaceDN/>
        <w:bidi w:val="0"/>
        <w:spacing w:line="480" w:lineRule="auto"/>
        <w:ind w:firstLine="2160" w:firstLineChars="900"/>
        <w:jc w:val="left"/>
        <w:outlineLvl w:val="9"/>
        <w:rPr>
          <w:rFonts w:hint="eastAsia" w:ascii="宋体" w:hAnsi="宋体" w:eastAsia="宋体" w:cs="宋体"/>
          <w:b w:val="0"/>
          <w:bCs w:val="0"/>
          <w:color w:val="auto"/>
          <w:spacing w:val="0"/>
          <w:kern w:val="2"/>
          <w:sz w:val="24"/>
          <w:szCs w:val="24"/>
          <w:highlight w:val="none"/>
          <w:lang w:val="en-US" w:eastAsia="zh-CN"/>
        </w:rPr>
      </w:pPr>
    </w:p>
    <w:p w14:paraId="48FA076D">
      <w:pPr>
        <w:keepNext w:val="0"/>
        <w:keepLines w:val="0"/>
        <w:pageBreakBefore w:val="0"/>
        <w:widowControl w:val="0"/>
        <w:kinsoku/>
        <w:overflowPunct/>
        <w:autoSpaceDE/>
        <w:autoSpaceDN/>
        <w:bidi w:val="0"/>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br w:type="page"/>
      </w:r>
    </w:p>
    <w:p w14:paraId="4C102B8B">
      <w:pPr>
        <w:pStyle w:val="14"/>
        <w:keepNext w:val="0"/>
        <w:keepLines w:val="0"/>
        <w:pageBreakBefore w:val="0"/>
        <w:widowControl w:val="0"/>
        <w:kinsoku/>
        <w:wordWrap w:val="0"/>
        <w:overflowPunct/>
        <w:topLinePunct/>
        <w:autoSpaceDE/>
        <w:autoSpaceDN/>
        <w:bidi w:val="0"/>
        <w:spacing w:after="0"/>
        <w:jc w:val="center"/>
        <w:rPr>
          <w:rFonts w:hint="eastAsia" w:ascii="宋体" w:hAnsi="宋体" w:eastAsia="宋体" w:cs="宋体"/>
          <w:spacing w:val="0"/>
          <w:kern w:val="2"/>
          <w:highlight w:val="none"/>
          <w:lang w:val="en-US" w:eastAsia="zh-CN"/>
        </w:rPr>
      </w:pPr>
      <w:r>
        <w:rPr>
          <w:rFonts w:hint="eastAsia" w:ascii="宋体" w:hAnsi="宋体" w:eastAsia="宋体" w:cs="宋体"/>
          <w:b/>
          <w:bCs/>
          <w:color w:val="auto"/>
          <w:spacing w:val="0"/>
          <w:kern w:val="2"/>
          <w:sz w:val="24"/>
          <w:szCs w:val="24"/>
          <w:highlight w:val="none"/>
          <w:lang w:val="en-US" w:eastAsia="zh-CN"/>
        </w:rPr>
        <w:t>第二部分、符合性证明文件</w:t>
      </w:r>
    </w:p>
    <w:p w14:paraId="7C16F04C">
      <w:pPr>
        <w:keepNext w:val="0"/>
        <w:keepLines w:val="0"/>
        <w:pageBreakBefore w:val="0"/>
        <w:widowControl w:val="0"/>
        <w:numPr>
          <w:ilvl w:val="0"/>
          <w:numId w:val="0"/>
        </w:numPr>
        <w:kinsoku/>
        <w:wordWrap w:val="0"/>
        <w:overflowPunct/>
        <w:topLinePunct/>
        <w:autoSpaceDE/>
        <w:autoSpaceDN/>
        <w:bidi w:val="0"/>
        <w:ind w:leftChars="0"/>
        <w:jc w:val="center"/>
        <w:outlineLvl w:val="9"/>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1、</w:t>
      </w:r>
      <w:r>
        <w:rPr>
          <w:rFonts w:hint="eastAsia" w:ascii="宋体" w:hAnsi="宋体" w:eastAsia="宋体" w:cs="宋体"/>
          <w:b/>
          <w:bCs/>
          <w:color w:val="auto"/>
          <w:spacing w:val="0"/>
          <w:kern w:val="2"/>
          <w:sz w:val="24"/>
          <w:szCs w:val="24"/>
          <w:highlight w:val="none"/>
        </w:rPr>
        <w:t>响</w:t>
      </w:r>
      <w:r>
        <w:rPr>
          <w:rFonts w:hint="eastAsia" w:ascii="宋体" w:hAnsi="宋体" w:eastAsia="宋体" w:cs="宋体"/>
          <w:b/>
          <w:bCs/>
          <w:color w:val="auto"/>
          <w:spacing w:val="0"/>
          <w:kern w:val="2"/>
          <w:sz w:val="24"/>
          <w:szCs w:val="24"/>
          <w:highlight w:val="none"/>
          <w:lang w:val="en-US" w:eastAsia="zh-CN"/>
        </w:rPr>
        <w:t xml:space="preserve"> </w:t>
      </w:r>
      <w:r>
        <w:rPr>
          <w:rFonts w:hint="eastAsia" w:ascii="宋体" w:hAnsi="宋体" w:eastAsia="宋体" w:cs="宋体"/>
          <w:b/>
          <w:bCs/>
          <w:color w:val="auto"/>
          <w:spacing w:val="0"/>
          <w:kern w:val="2"/>
          <w:sz w:val="24"/>
          <w:szCs w:val="24"/>
          <w:highlight w:val="none"/>
        </w:rPr>
        <w:t>应</w:t>
      </w:r>
      <w:r>
        <w:rPr>
          <w:rFonts w:hint="eastAsia" w:ascii="宋体" w:hAnsi="宋体" w:eastAsia="宋体" w:cs="宋体"/>
          <w:b/>
          <w:bCs/>
          <w:color w:val="auto"/>
          <w:spacing w:val="0"/>
          <w:kern w:val="2"/>
          <w:sz w:val="24"/>
          <w:szCs w:val="24"/>
          <w:highlight w:val="none"/>
          <w:lang w:val="en-US" w:eastAsia="zh-CN"/>
        </w:rPr>
        <w:t xml:space="preserve"> </w:t>
      </w:r>
      <w:r>
        <w:rPr>
          <w:rFonts w:hint="eastAsia" w:ascii="宋体" w:hAnsi="宋体" w:eastAsia="宋体" w:cs="宋体"/>
          <w:b/>
          <w:bCs/>
          <w:color w:val="auto"/>
          <w:spacing w:val="0"/>
          <w:kern w:val="2"/>
          <w:sz w:val="24"/>
          <w:szCs w:val="24"/>
          <w:highlight w:val="none"/>
        </w:rPr>
        <w:t>函</w:t>
      </w:r>
    </w:p>
    <w:p w14:paraId="1AAB461A">
      <w:pPr>
        <w:pStyle w:val="46"/>
        <w:keepNext w:val="0"/>
        <w:keepLines w:val="0"/>
        <w:pageBreakBefore w:val="0"/>
        <w:widowControl w:val="0"/>
        <w:numPr>
          <w:ilvl w:val="0"/>
          <w:numId w:val="0"/>
        </w:numPr>
        <w:kinsoku/>
        <w:wordWrap w:val="0"/>
        <w:overflowPunct/>
        <w:topLinePunct/>
        <w:autoSpaceDE/>
        <w:autoSpaceDN/>
        <w:bidi w:val="0"/>
        <w:ind w:leftChars="200"/>
        <w:rPr>
          <w:rFonts w:hint="eastAsia" w:ascii="宋体" w:hAnsi="宋体" w:eastAsia="宋体" w:cs="宋体"/>
          <w:color w:val="auto"/>
          <w:spacing w:val="0"/>
          <w:kern w:val="2"/>
          <w:sz w:val="24"/>
          <w:szCs w:val="24"/>
          <w:highlight w:val="none"/>
          <w:lang w:val="en-US" w:eastAsia="zh-CN"/>
        </w:rPr>
      </w:pPr>
    </w:p>
    <w:p w14:paraId="33B66970">
      <w:pPr>
        <w:keepNext w:val="0"/>
        <w:keepLines w:val="0"/>
        <w:pageBreakBefore w:val="0"/>
        <w:widowControl w:val="0"/>
        <w:kinsoku/>
        <w:wordWrap w:val="0"/>
        <w:overflowPunct/>
        <w:topLinePunct/>
        <w:autoSpaceDE/>
        <w:autoSpaceDN/>
        <w:bidi w:val="0"/>
        <w:spacing w:line="360" w:lineRule="auto"/>
        <w:ind w:left="0" w:leftChars="0" w:firstLine="0" w:firstLineChars="0"/>
        <w:rPr>
          <w:rFonts w:hint="eastAsia" w:ascii="宋体" w:hAnsi="宋体" w:eastAsia="宋体" w:cs="宋体"/>
          <w:b w:val="0"/>
          <w:bCs/>
          <w:color w:val="auto"/>
          <w:spacing w:val="0"/>
          <w:kern w:val="2"/>
          <w:sz w:val="24"/>
          <w:szCs w:val="24"/>
          <w:highlight w:val="none"/>
          <w:u w:val="single"/>
          <w:lang w:val="en-US" w:eastAsia="zh-CN"/>
        </w:rPr>
      </w:pPr>
      <w:r>
        <w:rPr>
          <w:rFonts w:hint="eastAsia" w:ascii="宋体" w:hAnsi="宋体" w:eastAsia="宋体" w:cs="宋体"/>
          <w:b w:val="0"/>
          <w:bCs/>
          <w:color w:val="auto"/>
          <w:spacing w:val="0"/>
          <w:kern w:val="2"/>
          <w:sz w:val="24"/>
          <w:szCs w:val="24"/>
          <w:highlight w:val="none"/>
        </w:rPr>
        <w:t>致：</w:t>
      </w:r>
      <w:r>
        <w:rPr>
          <w:rFonts w:hint="eastAsia" w:ascii="宋体" w:hAnsi="宋体" w:eastAsia="宋体" w:cs="宋体"/>
          <w:b w:val="0"/>
          <w:bCs/>
          <w:color w:val="auto"/>
          <w:spacing w:val="0"/>
          <w:kern w:val="2"/>
          <w:sz w:val="24"/>
          <w:szCs w:val="24"/>
          <w:highlight w:val="none"/>
          <w:u w:val="single"/>
          <w:lang w:val="en-US" w:eastAsia="zh-CN"/>
        </w:rPr>
        <w:t xml:space="preserve">                      （采购人）</w:t>
      </w:r>
    </w:p>
    <w:p w14:paraId="4156B754">
      <w:pPr>
        <w:keepNext w:val="0"/>
        <w:keepLines w:val="0"/>
        <w:pageBreakBefore w:val="0"/>
        <w:widowControl w:val="0"/>
        <w:kinsoku/>
        <w:wordWrap w:val="0"/>
        <w:overflowPunct/>
        <w:topLinePunct/>
        <w:autoSpaceDE/>
        <w:autoSpaceDN/>
        <w:bidi w:val="0"/>
        <w:spacing w:line="360" w:lineRule="auto"/>
        <w:ind w:left="0" w:leftChars="0"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根据贵单位</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（采购</w:t>
      </w:r>
      <w:r>
        <w:rPr>
          <w:rFonts w:hint="eastAsia" w:ascii="宋体" w:hAnsi="宋体" w:eastAsia="宋体" w:cs="宋体"/>
          <w:color w:val="auto"/>
          <w:spacing w:val="0"/>
          <w:kern w:val="2"/>
          <w:sz w:val="24"/>
          <w:szCs w:val="24"/>
          <w:highlight w:val="none"/>
          <w:u w:val="single"/>
          <w:lang w:val="zh-CN"/>
        </w:rPr>
        <w:t>项目名称</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项目</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（项目编号）</w:t>
      </w:r>
      <w:r>
        <w:rPr>
          <w:rFonts w:hint="eastAsia" w:ascii="宋体" w:hAnsi="宋体" w:eastAsia="宋体" w:cs="宋体"/>
          <w:color w:val="auto"/>
          <w:spacing w:val="0"/>
          <w:kern w:val="2"/>
          <w:sz w:val="24"/>
          <w:szCs w:val="24"/>
          <w:highlight w:val="none"/>
        </w:rPr>
        <w:t>的</w:t>
      </w:r>
      <w:r>
        <w:rPr>
          <w:rFonts w:hint="eastAsia" w:ascii="宋体" w:hAnsi="宋体" w:eastAsia="宋体" w:cs="宋体"/>
          <w:color w:val="auto"/>
          <w:spacing w:val="0"/>
          <w:kern w:val="2"/>
          <w:sz w:val="24"/>
          <w:szCs w:val="24"/>
          <w:highlight w:val="none"/>
          <w:lang w:eastAsia="zh-CN"/>
        </w:rPr>
        <w:t>谈判文件</w:t>
      </w:r>
      <w:r>
        <w:rPr>
          <w:rFonts w:hint="eastAsia" w:ascii="宋体" w:hAnsi="宋体" w:eastAsia="宋体" w:cs="宋体"/>
          <w:color w:val="auto"/>
          <w:spacing w:val="0"/>
          <w:kern w:val="2"/>
          <w:sz w:val="24"/>
          <w:szCs w:val="24"/>
          <w:highlight w:val="none"/>
        </w:rPr>
        <w:t>，我方代表</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（姓名、职务）   </w:t>
      </w:r>
      <w:r>
        <w:rPr>
          <w:rFonts w:hint="eastAsia" w:ascii="宋体" w:hAnsi="宋体" w:eastAsia="宋体" w:cs="宋体"/>
          <w:color w:val="auto"/>
          <w:spacing w:val="0"/>
          <w:kern w:val="2"/>
          <w:sz w:val="24"/>
          <w:szCs w:val="24"/>
          <w:highlight w:val="none"/>
        </w:rPr>
        <w:t>经正式授权并代表</w:t>
      </w:r>
      <w:r>
        <w:rPr>
          <w:rFonts w:hint="eastAsia" w:ascii="宋体" w:hAnsi="宋体" w:eastAsia="宋体" w:cs="宋体"/>
          <w:color w:val="auto"/>
          <w:spacing w:val="0"/>
          <w:kern w:val="2"/>
          <w:sz w:val="24"/>
          <w:szCs w:val="24"/>
          <w:highlight w:val="none"/>
          <w:u w:val="single"/>
        </w:rPr>
        <w:t xml:space="preserve">     （供应商名称）     </w:t>
      </w:r>
      <w:r>
        <w:rPr>
          <w:rFonts w:hint="eastAsia" w:ascii="宋体" w:hAnsi="宋体" w:eastAsia="宋体" w:cs="宋体"/>
          <w:color w:val="auto"/>
          <w:spacing w:val="0"/>
          <w:kern w:val="2"/>
          <w:sz w:val="24"/>
          <w:szCs w:val="24"/>
          <w:highlight w:val="none"/>
        </w:rPr>
        <w:t>就该项目进行</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w:t>
      </w:r>
    </w:p>
    <w:p w14:paraId="1330CCD6">
      <w:pPr>
        <w:keepNext w:val="0"/>
        <w:keepLines w:val="0"/>
        <w:pageBreakBefore w:val="0"/>
        <w:widowControl w:val="0"/>
        <w:kinsoku/>
        <w:wordWrap w:val="0"/>
        <w:overflowPunct/>
        <w:topLinePunct/>
        <w:autoSpaceDE/>
        <w:autoSpaceDN/>
        <w:bidi w:val="0"/>
        <w:spacing w:line="360" w:lineRule="auto"/>
        <w:ind w:firstLine="482" w:firstLineChars="200"/>
        <w:rPr>
          <w:rFonts w:hint="eastAsia" w:ascii="宋体" w:hAnsi="宋体" w:eastAsia="宋体" w:cs="宋体"/>
          <w:b/>
          <w:color w:val="auto"/>
          <w:spacing w:val="0"/>
          <w:kern w:val="2"/>
          <w:sz w:val="24"/>
          <w:szCs w:val="24"/>
          <w:highlight w:val="none"/>
        </w:rPr>
      </w:pPr>
      <w:r>
        <w:rPr>
          <w:rFonts w:hint="eastAsia" w:ascii="宋体" w:hAnsi="宋体" w:eastAsia="宋体" w:cs="宋体"/>
          <w:b/>
          <w:color w:val="auto"/>
          <w:spacing w:val="0"/>
          <w:kern w:val="2"/>
          <w:sz w:val="24"/>
          <w:szCs w:val="24"/>
          <w:highlight w:val="none"/>
        </w:rPr>
        <w:t>在此，我方郑重承诺以下诸点，并负法律责任：</w:t>
      </w:r>
    </w:p>
    <w:p w14:paraId="34CF7E8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1、我方具备本项目竞争性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文件中规定的资格条件。</w:t>
      </w:r>
    </w:p>
    <w:p w14:paraId="0CADB31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2、我方已详细审阅竞争性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响应文件，确认无误。</w:t>
      </w:r>
    </w:p>
    <w:p w14:paraId="1244AE63">
      <w:pPr>
        <w:keepNext w:val="0"/>
        <w:keepLines w:val="0"/>
        <w:pageBreakBefore w:val="0"/>
        <w:widowControl w:val="0"/>
        <w:tabs>
          <w:tab w:val="left" w:pos="0"/>
        </w:tabs>
        <w:kinsoku/>
        <w:wordWrap w:val="0"/>
        <w:overflowPunct/>
        <w:topLinePunct/>
        <w:autoSpaceDE/>
        <w:autoSpaceDN/>
        <w:bidi w:val="0"/>
        <w:adjustRightInd w:val="0"/>
        <w:snapToGrid w:val="0"/>
        <w:spacing w:line="560" w:lineRule="exact"/>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3、我方所附</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报价表中应提交和交付的货物</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lang w:val="en-US" w:eastAsia="zh-CN"/>
        </w:rPr>
        <w:t>服务</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总价为人民币：</w:t>
      </w:r>
    </w:p>
    <w:p w14:paraId="673FEFF7">
      <w:pPr>
        <w:keepNext w:val="0"/>
        <w:keepLines w:val="0"/>
        <w:pageBreakBefore w:val="0"/>
        <w:widowControl w:val="0"/>
        <w:tabs>
          <w:tab w:val="left" w:pos="0"/>
        </w:tabs>
        <w:kinsoku/>
        <w:wordWrap w:val="0"/>
        <w:overflowPunct/>
        <w:topLinePunct/>
        <w:autoSpaceDE/>
        <w:autoSpaceDN/>
        <w:bidi w:val="0"/>
        <w:adjustRightInd w:val="0"/>
        <w:snapToGrid w:val="0"/>
        <w:spacing w:line="560" w:lineRule="exact"/>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（大写）：</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元。</w:t>
      </w:r>
    </w:p>
    <w:p w14:paraId="3100628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4、我方已详细审查全部竞争性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文件（包括澄清函、补充通知等），完全理解供应商须知的所有条款。</w:t>
      </w:r>
    </w:p>
    <w:p w14:paraId="6EB04D3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5、我方完全满足和响应竞争性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文件中的各项商务和技术要求，若有偏差，已在</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响应文件中明确说明。</w:t>
      </w:r>
    </w:p>
    <w:p w14:paraId="6CDBE71B">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6、我方接受竞争性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文件中全部合同条款，且无任何异议；保证忠实地执行双方所签订的合同，并承担合同规定的责任和义务。</w:t>
      </w:r>
    </w:p>
    <w:p w14:paraId="144B54B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7、我方完全理解并同意竞争性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文件中有关没收</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保证金、要求专业担保机构先行偿付和拒绝</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的条款。</w:t>
      </w:r>
    </w:p>
    <w:p w14:paraId="09B6BF0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8、我方同意按照要求提供</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响应有关的一切数据或资料。</w:t>
      </w:r>
    </w:p>
    <w:p w14:paraId="4427004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9、我方同意按竞争性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文件规定，遵守贵方有关</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的各项规定和要求。</w:t>
      </w:r>
    </w:p>
    <w:p w14:paraId="5B64D7D0">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10、我方对本次</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 xml:space="preserve">内容及与本项目有关的知识产权、技术资料、商业秘密及相关信息保密。 </w:t>
      </w:r>
    </w:p>
    <w:p w14:paraId="56AED0F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11、我方与采购人和采购代理机构无任何的隶属关系或者其他利害关系。</w:t>
      </w:r>
    </w:p>
    <w:p w14:paraId="7B95E23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12、若我方被选为成交供应商，我方保证按有关规定向贵方支付</w:t>
      </w:r>
      <w:r>
        <w:rPr>
          <w:rFonts w:hint="eastAsia" w:ascii="宋体" w:hAnsi="宋体" w:eastAsia="宋体" w:cs="宋体"/>
          <w:color w:val="auto"/>
          <w:spacing w:val="0"/>
          <w:kern w:val="2"/>
          <w:sz w:val="24"/>
          <w:szCs w:val="24"/>
          <w:highlight w:val="none"/>
          <w:lang w:eastAsia="zh-CN"/>
        </w:rPr>
        <w:t>代理服务费</w:t>
      </w:r>
      <w:r>
        <w:rPr>
          <w:rFonts w:hint="eastAsia" w:ascii="宋体" w:hAnsi="宋体" w:eastAsia="宋体" w:cs="宋体"/>
          <w:color w:val="auto"/>
          <w:spacing w:val="0"/>
          <w:kern w:val="2"/>
          <w:sz w:val="24"/>
          <w:szCs w:val="24"/>
          <w:highlight w:val="none"/>
        </w:rPr>
        <w:t>。</w:t>
      </w:r>
    </w:p>
    <w:p w14:paraId="2468D44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响应有效期为</w:t>
      </w:r>
      <w:r>
        <w:rPr>
          <w:rFonts w:hint="eastAsia" w:ascii="宋体" w:hAnsi="宋体" w:eastAsia="宋体" w:cs="宋体"/>
          <w:color w:val="auto"/>
          <w:spacing w:val="0"/>
          <w:kern w:val="2"/>
          <w:sz w:val="24"/>
          <w:szCs w:val="24"/>
          <w:highlight w:val="none"/>
          <w:lang w:eastAsia="zh-CN"/>
        </w:rPr>
        <w:t>自提交谈判响应文件的截止之日起</w:t>
      </w:r>
      <w:r>
        <w:rPr>
          <w:rFonts w:hint="eastAsia" w:ascii="宋体" w:hAnsi="宋体" w:eastAsia="宋体" w:cs="宋体"/>
          <w:color w:val="auto"/>
          <w:spacing w:val="0"/>
          <w:kern w:val="2"/>
          <w:sz w:val="24"/>
          <w:szCs w:val="24"/>
          <w:highlight w:val="none"/>
          <w:lang w:val="en-US" w:eastAsia="zh-CN"/>
        </w:rPr>
        <w:t>90</w:t>
      </w:r>
      <w:r>
        <w:rPr>
          <w:rFonts w:hint="eastAsia" w:ascii="宋体" w:hAnsi="宋体" w:eastAsia="宋体" w:cs="宋体"/>
          <w:color w:val="auto"/>
          <w:spacing w:val="0"/>
          <w:kern w:val="2"/>
          <w:sz w:val="24"/>
          <w:szCs w:val="24"/>
          <w:highlight w:val="none"/>
          <w:lang w:eastAsia="zh-CN"/>
        </w:rPr>
        <w:t>个日历天</w:t>
      </w:r>
      <w:r>
        <w:rPr>
          <w:rFonts w:hint="eastAsia" w:ascii="宋体" w:hAnsi="宋体" w:eastAsia="宋体" w:cs="宋体"/>
          <w:color w:val="auto"/>
          <w:spacing w:val="0"/>
          <w:kern w:val="2"/>
          <w:sz w:val="24"/>
          <w:szCs w:val="24"/>
          <w:highlight w:val="none"/>
        </w:rPr>
        <w:t>。</w:t>
      </w:r>
    </w:p>
    <w:p w14:paraId="17CCEFDC">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14、所有关于本项目的函电，请按下列地址联系：</w:t>
      </w:r>
    </w:p>
    <w:p w14:paraId="23BD0AB6">
      <w:pPr>
        <w:pStyle w:val="52"/>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p>
    <w:p w14:paraId="0D645ED3">
      <w:pPr>
        <w:keepNext w:val="0"/>
        <w:keepLines w:val="0"/>
        <w:pageBreakBefore w:val="0"/>
        <w:widowControl w:val="0"/>
        <w:kinsoku/>
        <w:wordWrap w:val="0"/>
        <w:overflowPunct/>
        <w:topLinePunct/>
        <w:autoSpaceDE/>
        <w:autoSpaceDN/>
        <w:bidi w:val="0"/>
        <w:snapToGrid w:val="0"/>
        <w:spacing w:line="480" w:lineRule="auto"/>
        <w:ind w:firstLine="480" w:firstLineChars="200"/>
        <w:rPr>
          <w:rFonts w:hint="eastAsia" w:ascii="宋体" w:hAnsi="宋体" w:eastAsia="宋体" w:cs="宋体"/>
          <w:color w:val="auto"/>
          <w:spacing w:val="0"/>
          <w:kern w:val="2"/>
          <w:sz w:val="24"/>
          <w:szCs w:val="24"/>
          <w:highlight w:val="none"/>
          <w:u w:val="single"/>
        </w:rPr>
      </w:pPr>
      <w:r>
        <w:rPr>
          <w:rFonts w:hint="eastAsia" w:ascii="宋体" w:hAnsi="宋体" w:eastAsia="宋体" w:cs="宋体"/>
          <w:color w:val="auto"/>
          <w:spacing w:val="0"/>
          <w:kern w:val="2"/>
          <w:sz w:val="24"/>
          <w:szCs w:val="24"/>
          <w:highlight w:val="none"/>
        </w:rPr>
        <w:t>供应商全称（</w:t>
      </w:r>
      <w:r>
        <w:rPr>
          <w:rFonts w:hint="eastAsia" w:ascii="宋体" w:hAnsi="宋体" w:eastAsia="宋体" w:cs="宋体"/>
          <w:color w:val="auto"/>
          <w:spacing w:val="0"/>
          <w:kern w:val="2"/>
          <w:sz w:val="24"/>
          <w:szCs w:val="24"/>
          <w:highlight w:val="none"/>
          <w:lang w:val="en-US" w:eastAsia="zh-CN"/>
        </w:rPr>
        <w:t>盖</w:t>
      </w:r>
      <w:r>
        <w:rPr>
          <w:rFonts w:hint="eastAsia" w:ascii="宋体" w:hAnsi="宋体" w:eastAsia="宋体" w:cs="宋体"/>
          <w:color w:val="auto"/>
          <w:spacing w:val="0"/>
          <w:kern w:val="2"/>
          <w:sz w:val="24"/>
          <w:szCs w:val="24"/>
          <w:highlight w:val="none"/>
        </w:rPr>
        <w:t>章）：</w:t>
      </w:r>
      <w:r>
        <w:rPr>
          <w:rFonts w:hint="eastAsia" w:ascii="宋体" w:hAnsi="宋体" w:eastAsia="宋体" w:cs="宋体"/>
          <w:color w:val="auto"/>
          <w:spacing w:val="0"/>
          <w:kern w:val="2"/>
          <w:sz w:val="24"/>
          <w:szCs w:val="24"/>
          <w:highlight w:val="none"/>
          <w:u w:val="single"/>
        </w:rPr>
        <w:t xml:space="preserve">                                 </w:t>
      </w:r>
    </w:p>
    <w:p w14:paraId="180F2F5F">
      <w:pPr>
        <w:keepNext w:val="0"/>
        <w:keepLines w:val="0"/>
        <w:pageBreakBefore w:val="0"/>
        <w:widowControl w:val="0"/>
        <w:kinsoku/>
        <w:wordWrap w:val="0"/>
        <w:overflowPunct/>
        <w:topLinePunct/>
        <w:autoSpaceDE/>
        <w:autoSpaceDN/>
        <w:bidi w:val="0"/>
        <w:snapToGrid w:val="0"/>
        <w:spacing w:line="48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授权代表(签字)：</w:t>
      </w:r>
      <w:r>
        <w:rPr>
          <w:rFonts w:hint="eastAsia" w:ascii="宋体" w:hAnsi="宋体" w:eastAsia="宋体" w:cs="宋体"/>
          <w:color w:val="auto"/>
          <w:spacing w:val="0"/>
          <w:kern w:val="2"/>
          <w:sz w:val="24"/>
          <w:szCs w:val="24"/>
          <w:highlight w:val="none"/>
          <w:u w:val="single"/>
        </w:rPr>
        <w:t xml:space="preserve">                                    </w:t>
      </w:r>
    </w:p>
    <w:p w14:paraId="00FE4468">
      <w:pPr>
        <w:keepNext w:val="0"/>
        <w:keepLines w:val="0"/>
        <w:pageBreakBefore w:val="0"/>
        <w:widowControl w:val="0"/>
        <w:kinsoku/>
        <w:wordWrap w:val="0"/>
        <w:overflowPunct/>
        <w:topLinePunct/>
        <w:autoSpaceDE/>
        <w:autoSpaceDN/>
        <w:bidi w:val="0"/>
        <w:snapToGrid w:val="0"/>
        <w:spacing w:line="48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地    址：</w:t>
      </w:r>
      <w:r>
        <w:rPr>
          <w:rFonts w:hint="eastAsia" w:ascii="宋体" w:hAnsi="宋体" w:eastAsia="宋体" w:cs="宋体"/>
          <w:color w:val="auto"/>
          <w:spacing w:val="0"/>
          <w:kern w:val="2"/>
          <w:sz w:val="24"/>
          <w:szCs w:val="24"/>
          <w:highlight w:val="none"/>
          <w:u w:val="single"/>
        </w:rPr>
        <w:t xml:space="preserve">                                          </w:t>
      </w:r>
    </w:p>
    <w:p w14:paraId="65317A6A">
      <w:pPr>
        <w:keepNext w:val="0"/>
        <w:keepLines w:val="0"/>
        <w:pageBreakBefore w:val="0"/>
        <w:widowControl w:val="0"/>
        <w:kinsoku/>
        <w:wordWrap w:val="0"/>
        <w:overflowPunct/>
        <w:topLinePunct/>
        <w:autoSpaceDE/>
        <w:autoSpaceDN/>
        <w:bidi w:val="0"/>
        <w:snapToGrid w:val="0"/>
        <w:spacing w:line="480" w:lineRule="auto"/>
        <w:ind w:firstLine="480" w:firstLineChars="200"/>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电    话：</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p w14:paraId="07E0ED15">
      <w:pPr>
        <w:keepNext w:val="0"/>
        <w:keepLines w:val="0"/>
        <w:pageBreakBefore w:val="0"/>
        <w:widowControl w:val="0"/>
        <w:kinsoku/>
        <w:wordWrap w:val="0"/>
        <w:overflowPunct/>
        <w:topLinePunct/>
        <w:autoSpaceDE/>
        <w:autoSpaceDN/>
        <w:bidi w:val="0"/>
        <w:snapToGrid w:val="0"/>
        <w:spacing w:line="480" w:lineRule="auto"/>
        <w:jc w:val="right"/>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年</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月</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日</w:t>
      </w:r>
      <w:r>
        <w:rPr>
          <w:rFonts w:hint="eastAsia" w:ascii="宋体" w:hAnsi="宋体" w:eastAsia="宋体" w:cs="宋体"/>
          <w:color w:val="auto"/>
          <w:spacing w:val="0"/>
          <w:kern w:val="2"/>
          <w:sz w:val="24"/>
          <w:szCs w:val="24"/>
          <w:highlight w:val="none"/>
          <w:lang w:val="zh-CN"/>
        </w:rPr>
        <w:t xml:space="preserve"> </w:t>
      </w:r>
    </w:p>
    <w:p w14:paraId="76C23662">
      <w:pPr>
        <w:pStyle w:val="3"/>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u w:val="single"/>
          <w:lang w:val="en-US" w:eastAsia="zh-CN"/>
        </w:rPr>
      </w:pPr>
    </w:p>
    <w:p w14:paraId="2F28F6DF">
      <w:pPr>
        <w:pStyle w:val="3"/>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u w:val="single"/>
          <w:lang w:val="en-US" w:eastAsia="zh-CN"/>
        </w:rPr>
      </w:pPr>
    </w:p>
    <w:p w14:paraId="688F9644">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color w:val="auto"/>
          <w:spacing w:val="0"/>
          <w:kern w:val="2"/>
          <w:sz w:val="24"/>
          <w:szCs w:val="24"/>
          <w:highlight w:val="none"/>
          <w:u w:val="single"/>
          <w:lang w:val="en-US" w:eastAsia="zh-CN"/>
        </w:rPr>
        <w:br w:type="page"/>
      </w:r>
    </w:p>
    <w:bookmarkEnd w:id="60"/>
    <w:bookmarkEnd w:id="61"/>
    <w:bookmarkEnd w:id="62"/>
    <w:bookmarkEnd w:id="63"/>
    <w:p w14:paraId="5B6D0089">
      <w:pPr>
        <w:keepNext w:val="0"/>
        <w:keepLines w:val="0"/>
        <w:pageBreakBefore w:val="0"/>
        <w:widowControl w:val="0"/>
        <w:numPr>
          <w:ilvl w:val="0"/>
          <w:numId w:val="0"/>
        </w:numPr>
        <w:kinsoku/>
        <w:wordWrap w:val="0"/>
        <w:overflowPunct/>
        <w:topLinePunct/>
        <w:autoSpaceDE/>
        <w:autoSpaceDN/>
        <w:bidi w:val="0"/>
        <w:ind w:leftChars="0"/>
        <w:jc w:val="center"/>
        <w:outlineLvl w:val="9"/>
        <w:rPr>
          <w:rFonts w:hint="eastAsia" w:ascii="宋体" w:hAnsi="宋体" w:eastAsia="宋体" w:cs="宋体"/>
          <w:b/>
          <w:bCs/>
          <w:color w:val="auto"/>
          <w:spacing w:val="0"/>
          <w:kern w:val="2"/>
          <w:sz w:val="24"/>
          <w:szCs w:val="24"/>
          <w:highlight w:val="none"/>
          <w:lang w:val="en-US" w:eastAsia="zh-CN"/>
        </w:rPr>
      </w:pPr>
      <w:bookmarkStart w:id="74" w:name="_Toc495908038"/>
      <w:bookmarkStart w:id="75" w:name="_Toc8463"/>
      <w:bookmarkStart w:id="76" w:name="_Toc495681523"/>
      <w:bookmarkStart w:id="77" w:name="_Toc31519"/>
      <w:bookmarkStart w:id="78" w:name="_Toc19231"/>
      <w:bookmarkStart w:id="79" w:name="_Toc495681396"/>
      <w:bookmarkStart w:id="80" w:name="_Toc31138"/>
      <w:bookmarkStart w:id="81" w:name="_Toc495681242"/>
      <w:bookmarkStart w:id="82" w:name="_Toc9496"/>
      <w:bookmarkStart w:id="83" w:name="_Toc6924"/>
      <w:bookmarkStart w:id="84" w:name="_Toc31028"/>
      <w:r>
        <w:rPr>
          <w:rFonts w:hint="eastAsia" w:ascii="宋体" w:hAnsi="宋体" w:eastAsia="宋体" w:cs="宋体"/>
          <w:b/>
          <w:bCs/>
          <w:color w:val="auto"/>
          <w:spacing w:val="0"/>
          <w:kern w:val="2"/>
          <w:sz w:val="24"/>
          <w:szCs w:val="24"/>
          <w:highlight w:val="none"/>
          <w:lang w:val="en-US" w:eastAsia="zh-CN"/>
        </w:rPr>
        <w:t>2、第一次谈判报价表</w:t>
      </w:r>
    </w:p>
    <w:p w14:paraId="07490A92">
      <w:pPr>
        <w:pStyle w:val="52"/>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lang w:val="en-US" w:eastAsia="zh-CN"/>
        </w:rPr>
      </w:pPr>
    </w:p>
    <w:bookmarkEnd w:id="74"/>
    <w:bookmarkEnd w:id="75"/>
    <w:bookmarkEnd w:id="76"/>
    <w:bookmarkEnd w:id="77"/>
    <w:bookmarkEnd w:id="78"/>
    <w:bookmarkEnd w:id="79"/>
    <w:bookmarkEnd w:id="80"/>
    <w:bookmarkEnd w:id="81"/>
    <w:bookmarkEnd w:id="82"/>
    <w:bookmarkEnd w:id="83"/>
    <w:bookmarkEnd w:id="84"/>
    <w:tbl>
      <w:tblPr>
        <w:tblStyle w:val="29"/>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6079"/>
      </w:tblGrid>
      <w:tr w14:paraId="7F46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520" w:type="dxa"/>
            <w:vAlign w:val="center"/>
          </w:tcPr>
          <w:p w14:paraId="55A0EE1C">
            <w:pPr>
              <w:keepNext w:val="0"/>
              <w:keepLines w:val="0"/>
              <w:pageBreakBefore w:val="0"/>
              <w:widowControl w:val="0"/>
              <w:kinsoku/>
              <w:wordWrap w:val="0"/>
              <w:overflowPunct/>
              <w:topLinePunct/>
              <w:autoSpaceDE/>
              <w:autoSpaceDN/>
              <w:bidi w:val="0"/>
              <w:spacing w:line="360" w:lineRule="auto"/>
              <w:jc w:val="both"/>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zh-CN"/>
              </w:rPr>
              <w:t>项目名称</w:t>
            </w:r>
          </w:p>
        </w:tc>
        <w:tc>
          <w:tcPr>
            <w:tcW w:w="6079" w:type="dxa"/>
            <w:vAlign w:val="center"/>
          </w:tcPr>
          <w:p w14:paraId="70CCD094">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auto"/>
                <w:spacing w:val="0"/>
                <w:kern w:val="2"/>
                <w:sz w:val="24"/>
                <w:szCs w:val="24"/>
                <w:highlight w:val="none"/>
              </w:rPr>
            </w:pPr>
          </w:p>
        </w:tc>
      </w:tr>
      <w:tr w14:paraId="1195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520" w:type="dxa"/>
            <w:vAlign w:val="center"/>
          </w:tcPr>
          <w:p w14:paraId="7FDD6F3E">
            <w:pPr>
              <w:keepNext w:val="0"/>
              <w:keepLines w:val="0"/>
              <w:pageBreakBefore w:val="0"/>
              <w:widowControl w:val="0"/>
              <w:kinsoku/>
              <w:wordWrap w:val="0"/>
              <w:overflowPunct/>
              <w:topLinePunct/>
              <w:autoSpaceDE/>
              <w:autoSpaceDN/>
              <w:bidi w:val="0"/>
              <w:spacing w:line="360" w:lineRule="auto"/>
              <w:jc w:val="both"/>
              <w:rPr>
                <w:rFonts w:hint="eastAsia" w:ascii="宋体" w:hAnsi="宋体" w:eastAsia="宋体" w:cs="宋体"/>
                <w:color w:val="auto"/>
                <w:spacing w:val="0"/>
                <w:kern w:val="2"/>
                <w:sz w:val="24"/>
                <w:szCs w:val="24"/>
                <w:highlight w:val="none"/>
              </w:rPr>
            </w:pPr>
            <w:r>
              <w:rPr>
                <w:rFonts w:hint="eastAsia" w:ascii="宋体" w:hAnsi="宋体" w:eastAsia="宋体" w:cs="宋体"/>
                <w:bCs/>
                <w:color w:val="auto"/>
                <w:spacing w:val="0"/>
                <w:kern w:val="2"/>
                <w:sz w:val="24"/>
                <w:szCs w:val="24"/>
                <w:highlight w:val="none"/>
              </w:rPr>
              <w:t>项目编号</w:t>
            </w:r>
          </w:p>
        </w:tc>
        <w:tc>
          <w:tcPr>
            <w:tcW w:w="6079" w:type="dxa"/>
            <w:vAlign w:val="center"/>
          </w:tcPr>
          <w:p w14:paraId="3B0F02D9">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auto"/>
                <w:spacing w:val="0"/>
                <w:kern w:val="2"/>
                <w:sz w:val="24"/>
                <w:szCs w:val="24"/>
                <w:highlight w:val="none"/>
              </w:rPr>
            </w:pPr>
          </w:p>
        </w:tc>
      </w:tr>
      <w:tr w14:paraId="4D18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2520" w:type="dxa"/>
            <w:vAlign w:val="center"/>
          </w:tcPr>
          <w:p w14:paraId="13A7B5B3">
            <w:pPr>
              <w:keepNext w:val="0"/>
              <w:keepLines w:val="0"/>
              <w:pageBreakBefore w:val="0"/>
              <w:widowControl w:val="0"/>
              <w:kinsoku/>
              <w:wordWrap w:val="0"/>
              <w:overflowPunct/>
              <w:topLinePunct/>
              <w:autoSpaceDE/>
              <w:autoSpaceDN/>
              <w:bidi w:val="0"/>
              <w:adjustRightInd w:val="0"/>
              <w:spacing w:line="360" w:lineRule="auto"/>
              <w:ind w:left="0" w:leftChars="0" w:firstLine="0" w:firstLineChars="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总报价（元）</w:t>
            </w:r>
          </w:p>
        </w:tc>
        <w:tc>
          <w:tcPr>
            <w:tcW w:w="6079" w:type="dxa"/>
            <w:vAlign w:val="center"/>
          </w:tcPr>
          <w:p w14:paraId="160CEE63">
            <w:pPr>
              <w:keepNext w:val="0"/>
              <w:keepLines w:val="0"/>
              <w:pageBreakBefore w:val="0"/>
              <w:widowControl w:val="0"/>
              <w:kinsoku/>
              <w:wordWrap w:val="0"/>
              <w:overflowPunct/>
              <w:topLinePunct/>
              <w:autoSpaceDE/>
              <w:autoSpaceDN/>
              <w:bidi w:val="0"/>
              <w:adjustRightInd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大写</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p w14:paraId="14D9428A">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小写</w:t>
            </w:r>
            <w:r>
              <w:rPr>
                <w:rFonts w:hint="eastAsia" w:ascii="宋体" w:hAnsi="宋体" w:eastAsia="宋体" w:cs="宋体"/>
                <w:color w:val="auto"/>
                <w:spacing w:val="0"/>
                <w:kern w:val="2"/>
                <w:sz w:val="24"/>
                <w:szCs w:val="24"/>
                <w:highlight w:val="none"/>
                <w:lang w:eastAsia="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 xml:space="preserve"> </w:t>
            </w:r>
          </w:p>
        </w:tc>
      </w:tr>
      <w:tr w14:paraId="6FE2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520" w:type="dxa"/>
            <w:vAlign w:val="center"/>
          </w:tcPr>
          <w:p w14:paraId="236B2BA0">
            <w:pPr>
              <w:keepNext w:val="0"/>
              <w:keepLines w:val="0"/>
              <w:pageBreakBefore w:val="0"/>
              <w:widowControl w:val="0"/>
              <w:kinsoku/>
              <w:wordWrap w:val="0"/>
              <w:overflowPunct/>
              <w:topLinePunct/>
              <w:autoSpaceDE/>
              <w:autoSpaceDN/>
              <w:bidi w:val="0"/>
              <w:adjustRightInd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合同履行期</w:t>
            </w:r>
          </w:p>
        </w:tc>
        <w:tc>
          <w:tcPr>
            <w:tcW w:w="6079" w:type="dxa"/>
            <w:vAlign w:val="center"/>
          </w:tcPr>
          <w:p w14:paraId="65186D41">
            <w:pPr>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w:t>
            </w:r>
          </w:p>
        </w:tc>
      </w:tr>
      <w:tr w14:paraId="5FB73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520" w:type="dxa"/>
            <w:vAlign w:val="center"/>
          </w:tcPr>
          <w:p w14:paraId="4D909471">
            <w:pPr>
              <w:keepNext w:val="0"/>
              <w:keepLines w:val="0"/>
              <w:pageBreakBefore w:val="0"/>
              <w:widowControl w:val="0"/>
              <w:kinsoku/>
              <w:wordWrap w:val="0"/>
              <w:overflowPunct/>
              <w:topLinePunct/>
              <w:autoSpaceDE/>
              <w:autoSpaceDN/>
              <w:bidi w:val="0"/>
              <w:adjustRightInd w:val="0"/>
              <w:spacing w:line="360" w:lineRule="auto"/>
              <w:ind w:left="0" w:leftChars="0" w:firstLine="0" w:firstLineChars="0"/>
              <w:jc w:val="center"/>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lang w:val="en-US" w:eastAsia="zh-CN"/>
              </w:rPr>
              <w:t>质量标准</w:t>
            </w:r>
          </w:p>
        </w:tc>
        <w:tc>
          <w:tcPr>
            <w:tcW w:w="6079" w:type="dxa"/>
            <w:vAlign w:val="center"/>
          </w:tcPr>
          <w:p w14:paraId="7DDF5D30">
            <w:pPr>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auto"/>
                <w:spacing w:val="0"/>
                <w:kern w:val="2"/>
                <w:sz w:val="24"/>
                <w:szCs w:val="24"/>
                <w:highlight w:val="none"/>
              </w:rPr>
            </w:pPr>
          </w:p>
        </w:tc>
      </w:tr>
      <w:tr w14:paraId="75A5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8599" w:type="dxa"/>
            <w:gridSpan w:val="2"/>
            <w:vAlign w:val="center"/>
          </w:tcPr>
          <w:p w14:paraId="6E3B8EC5">
            <w:pPr>
              <w:keepNext w:val="0"/>
              <w:keepLines w:val="0"/>
              <w:pageBreakBefore w:val="0"/>
              <w:widowControl w:val="0"/>
              <w:kinsoku/>
              <w:wordWrap w:val="0"/>
              <w:overflowPunct/>
              <w:topLinePunct/>
              <w:autoSpaceDE/>
              <w:autoSpaceDN/>
              <w:bidi w:val="0"/>
              <w:spacing w:line="360" w:lineRule="auto"/>
              <w:ind w:left="0" w:leftChars="0" w:firstLine="0" w:firstLineChars="0"/>
              <w:rPr>
                <w:rFonts w:hint="eastAsia" w:ascii="宋体" w:hAnsi="宋体" w:eastAsia="宋体" w:cs="宋体"/>
                <w:bCs/>
                <w:color w:val="auto"/>
                <w:spacing w:val="0"/>
                <w:kern w:val="2"/>
                <w:sz w:val="24"/>
                <w:szCs w:val="24"/>
                <w:highlight w:val="none"/>
              </w:rPr>
            </w:pPr>
            <w:r>
              <w:rPr>
                <w:rFonts w:hint="eastAsia" w:ascii="宋体" w:hAnsi="宋体" w:eastAsia="宋体" w:cs="宋体"/>
                <w:bCs/>
                <w:color w:val="auto"/>
                <w:spacing w:val="0"/>
                <w:kern w:val="2"/>
                <w:sz w:val="24"/>
                <w:szCs w:val="24"/>
                <w:highlight w:val="none"/>
              </w:rPr>
              <w:t>说明：</w:t>
            </w:r>
            <w:r>
              <w:rPr>
                <w:rFonts w:hint="eastAsia" w:ascii="宋体" w:hAnsi="宋体" w:eastAsia="宋体" w:cs="宋体"/>
                <w:bCs/>
                <w:color w:val="auto"/>
                <w:spacing w:val="0"/>
                <w:kern w:val="2"/>
                <w:sz w:val="24"/>
                <w:szCs w:val="24"/>
                <w:highlight w:val="none"/>
                <w:lang w:eastAsia="zh-CN"/>
              </w:rPr>
              <w:t>谈判</w:t>
            </w:r>
            <w:r>
              <w:rPr>
                <w:rFonts w:hint="eastAsia" w:ascii="宋体" w:hAnsi="宋体" w:eastAsia="宋体" w:cs="宋体"/>
                <w:bCs/>
                <w:color w:val="auto"/>
                <w:spacing w:val="0"/>
                <w:kern w:val="2"/>
                <w:sz w:val="24"/>
                <w:szCs w:val="24"/>
                <w:highlight w:val="none"/>
              </w:rPr>
              <w:t>报价以元为单位，保留小数点后两位，大小写不一致时，以大写为准。</w:t>
            </w:r>
          </w:p>
        </w:tc>
      </w:tr>
    </w:tbl>
    <w:p w14:paraId="0E44AABE">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pacing w:val="0"/>
          <w:kern w:val="2"/>
          <w:sz w:val="24"/>
          <w:szCs w:val="24"/>
          <w:highlight w:val="none"/>
        </w:rPr>
      </w:pPr>
      <w:r>
        <w:rPr>
          <w:rFonts w:hint="eastAsia" w:ascii="宋体" w:hAnsi="宋体" w:eastAsia="宋体" w:cs="宋体"/>
          <w:b/>
          <w:color w:val="auto"/>
          <w:spacing w:val="0"/>
          <w:kern w:val="2"/>
          <w:sz w:val="24"/>
          <w:szCs w:val="24"/>
          <w:highlight w:val="none"/>
        </w:rPr>
        <w:t xml:space="preserve">    </w:t>
      </w:r>
      <w:r>
        <w:rPr>
          <w:rFonts w:hint="eastAsia" w:ascii="宋体" w:hAnsi="宋体" w:eastAsia="宋体" w:cs="宋体"/>
          <w:bCs/>
          <w:color w:val="auto"/>
          <w:spacing w:val="0"/>
          <w:kern w:val="2"/>
          <w:sz w:val="24"/>
          <w:szCs w:val="24"/>
          <w:highlight w:val="none"/>
        </w:rPr>
        <w:t xml:space="preserve">  </w:t>
      </w:r>
    </w:p>
    <w:p w14:paraId="418B567C">
      <w:pPr>
        <w:keepNext w:val="0"/>
        <w:keepLines w:val="0"/>
        <w:pageBreakBefore w:val="0"/>
        <w:widowControl w:val="0"/>
        <w:kinsoku/>
        <w:wordWrap w:val="0"/>
        <w:overflowPunct/>
        <w:topLinePunct/>
        <w:autoSpaceDE/>
        <w:autoSpaceDN/>
        <w:bidi w:val="0"/>
        <w:spacing w:line="480" w:lineRule="auto"/>
        <w:ind w:firstLine="2150" w:firstLineChars="896"/>
        <w:jc w:val="left"/>
        <w:rPr>
          <w:rFonts w:hint="eastAsia" w:ascii="宋体" w:hAnsi="宋体" w:eastAsia="宋体" w:cs="宋体"/>
          <w:color w:val="auto"/>
          <w:spacing w:val="0"/>
          <w:kern w:val="2"/>
          <w:sz w:val="24"/>
          <w:szCs w:val="24"/>
          <w:highlight w:val="none"/>
        </w:rPr>
      </w:pPr>
    </w:p>
    <w:p w14:paraId="62BDC54C">
      <w:pPr>
        <w:keepNext w:val="0"/>
        <w:keepLines w:val="0"/>
        <w:pageBreakBefore w:val="0"/>
        <w:widowControl w:val="0"/>
        <w:kinsoku/>
        <w:wordWrap w:val="0"/>
        <w:overflowPunct/>
        <w:topLinePunct/>
        <w:autoSpaceDE/>
        <w:autoSpaceDN/>
        <w:bidi w:val="0"/>
        <w:spacing w:line="480" w:lineRule="auto"/>
        <w:ind w:firstLine="2150" w:firstLineChars="896"/>
        <w:jc w:val="left"/>
        <w:rPr>
          <w:rFonts w:hint="eastAsia" w:ascii="宋体" w:hAnsi="宋体" w:eastAsia="宋体" w:cs="宋体"/>
          <w:color w:val="auto"/>
          <w:spacing w:val="0"/>
          <w:kern w:val="2"/>
          <w:sz w:val="24"/>
          <w:szCs w:val="24"/>
          <w:highlight w:val="none"/>
        </w:rPr>
      </w:pPr>
    </w:p>
    <w:p w14:paraId="55B8AA03">
      <w:pPr>
        <w:keepNext w:val="0"/>
        <w:keepLines w:val="0"/>
        <w:pageBreakBefore w:val="0"/>
        <w:widowControl w:val="0"/>
        <w:kinsoku/>
        <w:wordWrap w:val="0"/>
        <w:overflowPunct/>
        <w:topLinePunct/>
        <w:autoSpaceDE/>
        <w:autoSpaceDN/>
        <w:bidi w:val="0"/>
        <w:spacing w:line="480" w:lineRule="auto"/>
        <w:ind w:firstLine="2150" w:firstLineChars="896"/>
        <w:jc w:val="left"/>
        <w:rPr>
          <w:rFonts w:hint="eastAsia" w:ascii="宋体" w:hAnsi="宋体" w:eastAsia="宋体" w:cs="宋体"/>
          <w:color w:val="auto"/>
          <w:spacing w:val="0"/>
          <w:kern w:val="2"/>
          <w:sz w:val="24"/>
          <w:szCs w:val="24"/>
          <w:highlight w:val="none"/>
        </w:rPr>
      </w:pPr>
    </w:p>
    <w:p w14:paraId="305B5412">
      <w:pPr>
        <w:keepNext w:val="0"/>
        <w:keepLines w:val="0"/>
        <w:pageBreakBefore w:val="0"/>
        <w:widowControl w:val="0"/>
        <w:kinsoku/>
        <w:wordWrap w:val="0"/>
        <w:overflowPunct/>
        <w:topLinePunct/>
        <w:autoSpaceDE/>
        <w:autoSpaceDN/>
        <w:bidi w:val="0"/>
        <w:spacing w:line="480" w:lineRule="auto"/>
        <w:ind w:firstLine="2150" w:firstLineChars="896"/>
        <w:jc w:val="left"/>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供应商（公章）：</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p>
    <w:p w14:paraId="4C6E403A">
      <w:pPr>
        <w:keepNext w:val="0"/>
        <w:keepLines w:val="0"/>
        <w:pageBreakBefore w:val="0"/>
        <w:widowControl w:val="0"/>
        <w:kinsoku/>
        <w:wordWrap w:val="0"/>
        <w:overflowPunct/>
        <w:topLinePunct/>
        <w:autoSpaceDE/>
        <w:autoSpaceDN/>
        <w:bidi w:val="0"/>
        <w:spacing w:line="480" w:lineRule="auto"/>
        <w:ind w:firstLine="2150" w:firstLineChars="896"/>
        <w:jc w:val="left"/>
        <w:rPr>
          <w:rFonts w:hint="eastAsia" w:ascii="宋体" w:hAnsi="宋体" w:eastAsia="宋体" w:cs="宋体"/>
          <w:color w:val="auto"/>
          <w:spacing w:val="0"/>
          <w:kern w:val="2"/>
          <w:sz w:val="24"/>
          <w:szCs w:val="24"/>
          <w:highlight w:val="none"/>
          <w:u w:val="single"/>
        </w:rPr>
      </w:pPr>
      <w:r>
        <w:rPr>
          <w:rFonts w:hint="eastAsia" w:ascii="宋体" w:hAnsi="宋体" w:eastAsia="宋体" w:cs="宋体"/>
          <w:color w:val="auto"/>
          <w:spacing w:val="0"/>
          <w:kern w:val="2"/>
          <w:sz w:val="24"/>
          <w:szCs w:val="24"/>
          <w:highlight w:val="none"/>
          <w:lang w:val="zh-CN"/>
        </w:rPr>
        <w:t>法定代表人或其委托代理人（签字</w:t>
      </w:r>
      <w:r>
        <w:rPr>
          <w:rFonts w:hint="eastAsia" w:ascii="宋体" w:hAnsi="宋体" w:eastAsia="宋体" w:cs="宋体"/>
          <w:color w:val="auto"/>
          <w:spacing w:val="0"/>
          <w:kern w:val="2"/>
          <w:sz w:val="24"/>
          <w:szCs w:val="24"/>
          <w:highlight w:val="none"/>
          <w:lang w:val="en-US" w:eastAsia="zh-CN"/>
        </w:rPr>
        <w:t>或盖章</w:t>
      </w:r>
      <w:r>
        <w:rPr>
          <w:rFonts w:hint="eastAsia" w:ascii="宋体" w:hAnsi="宋体" w:eastAsia="宋体" w:cs="宋体"/>
          <w:color w:val="auto"/>
          <w:spacing w:val="0"/>
          <w:kern w:val="2"/>
          <w:sz w:val="24"/>
          <w:szCs w:val="24"/>
          <w:highlight w:val="none"/>
          <w:lang w:val="zh-CN"/>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p>
    <w:p w14:paraId="47A8916D">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jc w:val="center"/>
        <w:textAlignment w:val="auto"/>
        <w:outlineLvl w:val="9"/>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color w:val="auto"/>
          <w:spacing w:val="0"/>
          <w:kern w:val="2"/>
          <w:sz w:val="24"/>
          <w:szCs w:val="24"/>
          <w:highlight w:val="none"/>
        </w:rPr>
        <w:t>日    期：</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p>
    <w:p w14:paraId="79FCBBD2">
      <w:pPr>
        <w:keepNext w:val="0"/>
        <w:keepLines w:val="0"/>
        <w:pageBreakBefore w:val="0"/>
        <w:widowControl w:val="0"/>
        <w:kinsoku/>
        <w:overflowPunct/>
        <w:autoSpaceDE/>
        <w:autoSpaceDN/>
        <w:bidi w:val="0"/>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color w:val="auto"/>
          <w:spacing w:val="0"/>
          <w:kern w:val="2"/>
          <w:sz w:val="24"/>
          <w:szCs w:val="24"/>
          <w:highlight w:val="none"/>
          <w:u w:val="single"/>
          <w:lang w:val="en-US" w:eastAsia="zh-CN"/>
        </w:rPr>
        <w:br w:type="page"/>
      </w:r>
    </w:p>
    <w:p w14:paraId="2D3F8B06">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color w:val="auto"/>
          <w:spacing w:val="0"/>
          <w:kern w:val="2"/>
          <w:sz w:val="24"/>
          <w:szCs w:val="24"/>
          <w:highlight w:val="none"/>
        </w:rPr>
      </w:pPr>
      <w:r>
        <w:rPr>
          <w:rFonts w:hint="eastAsia" w:ascii="宋体" w:hAnsi="宋体" w:eastAsia="宋体" w:cs="宋体"/>
          <w:b/>
          <w:bCs/>
          <w:color w:val="auto"/>
          <w:spacing w:val="0"/>
          <w:kern w:val="2"/>
          <w:sz w:val="24"/>
          <w:szCs w:val="24"/>
          <w:highlight w:val="none"/>
          <w:lang w:val="en-US" w:eastAsia="zh-CN" w:bidi="ar-SA"/>
        </w:rPr>
        <w:t>3、供应商承诺书</w:t>
      </w:r>
    </w:p>
    <w:p w14:paraId="73F427C4">
      <w:pPr>
        <w:keepNext w:val="0"/>
        <w:keepLines w:val="0"/>
        <w:pageBreakBefore w:val="0"/>
        <w:widowControl w:val="0"/>
        <w:numPr>
          <w:ilvl w:val="0"/>
          <w:numId w:val="0"/>
        </w:numPr>
        <w:kinsoku/>
        <w:wordWrap w:val="0"/>
        <w:overflowPunct/>
        <w:topLinePunct/>
        <w:autoSpaceDE/>
        <w:autoSpaceDN/>
        <w:bidi w:val="0"/>
        <w:spacing w:line="360" w:lineRule="auto"/>
        <w:jc w:val="center"/>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（1）参加政府采购活动行为自律承诺书</w:t>
      </w:r>
    </w:p>
    <w:p w14:paraId="4E69359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作为参加本次政府采购项目的投标人，我方郑重承诺在参与政府采购活动中遵纪守法、公平竞争、诚实守信，如有违反愿承担一切责任及后果：</w:t>
      </w:r>
    </w:p>
    <w:p w14:paraId="54EB565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1．不与采购人、采购代理机构、政府采购评审专家恶意串通，不向其行贿或提供其他不正当利益；</w:t>
      </w:r>
    </w:p>
    <w:p w14:paraId="2D023383">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2．不与其他投标人恶意串通，采取“围标、串标、陪标”等商业欺诈手段谋取中标、成交；</w:t>
      </w:r>
    </w:p>
    <w:p w14:paraId="71B9614D">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3．不提供虚假或无效证明文件（包括但不限于资格证明文件、合同及验收文件、检验检测报告、从业人员资格证书、机构或所投产品的各类认证证书等）或虚假材料谋取中标；</w:t>
      </w:r>
    </w:p>
    <w:p w14:paraId="190079D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rPr>
        <w:t>4．不采取不正当手段诋毁、排挤其他供应商；</w:t>
      </w:r>
      <w:r>
        <w:rPr>
          <w:rFonts w:hint="eastAsia" w:ascii="宋体" w:hAnsi="宋体" w:eastAsia="宋体" w:cs="宋体"/>
          <w:color w:val="auto"/>
          <w:spacing w:val="0"/>
          <w:kern w:val="2"/>
          <w:sz w:val="24"/>
          <w:szCs w:val="24"/>
          <w:highlight w:val="none"/>
          <w:lang w:val="en-US" w:eastAsia="zh-CN"/>
        </w:rPr>
        <w:t xml:space="preserve"> </w:t>
      </w:r>
    </w:p>
    <w:p w14:paraId="4DBB57F5">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5．不以不正当理由拒不与采购人签订政府采购合同，或逾期签订政府采购合同，或不按照采购文件确定的事项签订政府采购合同；</w:t>
      </w:r>
    </w:p>
    <w:p w14:paraId="2150D00E">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6．不以不正当理由拒绝履行合同义务，不会擅自变更、中止或者终止政府采购合同或将政府采购合同转包；</w:t>
      </w:r>
    </w:p>
    <w:p w14:paraId="6180F789">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7．不在提供商品、服务或工程施工过程中提供假冒伪劣产品，损害采购人的合法权益或公共利益；</w:t>
      </w:r>
    </w:p>
    <w:p w14:paraId="5C219C4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8．不采取捏造事实、提供虚假材料或者以非法手段取得证明材料进行质疑和投诉；</w:t>
      </w:r>
    </w:p>
    <w:p w14:paraId="24A8CBB4">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9．不发生其他有悖于政府采购公开、公平、公正和诚信原则的行为。</w:t>
      </w:r>
    </w:p>
    <w:p w14:paraId="6A86C0BF">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10．尊重和接受政府采购监督管理部门的监督和采购人、采购代理机构的政府采购工作要求，愿意承担因违约行为给采购人造成的损失。</w:t>
      </w:r>
    </w:p>
    <w:p w14:paraId="602A2C90">
      <w:pPr>
        <w:keepNext w:val="0"/>
        <w:keepLines w:val="0"/>
        <w:pageBreakBefore w:val="0"/>
        <w:widowControl w:val="0"/>
        <w:kinsoku/>
        <w:wordWrap w:val="0"/>
        <w:overflowPunct/>
        <w:topLinePunct/>
        <w:autoSpaceDE/>
        <w:autoSpaceDN/>
        <w:bidi w:val="0"/>
        <w:spacing w:line="360" w:lineRule="auto"/>
        <w:ind w:firstLine="420" w:firstLineChars="200"/>
        <w:rPr>
          <w:rFonts w:hint="eastAsia" w:ascii="宋体" w:hAnsi="宋体" w:eastAsia="宋体" w:cs="宋体"/>
          <w:color w:val="auto"/>
          <w:spacing w:val="0"/>
          <w:kern w:val="2"/>
          <w:szCs w:val="21"/>
          <w:highlight w:val="none"/>
        </w:rPr>
      </w:pPr>
    </w:p>
    <w:p w14:paraId="104E86F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承诺人：</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（供应商名称、加盖单位章）</w:t>
      </w:r>
    </w:p>
    <w:p w14:paraId="2ABA0A6A">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p>
    <w:p w14:paraId="1FCA7B81">
      <w:pPr>
        <w:keepNext w:val="0"/>
        <w:keepLines w:val="0"/>
        <w:pageBreakBefore w:val="0"/>
        <w:widowControl w:val="0"/>
        <w:kinsoku/>
        <w:wordWrap w:val="0"/>
        <w:overflowPunct/>
        <w:topLinePunct/>
        <w:autoSpaceDE/>
        <w:autoSpaceDN/>
        <w:bidi w:val="0"/>
        <w:spacing w:line="360" w:lineRule="auto"/>
        <w:ind w:firstLine="480" w:firstLineChars="20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日  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7B237813">
      <w:pPr>
        <w:keepNext w:val="0"/>
        <w:keepLines w:val="0"/>
        <w:pageBreakBefore w:val="0"/>
        <w:widowControl w:val="0"/>
        <w:kinsoku/>
        <w:wordWrap w:val="0"/>
        <w:overflowPunct/>
        <w:topLinePunct/>
        <w:autoSpaceDE/>
        <w:autoSpaceDN/>
        <w:bidi w:val="0"/>
        <w:rPr>
          <w:rFonts w:hint="eastAsia" w:ascii="宋体" w:hAnsi="宋体" w:eastAsia="宋体" w:cs="宋体"/>
          <w:b/>
          <w:bCs w:val="0"/>
          <w:color w:val="auto"/>
          <w:spacing w:val="0"/>
          <w:kern w:val="2"/>
          <w:sz w:val="24"/>
          <w:szCs w:val="24"/>
          <w:highlight w:val="none"/>
          <w:lang w:val="en-US" w:eastAsia="zh-CN"/>
        </w:rPr>
      </w:pPr>
      <w:r>
        <w:rPr>
          <w:rFonts w:hint="eastAsia" w:ascii="宋体" w:hAnsi="宋体" w:eastAsia="宋体" w:cs="宋体"/>
          <w:b/>
          <w:bCs w:val="0"/>
          <w:color w:val="auto"/>
          <w:spacing w:val="0"/>
          <w:kern w:val="2"/>
          <w:sz w:val="24"/>
          <w:szCs w:val="24"/>
          <w:highlight w:val="none"/>
          <w:lang w:val="en-US" w:eastAsia="zh-CN"/>
        </w:rPr>
        <w:br w:type="page"/>
      </w:r>
    </w:p>
    <w:p w14:paraId="5A4375EE">
      <w:pPr>
        <w:keepNext w:val="0"/>
        <w:keepLines w:val="0"/>
        <w:pageBreakBefore w:val="0"/>
        <w:widowControl w:val="0"/>
        <w:numPr>
          <w:ilvl w:val="0"/>
          <w:numId w:val="0"/>
        </w:numPr>
        <w:kinsoku/>
        <w:wordWrap w:val="0"/>
        <w:overflowPunct/>
        <w:topLinePunct/>
        <w:autoSpaceDE/>
        <w:autoSpaceDN/>
        <w:bidi w:val="0"/>
        <w:snapToGrid/>
        <w:spacing w:line="400" w:lineRule="exact"/>
        <w:jc w:val="center"/>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（2）宝鸡市政府采购供应商诚信承诺书</w:t>
      </w:r>
    </w:p>
    <w:p w14:paraId="5A19A7BF">
      <w:pPr>
        <w:keepNext w:val="0"/>
        <w:keepLines w:val="0"/>
        <w:pageBreakBefore w:val="0"/>
        <w:widowControl w:val="0"/>
        <w:kinsoku/>
        <w:wordWrap w:val="0"/>
        <w:overflowPunct/>
        <w:topLinePunct/>
        <w:autoSpaceDE/>
        <w:autoSpaceDN/>
        <w:bidi w:val="0"/>
        <w:adjustRightInd/>
        <w:snapToGrid/>
        <w:spacing w:line="400" w:lineRule="exact"/>
        <w:ind w:left="0" w:leftChars="0" w:firstLine="0" w:firstLineChars="0"/>
        <w:textAlignment w:val="auto"/>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bCs/>
          <w:color w:val="auto"/>
          <w:spacing w:val="0"/>
          <w:kern w:val="2"/>
          <w:sz w:val="24"/>
          <w:szCs w:val="24"/>
          <w:highlight w:val="none"/>
        </w:rPr>
        <w:t>致：</w:t>
      </w:r>
      <w:r>
        <w:rPr>
          <w:rFonts w:hint="eastAsia" w:ascii="宋体" w:hAnsi="宋体" w:eastAsia="宋体" w:cs="宋体"/>
          <w:bCs/>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en-US" w:eastAsia="zh-CN"/>
        </w:rPr>
        <w:t xml:space="preserve">采购人 </w:t>
      </w:r>
    </w:p>
    <w:p w14:paraId="6C0675E3">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统一社会信用代码证为</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的我方</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（供应商名称）自愿参加贵单位组织的编号为</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（采购项目编号）的</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项目（</w:t>
      </w:r>
      <w:r>
        <w:rPr>
          <w:rFonts w:hint="eastAsia" w:ascii="宋体" w:hAnsi="宋体" w:eastAsia="宋体" w:cs="宋体"/>
          <w:color w:val="auto"/>
          <w:spacing w:val="0"/>
          <w:kern w:val="2"/>
          <w:sz w:val="24"/>
          <w:szCs w:val="24"/>
          <w:highlight w:val="none"/>
          <w:lang w:val="zh-CN"/>
        </w:rPr>
        <w:t>项目名称</w:t>
      </w:r>
      <w:r>
        <w:rPr>
          <w:rFonts w:hint="eastAsia" w:ascii="宋体" w:hAnsi="宋体" w:eastAsia="宋体" w:cs="宋体"/>
          <w:color w:val="auto"/>
          <w:spacing w:val="0"/>
          <w:kern w:val="2"/>
          <w:sz w:val="24"/>
          <w:szCs w:val="24"/>
          <w:highlight w:val="none"/>
        </w:rPr>
        <w:t>）的政府采购活动，我方已知悉并理解本项目采购文件的各项要求。为贯彻公开、公平、公正和诚实信用的政府采购原则，共同维护宝鸡市政府采购市场良好秩序，我方郑重声明和承诺如下：</w:t>
      </w:r>
    </w:p>
    <w:p w14:paraId="3EFC88CC">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一、在参加本次政府采购活动中严格遵守《中国人民共和国政府采购法》等法律、法规、规章及宝鸡市有关规定。</w:t>
      </w:r>
    </w:p>
    <w:p w14:paraId="0FB63DCE">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二、我方郑重声明。在参加本次政府采购活动三年内，无因违法经营受到刑事处罚或者责令停产停业、吊销许可证或者执照、较大数额罚款等重大违法记录。</w:t>
      </w:r>
    </w:p>
    <w:p w14:paraId="63E25400">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我方同时声明，在参加本次政府采购活动前，未被列入失信被执行人、重大税收违法案件当事人名单、政府采购严重违法失信行为记录名单。</w:t>
      </w:r>
    </w:p>
    <w:p w14:paraId="366C197E">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我方对以上生命的正式性负责，接收采购人、采购代理机构根据相关政策规定进行的信用记录查询。如发现以上声明不实，我方承担相应后果。</w:t>
      </w:r>
    </w:p>
    <w:p w14:paraId="15A41786">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三、我方郑重承诺，在参加本次政府采购活动中：</w:t>
      </w:r>
    </w:p>
    <w:p w14:paraId="63A3D0D3">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（1）不向采购人、采购代理机构和评审专家提供任何形式的商业贿赂或者提供其他不正当利益。对索取或接受商业贿赂的单位和个人，及时向财政部门和监察机关举报；</w:t>
      </w:r>
    </w:p>
    <w:p w14:paraId="591C51A5">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（2）不与其他供应商串通采取围标、陪标等商业欺诈手段谋取中标（成交）；</w:t>
      </w:r>
    </w:p>
    <w:p w14:paraId="2EBB6ED1">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（3）不出借或借用资质；</w:t>
      </w:r>
    </w:p>
    <w:p w14:paraId="7A8D0F48">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（4）不与采购人、采购代理机构、评审专家恶意串通；</w:t>
      </w:r>
    </w:p>
    <w:p w14:paraId="49C387AA">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（5）不采取不正当手段诋毁、排挤其他供应商；</w:t>
      </w:r>
    </w:p>
    <w:p w14:paraId="07AF8ACE">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（6）不以虚假材料谋取中标（成交）；</w:t>
      </w:r>
    </w:p>
    <w:p w14:paraId="23EDD36A">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（7）不以低于成本或恶意低价竞争；</w:t>
      </w:r>
    </w:p>
    <w:p w14:paraId="6FEE4403">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（8）不与采购人在招标采购过程中进行协商</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w:t>
      </w:r>
    </w:p>
    <w:p w14:paraId="36B4F9CB">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（9）中标或者成交后不得提供假冒伪劣产品；</w:t>
      </w:r>
    </w:p>
    <w:p w14:paraId="4590063D">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（10）中标或者成交后非因不可抗力不得变更投标（响应）文件中承诺的项目管理实施人员；</w:t>
      </w:r>
    </w:p>
    <w:p w14:paraId="2B945BE9">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（11）中标或者成交后无正当理由不得拒不与采购人签订政府采购合同；</w:t>
      </w:r>
    </w:p>
    <w:p w14:paraId="142EB801">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（12）不得有未按招标采购文件确定的事项与采购人签订政府采购合同，或者与采购人另行订立背离合同实质性内容协议的行为；</w:t>
      </w:r>
    </w:p>
    <w:p w14:paraId="75068C68">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（13）不转包或违法分包政府采购合同，不擅自变更、终止或者终止政府采购合同；</w:t>
      </w:r>
    </w:p>
    <w:p w14:paraId="4BA484BB">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（14）不捏造事实、提供虚假材料或者以非法手段取得证明材料进行质疑、投诉；</w:t>
      </w:r>
    </w:p>
    <w:p w14:paraId="0445426E">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（15）不得有拒绝有关部门监督检查或者提供虚假情况的行为；</w:t>
      </w:r>
    </w:p>
    <w:p w14:paraId="6FFEBA17">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（16）不得有其他违反国家法律法规和规章要求的违法犯罪或者失信行为</w:t>
      </w:r>
      <w:r>
        <w:rPr>
          <w:rFonts w:hint="eastAsia" w:ascii="宋体" w:hAnsi="宋体" w:eastAsia="宋体" w:cs="宋体"/>
          <w:color w:val="auto"/>
          <w:spacing w:val="0"/>
          <w:kern w:val="2"/>
          <w:sz w:val="24"/>
          <w:szCs w:val="24"/>
          <w:highlight w:val="none"/>
          <w:lang w:eastAsia="zh-CN"/>
        </w:rPr>
        <w:t>；</w:t>
      </w:r>
    </w:p>
    <w:p w14:paraId="7EC57A69">
      <w:pPr>
        <w:pStyle w:val="14"/>
        <w:keepNext w:val="0"/>
        <w:keepLines w:val="0"/>
        <w:pageBreakBefore w:val="0"/>
        <w:widowControl w:val="0"/>
        <w:kinsoku/>
        <w:wordWrap w:val="0"/>
        <w:overflowPunct/>
        <w:topLinePunct/>
        <w:autoSpaceDE/>
        <w:autoSpaceDN/>
        <w:bidi w:val="0"/>
        <w:snapToGrid/>
        <w:spacing w:after="0" w:line="400" w:lineRule="exact"/>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（17）具有履行本项目合同所必需的技术设备和专业能力。</w:t>
      </w:r>
    </w:p>
    <w:p w14:paraId="44B969C6">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四、如有违反以上声明或者承诺之一情形的，我方知悉并接受采购人、采购代理机构和政府采购监督管理部门等政府职能部门将采取以下一种或几种方式追究我方责任：</w:t>
      </w:r>
    </w:p>
    <w:p w14:paraId="5D120F60">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1、投标（响应）无效；</w:t>
      </w:r>
    </w:p>
    <w:p w14:paraId="2E9A4E97">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2、不予退还</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保证金或者履约保证金；</w:t>
      </w:r>
    </w:p>
    <w:p w14:paraId="6C8A2CB0">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3、约谈法定代表人或者主要负责人，责令整改；</w:t>
      </w:r>
    </w:p>
    <w:p w14:paraId="178FEB28">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4、中标（成交）无效；</w:t>
      </w:r>
    </w:p>
    <w:p w14:paraId="157E066A">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5、处以采购金额千分之五以上千分之十以下的罚款，列入不良行为记录名单，在一至三年内禁止参加政府采购活动；</w:t>
      </w:r>
    </w:p>
    <w:p w14:paraId="6E8A7808">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6、没收违法得所得；</w:t>
      </w:r>
    </w:p>
    <w:p w14:paraId="676D6DF9">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7、吊销营业执照；</w:t>
      </w:r>
    </w:p>
    <w:p w14:paraId="0C83DAC2">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8、政府相关部门的联合惩戒措施；</w:t>
      </w:r>
    </w:p>
    <w:p w14:paraId="5D98264E">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9、追究民事责任；</w:t>
      </w:r>
    </w:p>
    <w:p w14:paraId="75ED28E6">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10、追究刑事责任；</w:t>
      </w:r>
    </w:p>
    <w:p w14:paraId="1861249C">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11、法律法规规定的其他处理处罚措施。</w:t>
      </w:r>
    </w:p>
    <w:p w14:paraId="17EB8196">
      <w:pPr>
        <w:keepNext w:val="0"/>
        <w:keepLines w:val="0"/>
        <w:pageBreakBefore w:val="0"/>
        <w:widowControl w:val="0"/>
        <w:kinsoku/>
        <w:wordWrap w:val="0"/>
        <w:overflowPunct/>
        <w:topLinePunct/>
        <w:autoSpaceDE/>
        <w:autoSpaceDN/>
        <w:bidi w:val="0"/>
        <w:adjustRightInd/>
        <w:snapToGrid/>
        <w:spacing w:line="400" w:lineRule="exact"/>
        <w:ind w:firstLine="480"/>
        <w:textAlignment w:val="auto"/>
        <w:rPr>
          <w:rFonts w:hint="eastAsia" w:ascii="宋体" w:hAnsi="宋体" w:eastAsia="宋体" w:cs="宋体"/>
          <w:color w:val="auto"/>
          <w:spacing w:val="0"/>
          <w:kern w:val="2"/>
          <w:sz w:val="24"/>
          <w:szCs w:val="24"/>
          <w:highlight w:val="none"/>
        </w:rPr>
      </w:pPr>
    </w:p>
    <w:p w14:paraId="024CE21D">
      <w:pPr>
        <w:pStyle w:val="46"/>
        <w:keepNext w:val="0"/>
        <w:keepLines w:val="0"/>
        <w:pageBreakBefore w:val="0"/>
        <w:widowControl w:val="0"/>
        <w:kinsoku/>
        <w:wordWrap w:val="0"/>
        <w:overflowPunct/>
        <w:topLinePunct/>
        <w:autoSpaceDE/>
        <w:autoSpaceDN/>
        <w:bidi w:val="0"/>
        <w:snapToGrid/>
        <w:spacing w:line="400" w:lineRule="exact"/>
        <w:rPr>
          <w:rFonts w:hint="eastAsia" w:ascii="宋体" w:hAnsi="宋体" w:eastAsia="宋体" w:cs="宋体"/>
          <w:color w:val="auto"/>
          <w:spacing w:val="0"/>
          <w:kern w:val="2"/>
          <w:sz w:val="24"/>
          <w:szCs w:val="24"/>
          <w:highlight w:val="none"/>
        </w:rPr>
      </w:pPr>
    </w:p>
    <w:p w14:paraId="5D2DBA58">
      <w:pPr>
        <w:keepNext w:val="0"/>
        <w:keepLines w:val="0"/>
        <w:pageBreakBefore w:val="0"/>
        <w:widowControl w:val="0"/>
        <w:kinsoku/>
        <w:wordWrap w:val="0"/>
        <w:overflowPunct/>
        <w:topLinePunct/>
        <w:autoSpaceDE/>
        <w:autoSpaceDN/>
        <w:bidi w:val="0"/>
        <w:snapToGrid/>
        <w:spacing w:line="400" w:lineRule="exact"/>
        <w:ind w:firstLine="2160" w:firstLineChars="900"/>
        <w:jc w:val="left"/>
        <w:outlineLvl w:val="9"/>
        <w:rPr>
          <w:rFonts w:hint="eastAsia" w:ascii="宋体" w:hAnsi="宋体" w:eastAsia="宋体" w:cs="宋体"/>
          <w:b w:val="0"/>
          <w:bCs w:val="0"/>
          <w:color w:val="auto"/>
          <w:spacing w:val="0"/>
          <w:kern w:val="2"/>
          <w:sz w:val="24"/>
          <w:szCs w:val="24"/>
          <w:highlight w:val="none"/>
          <w:u w:val="none"/>
          <w:lang w:val="en-US" w:eastAsia="zh-CN"/>
        </w:rPr>
      </w:pPr>
      <w:r>
        <w:rPr>
          <w:rFonts w:hint="eastAsia" w:ascii="宋体" w:hAnsi="宋体" w:eastAsia="宋体" w:cs="宋体"/>
          <w:b w:val="0"/>
          <w:bCs w:val="0"/>
          <w:color w:val="auto"/>
          <w:spacing w:val="0"/>
          <w:kern w:val="2"/>
          <w:sz w:val="24"/>
          <w:szCs w:val="24"/>
          <w:highlight w:val="none"/>
          <w:lang w:val="en-US" w:eastAsia="zh-CN"/>
        </w:rPr>
        <w:t>供应商：</w:t>
      </w:r>
      <w:r>
        <w:rPr>
          <w:rFonts w:hint="eastAsia" w:ascii="宋体" w:hAnsi="宋体" w:eastAsia="宋体" w:cs="宋体"/>
          <w:b w:val="0"/>
          <w:bCs w:val="0"/>
          <w:color w:val="auto"/>
          <w:spacing w:val="0"/>
          <w:kern w:val="2"/>
          <w:sz w:val="24"/>
          <w:szCs w:val="24"/>
          <w:highlight w:val="none"/>
          <w:u w:val="single"/>
          <w:lang w:val="en-US" w:eastAsia="zh-CN"/>
        </w:rPr>
        <w:t xml:space="preserve">                              </w:t>
      </w:r>
      <w:r>
        <w:rPr>
          <w:rFonts w:hint="eastAsia" w:ascii="宋体" w:hAnsi="宋体" w:eastAsia="宋体" w:cs="宋体"/>
          <w:b w:val="0"/>
          <w:bCs w:val="0"/>
          <w:color w:val="auto"/>
          <w:spacing w:val="0"/>
          <w:kern w:val="2"/>
          <w:sz w:val="24"/>
          <w:szCs w:val="24"/>
          <w:highlight w:val="none"/>
          <w:u w:val="none"/>
          <w:lang w:val="en-US" w:eastAsia="zh-CN"/>
        </w:rPr>
        <w:t>（盖章）</w:t>
      </w:r>
    </w:p>
    <w:p w14:paraId="54264D1A">
      <w:pPr>
        <w:pStyle w:val="46"/>
        <w:keepNext w:val="0"/>
        <w:keepLines w:val="0"/>
        <w:pageBreakBefore w:val="0"/>
        <w:widowControl w:val="0"/>
        <w:kinsoku/>
        <w:wordWrap w:val="0"/>
        <w:overflowPunct/>
        <w:topLinePunct/>
        <w:autoSpaceDE/>
        <w:autoSpaceDN/>
        <w:bidi w:val="0"/>
        <w:snapToGrid/>
        <w:spacing w:line="400" w:lineRule="exact"/>
        <w:ind w:left="1260" w:leftChars="0" w:firstLine="960" w:firstLineChars="4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zh-CN"/>
        </w:rPr>
        <w:t>法定代表人或其委托代理人：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 xml:space="preserve"> （签字</w:t>
      </w:r>
      <w:r>
        <w:rPr>
          <w:rFonts w:hint="eastAsia" w:ascii="宋体" w:hAnsi="宋体" w:eastAsia="宋体" w:cs="宋体"/>
          <w:color w:val="auto"/>
          <w:spacing w:val="0"/>
          <w:kern w:val="2"/>
          <w:sz w:val="24"/>
          <w:szCs w:val="24"/>
          <w:highlight w:val="none"/>
          <w:lang w:val="en-US" w:eastAsia="zh-CN"/>
        </w:rPr>
        <w:t>或盖章</w:t>
      </w:r>
      <w:r>
        <w:rPr>
          <w:rFonts w:hint="eastAsia" w:ascii="宋体" w:hAnsi="宋体" w:eastAsia="宋体" w:cs="宋体"/>
          <w:color w:val="auto"/>
          <w:spacing w:val="0"/>
          <w:kern w:val="2"/>
          <w:sz w:val="24"/>
          <w:szCs w:val="24"/>
          <w:highlight w:val="none"/>
          <w:lang w:val="zh-CN"/>
        </w:rPr>
        <w:t>）</w:t>
      </w:r>
    </w:p>
    <w:p w14:paraId="241ADC41">
      <w:pPr>
        <w:pStyle w:val="2"/>
        <w:keepNext w:val="0"/>
        <w:keepLines w:val="0"/>
        <w:pageBreakBefore w:val="0"/>
        <w:widowControl w:val="0"/>
        <w:kinsoku/>
        <w:wordWrap w:val="0"/>
        <w:overflowPunct/>
        <w:topLinePunct/>
        <w:autoSpaceDE/>
        <w:autoSpaceDN/>
        <w:bidi w:val="0"/>
        <w:adjustRightInd/>
        <w:snapToGrid/>
        <w:spacing w:line="400" w:lineRule="exact"/>
        <w:ind w:left="1260" w:leftChars="0" w:firstLine="960" w:firstLineChars="40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日     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2D64F9CA">
      <w:pPr>
        <w:keepNext w:val="0"/>
        <w:keepLines w:val="0"/>
        <w:pageBreakBefore w:val="0"/>
        <w:widowControl w:val="0"/>
        <w:kinsoku/>
        <w:wordWrap w:val="0"/>
        <w:overflowPunct/>
        <w:topLinePunct/>
        <w:autoSpaceDE/>
        <w:autoSpaceDN/>
        <w:bidi w:val="0"/>
        <w:spacing w:line="480" w:lineRule="auto"/>
        <w:ind w:left="0" w:leftChars="0" w:firstLine="0" w:firstLineChars="0"/>
        <w:rPr>
          <w:rFonts w:hint="eastAsia" w:ascii="宋体" w:hAnsi="宋体" w:eastAsia="宋体" w:cs="宋体"/>
          <w:color w:val="auto"/>
          <w:spacing w:val="0"/>
          <w:kern w:val="2"/>
          <w:sz w:val="24"/>
          <w:szCs w:val="24"/>
          <w:highlight w:val="none"/>
          <w:lang w:val="en-US" w:eastAsia="zh-CN"/>
        </w:rPr>
        <w:sectPr>
          <w:footerReference r:id="rId13" w:type="first"/>
          <w:headerReference r:id="rId11" w:type="default"/>
          <w:footerReference r:id="rId12" w:type="default"/>
          <w:pgSz w:w="11905" w:h="16838"/>
          <w:pgMar w:top="1440" w:right="1800" w:bottom="1440" w:left="1800"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p>
    <w:p w14:paraId="48F3E630">
      <w:pPr>
        <w:keepNext w:val="0"/>
        <w:keepLines w:val="0"/>
        <w:pageBreakBefore w:val="0"/>
        <w:widowControl w:val="0"/>
        <w:kinsoku/>
        <w:wordWrap w:val="0"/>
        <w:overflowPunct/>
        <w:topLinePunct/>
        <w:autoSpaceDE/>
        <w:autoSpaceDN/>
        <w:bidi w:val="0"/>
        <w:spacing w:line="520" w:lineRule="exact"/>
        <w:ind w:firstLine="0" w:firstLineChars="0"/>
        <w:jc w:val="center"/>
        <w:outlineLvl w:val="9"/>
        <w:rPr>
          <w:rFonts w:hint="eastAsia" w:ascii="宋体" w:hAnsi="宋体" w:eastAsia="宋体" w:cs="宋体"/>
          <w:b w:val="0"/>
          <w:color w:val="auto"/>
          <w:spacing w:val="0"/>
          <w:kern w:val="2"/>
          <w:sz w:val="24"/>
          <w:szCs w:val="24"/>
          <w:highlight w:val="none"/>
          <w:lang w:val="en-US" w:eastAsia="zh-CN" w:bidi="ar-SA"/>
        </w:rPr>
      </w:pPr>
      <w:r>
        <w:rPr>
          <w:rFonts w:hint="eastAsia" w:ascii="宋体" w:hAnsi="宋体" w:eastAsia="宋体" w:cs="宋体"/>
          <w:b w:val="0"/>
          <w:color w:val="auto"/>
          <w:spacing w:val="0"/>
          <w:kern w:val="2"/>
          <w:sz w:val="24"/>
          <w:szCs w:val="24"/>
          <w:highlight w:val="none"/>
          <w:lang w:val="en-US" w:eastAsia="zh-CN" w:bidi="ar-SA"/>
        </w:rPr>
        <w:t>（3）《拒绝政府采购领域商业贿赂承诺书》</w:t>
      </w:r>
    </w:p>
    <w:p w14:paraId="6E377BBC">
      <w:pPr>
        <w:keepNext w:val="0"/>
        <w:keepLines w:val="0"/>
        <w:pageBreakBefore w:val="0"/>
        <w:widowControl w:val="0"/>
        <w:kinsoku/>
        <w:wordWrap w:val="0"/>
        <w:overflowPunct/>
        <w:topLinePunct/>
        <w:autoSpaceDE/>
        <w:autoSpaceDN/>
        <w:bidi w:val="0"/>
        <w:spacing w:line="520" w:lineRule="exact"/>
        <w:ind w:firstLine="0" w:firstLineChars="0"/>
        <w:jc w:val="center"/>
        <w:outlineLvl w:val="9"/>
        <w:rPr>
          <w:rFonts w:hint="eastAsia" w:ascii="宋体" w:hAnsi="宋体" w:eastAsia="宋体" w:cs="宋体"/>
          <w:b w:val="0"/>
          <w:color w:val="auto"/>
          <w:spacing w:val="0"/>
          <w:kern w:val="2"/>
          <w:sz w:val="24"/>
          <w:szCs w:val="24"/>
          <w:highlight w:val="none"/>
          <w:lang w:val="en-US" w:eastAsia="zh-CN" w:bidi="ar-SA"/>
        </w:rPr>
      </w:pPr>
      <w:r>
        <w:rPr>
          <w:rFonts w:hint="eastAsia" w:ascii="宋体" w:hAnsi="宋体" w:eastAsia="宋体" w:cs="宋体"/>
          <w:b w:val="0"/>
          <w:color w:val="auto"/>
          <w:spacing w:val="0"/>
          <w:kern w:val="2"/>
          <w:sz w:val="24"/>
          <w:szCs w:val="24"/>
          <w:highlight w:val="none"/>
          <w:lang w:val="en-US" w:eastAsia="zh-CN" w:bidi="ar-SA"/>
        </w:rPr>
        <w:t>陕西省政府采购供应商</w:t>
      </w:r>
    </w:p>
    <w:p w14:paraId="077F3547">
      <w:pPr>
        <w:keepNext w:val="0"/>
        <w:keepLines w:val="0"/>
        <w:pageBreakBefore w:val="0"/>
        <w:widowControl w:val="0"/>
        <w:kinsoku/>
        <w:wordWrap w:val="0"/>
        <w:overflowPunct/>
        <w:topLinePunct/>
        <w:autoSpaceDE/>
        <w:autoSpaceDN/>
        <w:bidi w:val="0"/>
        <w:spacing w:line="520" w:lineRule="exact"/>
        <w:ind w:firstLine="0" w:firstLineChars="0"/>
        <w:jc w:val="center"/>
        <w:outlineLvl w:val="9"/>
        <w:rPr>
          <w:rFonts w:hint="eastAsia" w:ascii="宋体" w:hAnsi="宋体" w:eastAsia="宋体" w:cs="宋体"/>
          <w:b w:val="0"/>
          <w:color w:val="auto"/>
          <w:spacing w:val="0"/>
          <w:kern w:val="2"/>
          <w:sz w:val="24"/>
          <w:szCs w:val="24"/>
          <w:highlight w:val="none"/>
          <w:lang w:val="en-US" w:eastAsia="zh-CN" w:bidi="ar-SA"/>
        </w:rPr>
      </w:pPr>
      <w:r>
        <w:rPr>
          <w:rFonts w:hint="eastAsia" w:ascii="宋体" w:hAnsi="宋体" w:eastAsia="宋体" w:cs="宋体"/>
          <w:b w:val="0"/>
          <w:color w:val="auto"/>
          <w:spacing w:val="0"/>
          <w:kern w:val="2"/>
          <w:sz w:val="24"/>
          <w:szCs w:val="24"/>
          <w:highlight w:val="none"/>
          <w:lang w:val="en-US" w:eastAsia="zh-CN" w:bidi="ar-SA"/>
        </w:rPr>
        <w:t>拒绝政府采购领域商业贿赂承诺书</w:t>
      </w:r>
    </w:p>
    <w:p w14:paraId="1722A533">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为响应党中央、国务院关于治理政府采购领域商业贿赂行为的号召，我单位在此庄严承诺： </w:t>
      </w:r>
    </w:p>
    <w:p w14:paraId="4A2381F0">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1、在参与政府采购活动中遵纪守法、诚信经营、公平竞争。 </w:t>
      </w:r>
    </w:p>
    <w:p w14:paraId="1B054A08">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2、不向采购人、采购代理机构和政府采购评审专家进行任何形式的商业贿赂以谋取交易机会。 </w:t>
      </w:r>
    </w:p>
    <w:p w14:paraId="13B6212C">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3、不向政府采购采购代理机构和采购人提供虚假资质文件或采用虚假应标方式参与政府采购市场竞争并谋取成交。 </w:t>
      </w:r>
    </w:p>
    <w:p w14:paraId="69ECA3A6">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4、不采取“围标、陪标”等商业欺诈手段获得政府采购定单。 </w:t>
      </w:r>
    </w:p>
    <w:p w14:paraId="1F0A5AB1">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5、不采取不正当手段低毁、排挤其他供应商。 </w:t>
      </w:r>
    </w:p>
    <w:p w14:paraId="3B98EA1B">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6、不在提供商品和服务时“偷梁换柱、以次充好”损害采购人的合法权益。 </w:t>
      </w:r>
    </w:p>
    <w:p w14:paraId="3F06E75E">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7、不与采购人、采购代理机构政府采购评审专家或其它供应商恶意串通，进行质疑和投诉，维护政府采购市场秩序。 </w:t>
      </w:r>
    </w:p>
    <w:p w14:paraId="4B89922E">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 xml:space="preserve">   8、尊重和接受政府采购监督管理部门的监督和政府采购代理机构采购要求，承担因违约行为给采购人造成的损失。 </w:t>
      </w:r>
    </w:p>
    <w:p w14:paraId="4FAE2C48">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xml:space="preserve">　　9、不发生其他有悖于政府采购公开、公平、公正和诚信原则的行为。 </w:t>
      </w:r>
    </w:p>
    <w:p w14:paraId="2AF56BE5">
      <w:pPr>
        <w:keepNext w:val="0"/>
        <w:keepLines w:val="0"/>
        <w:pageBreakBefore w:val="0"/>
        <w:widowControl w:val="0"/>
        <w:kinsoku/>
        <w:wordWrap w:val="0"/>
        <w:overflowPunct/>
        <w:topLinePunct/>
        <w:autoSpaceDE/>
        <w:autoSpaceDN/>
        <w:bidi w:val="0"/>
        <w:adjustRightInd/>
        <w:snapToGrid/>
        <w:spacing w:line="520" w:lineRule="exact"/>
        <w:ind w:firstLine="960" w:firstLineChars="400"/>
        <w:textAlignment w:val="auto"/>
        <w:rPr>
          <w:rFonts w:hint="eastAsia" w:ascii="宋体" w:hAnsi="宋体" w:eastAsia="宋体" w:cs="宋体"/>
          <w:color w:val="auto"/>
          <w:spacing w:val="0"/>
          <w:kern w:val="2"/>
          <w:sz w:val="24"/>
          <w:szCs w:val="24"/>
          <w:highlight w:val="none"/>
          <w:lang w:eastAsia="zh-CN"/>
        </w:rPr>
      </w:pPr>
      <w:r>
        <w:rPr>
          <w:rFonts w:hint="eastAsia" w:ascii="宋体" w:hAnsi="宋体" w:eastAsia="宋体" w:cs="宋体"/>
          <w:color w:val="auto"/>
          <w:spacing w:val="0"/>
          <w:kern w:val="2"/>
          <w:sz w:val="24"/>
          <w:szCs w:val="24"/>
          <w:highlight w:val="none"/>
        </w:rPr>
        <w:t>承诺单位：</w:t>
      </w:r>
      <w:r>
        <w:rPr>
          <w:rFonts w:hint="eastAsia" w:ascii="宋体" w:hAnsi="宋体" w:eastAsia="宋体" w:cs="宋体"/>
          <w:color w:val="auto"/>
          <w:spacing w:val="0"/>
          <w:kern w:val="2"/>
          <w:sz w:val="24"/>
          <w:szCs w:val="24"/>
          <w:highlight w:val="none"/>
          <w:u w:val="single"/>
        </w:rPr>
        <w:t>　　                 　</w:t>
      </w:r>
      <w:r>
        <w:rPr>
          <w:rFonts w:hint="eastAsia" w:ascii="宋体" w:hAnsi="宋体" w:eastAsia="宋体" w:cs="宋体"/>
          <w:color w:val="auto"/>
          <w:spacing w:val="0"/>
          <w:kern w:val="2"/>
          <w:sz w:val="24"/>
          <w:szCs w:val="24"/>
          <w:highlight w:val="none"/>
        </w:rPr>
        <w:t xml:space="preserve">（盖章） </w:t>
      </w:r>
    </w:p>
    <w:p w14:paraId="4092331F">
      <w:pPr>
        <w:keepNext w:val="0"/>
        <w:keepLines w:val="0"/>
        <w:pageBreakBefore w:val="0"/>
        <w:widowControl w:val="0"/>
        <w:kinsoku/>
        <w:wordWrap w:val="0"/>
        <w:overflowPunct/>
        <w:topLinePunct/>
        <w:autoSpaceDE/>
        <w:autoSpaceDN/>
        <w:bidi w:val="0"/>
        <w:adjustRightInd/>
        <w:snapToGrid/>
        <w:spacing w:line="520" w:lineRule="exact"/>
        <w:ind w:firstLine="560"/>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全权代表：</w:t>
      </w:r>
      <w:r>
        <w:rPr>
          <w:rFonts w:hint="eastAsia" w:ascii="宋体" w:hAnsi="宋体" w:eastAsia="宋体" w:cs="宋体"/>
          <w:color w:val="auto"/>
          <w:spacing w:val="0"/>
          <w:kern w:val="2"/>
          <w:sz w:val="24"/>
          <w:szCs w:val="24"/>
          <w:highlight w:val="none"/>
          <w:u w:val="single"/>
        </w:rPr>
        <w:t>　　　　　     　　　　</w:t>
      </w:r>
      <w:r>
        <w:rPr>
          <w:rFonts w:hint="eastAsia" w:ascii="宋体" w:hAnsi="宋体" w:eastAsia="宋体" w:cs="宋体"/>
          <w:color w:val="auto"/>
          <w:spacing w:val="0"/>
          <w:kern w:val="2"/>
          <w:sz w:val="24"/>
          <w:szCs w:val="24"/>
          <w:highlight w:val="none"/>
        </w:rPr>
        <w:t xml:space="preserve">（签字） </w:t>
      </w:r>
    </w:p>
    <w:p w14:paraId="4107FCE0">
      <w:pPr>
        <w:keepNext w:val="0"/>
        <w:keepLines w:val="0"/>
        <w:pageBreakBefore w:val="0"/>
        <w:widowControl w:val="0"/>
        <w:kinsoku/>
        <w:wordWrap w:val="0"/>
        <w:overflowPunct/>
        <w:topLinePunct/>
        <w:autoSpaceDE/>
        <w:autoSpaceDN/>
        <w:bidi w:val="0"/>
        <w:adjustRightInd/>
        <w:snapToGrid/>
        <w:spacing w:line="520" w:lineRule="exact"/>
        <w:ind w:firstLine="960" w:firstLineChars="400"/>
        <w:textAlignment w:val="auto"/>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color w:val="auto"/>
          <w:spacing w:val="0"/>
          <w:kern w:val="2"/>
          <w:sz w:val="24"/>
          <w:szCs w:val="24"/>
          <w:highlight w:val="none"/>
        </w:rPr>
        <w:t>地　　址：</w:t>
      </w:r>
      <w:r>
        <w:rPr>
          <w:rFonts w:hint="eastAsia" w:ascii="宋体" w:hAnsi="宋体" w:eastAsia="宋体" w:cs="宋体"/>
          <w:color w:val="auto"/>
          <w:spacing w:val="0"/>
          <w:kern w:val="2"/>
          <w:sz w:val="24"/>
          <w:szCs w:val="24"/>
          <w:highlight w:val="none"/>
          <w:u w:val="single"/>
          <w:lang w:val="en-US" w:eastAsia="zh-CN"/>
        </w:rPr>
        <w:t xml:space="preserve">                              </w:t>
      </w:r>
    </w:p>
    <w:p w14:paraId="3E1F1D4B">
      <w:pPr>
        <w:keepNext w:val="0"/>
        <w:keepLines w:val="0"/>
        <w:pageBreakBefore w:val="0"/>
        <w:widowControl w:val="0"/>
        <w:kinsoku/>
        <w:wordWrap w:val="0"/>
        <w:overflowPunct/>
        <w:topLinePunct/>
        <w:autoSpaceDE/>
        <w:autoSpaceDN/>
        <w:bidi w:val="0"/>
        <w:adjustRightInd/>
        <w:snapToGrid/>
        <w:spacing w:line="520" w:lineRule="exact"/>
        <w:ind w:firstLine="960" w:firstLineChars="400"/>
        <w:textAlignment w:val="auto"/>
        <w:rPr>
          <w:rFonts w:hint="eastAsia" w:ascii="宋体" w:hAnsi="宋体" w:eastAsia="宋体" w:cs="宋体"/>
          <w:color w:val="auto"/>
          <w:spacing w:val="0"/>
          <w:kern w:val="2"/>
          <w:sz w:val="24"/>
          <w:szCs w:val="24"/>
          <w:highlight w:val="none"/>
          <w:u w:val="single"/>
          <w:lang w:eastAsia="zh-CN"/>
        </w:rPr>
      </w:pPr>
      <w:r>
        <w:rPr>
          <w:rFonts w:hint="eastAsia" w:ascii="宋体" w:hAnsi="宋体" w:eastAsia="宋体" w:cs="宋体"/>
          <w:color w:val="auto"/>
          <w:spacing w:val="0"/>
          <w:kern w:val="2"/>
          <w:sz w:val="24"/>
          <w:szCs w:val="24"/>
          <w:highlight w:val="none"/>
        </w:rPr>
        <w:t>邮    编：</w:t>
      </w:r>
      <w:r>
        <w:rPr>
          <w:rFonts w:hint="eastAsia" w:ascii="宋体" w:hAnsi="宋体" w:eastAsia="宋体" w:cs="宋体"/>
          <w:color w:val="auto"/>
          <w:spacing w:val="0"/>
          <w:kern w:val="2"/>
          <w:sz w:val="24"/>
          <w:szCs w:val="24"/>
          <w:highlight w:val="none"/>
          <w:u w:val="single"/>
        </w:rPr>
        <w:t xml:space="preserve">　　                     　　 </w:t>
      </w:r>
    </w:p>
    <w:p w14:paraId="5CFDC54C">
      <w:pPr>
        <w:keepNext w:val="0"/>
        <w:keepLines w:val="0"/>
        <w:pageBreakBefore w:val="0"/>
        <w:widowControl w:val="0"/>
        <w:kinsoku/>
        <w:wordWrap w:val="0"/>
        <w:overflowPunct/>
        <w:topLinePunct/>
        <w:autoSpaceDE/>
        <w:autoSpaceDN/>
        <w:bidi w:val="0"/>
        <w:adjustRightInd/>
        <w:snapToGrid/>
        <w:spacing w:line="520" w:lineRule="exact"/>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  电　　话：</w:t>
      </w:r>
      <w:r>
        <w:rPr>
          <w:rFonts w:hint="eastAsia" w:ascii="宋体" w:hAnsi="宋体" w:eastAsia="宋体" w:cs="宋体"/>
          <w:color w:val="auto"/>
          <w:spacing w:val="0"/>
          <w:kern w:val="2"/>
          <w:sz w:val="24"/>
          <w:szCs w:val="24"/>
          <w:highlight w:val="none"/>
          <w:u w:val="single"/>
        </w:rPr>
        <w:t>　　　                　　　　</w:t>
      </w:r>
    </w:p>
    <w:p w14:paraId="56B43509">
      <w:pPr>
        <w:pStyle w:val="9"/>
        <w:keepNext w:val="0"/>
        <w:keepLines w:val="0"/>
        <w:pageBreakBefore w:val="0"/>
        <w:widowControl w:val="0"/>
        <w:kinsoku/>
        <w:wordWrap w:val="0"/>
        <w:overflowPunct/>
        <w:topLinePunct/>
        <w:autoSpaceDE/>
        <w:autoSpaceDN/>
        <w:bidi w:val="0"/>
        <w:adjustRightInd/>
        <w:snapToGrid/>
        <w:spacing w:before="0" w:after="0" w:line="520" w:lineRule="exact"/>
        <w:ind w:firstLine="0" w:firstLineChars="0"/>
        <w:textAlignment w:val="auto"/>
        <w:outlineLvl w:val="9"/>
        <w:rPr>
          <w:rFonts w:hint="eastAsia" w:ascii="宋体" w:hAnsi="宋体" w:eastAsia="宋体" w:cs="宋体"/>
          <w:color w:val="auto"/>
          <w:spacing w:val="0"/>
          <w:kern w:val="2"/>
          <w:sz w:val="24"/>
          <w:szCs w:val="24"/>
          <w:highlight w:val="none"/>
        </w:rPr>
        <w:sectPr>
          <w:footerReference r:id="rId15" w:type="first"/>
          <w:footerReference r:id="rId14" w:type="default"/>
          <w:pgSz w:w="11905" w:h="16838"/>
          <w:pgMar w:top="1440" w:right="1800" w:bottom="1440" w:left="1800"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pPr>
    </w:p>
    <w:p w14:paraId="498D871A">
      <w:pPr>
        <w:keepNext w:val="0"/>
        <w:keepLines w:val="0"/>
        <w:pageBreakBefore w:val="0"/>
        <w:widowControl w:val="0"/>
        <w:kinsoku/>
        <w:wordWrap w:val="0"/>
        <w:overflowPunct/>
        <w:topLinePunct/>
        <w:autoSpaceDE/>
        <w:autoSpaceDN/>
        <w:bidi w:val="0"/>
        <w:spacing w:line="520" w:lineRule="exact"/>
        <w:ind w:firstLine="0" w:firstLineChars="0"/>
        <w:jc w:val="center"/>
        <w:outlineLvl w:val="9"/>
        <w:rPr>
          <w:rFonts w:hint="eastAsia" w:ascii="宋体" w:hAnsi="宋体" w:eastAsia="宋体" w:cs="宋体"/>
          <w:b w:val="0"/>
          <w:color w:val="auto"/>
          <w:spacing w:val="0"/>
          <w:kern w:val="2"/>
          <w:sz w:val="24"/>
          <w:szCs w:val="24"/>
          <w:highlight w:val="none"/>
          <w:lang w:val="zh-CN" w:eastAsia="zh-CN" w:bidi="ar-SA"/>
        </w:rPr>
      </w:pPr>
      <w:r>
        <w:rPr>
          <w:rFonts w:hint="eastAsia" w:ascii="宋体" w:hAnsi="宋体" w:eastAsia="宋体" w:cs="宋体"/>
          <w:b w:val="0"/>
          <w:color w:val="auto"/>
          <w:spacing w:val="0"/>
          <w:kern w:val="2"/>
          <w:sz w:val="24"/>
          <w:szCs w:val="24"/>
          <w:highlight w:val="none"/>
          <w:lang w:val="zh-CN" w:eastAsia="zh-CN" w:bidi="ar-SA"/>
        </w:rPr>
        <w:t>（</w:t>
      </w:r>
      <w:r>
        <w:rPr>
          <w:rFonts w:hint="eastAsia" w:ascii="宋体" w:hAnsi="宋体" w:eastAsia="宋体" w:cs="宋体"/>
          <w:b w:val="0"/>
          <w:color w:val="auto"/>
          <w:spacing w:val="0"/>
          <w:kern w:val="2"/>
          <w:sz w:val="24"/>
          <w:szCs w:val="24"/>
          <w:highlight w:val="none"/>
          <w:lang w:val="en-US" w:eastAsia="zh-CN" w:bidi="ar-SA"/>
        </w:rPr>
        <w:t>4</w:t>
      </w:r>
      <w:r>
        <w:rPr>
          <w:rFonts w:hint="eastAsia" w:ascii="宋体" w:hAnsi="宋体" w:eastAsia="宋体" w:cs="宋体"/>
          <w:b w:val="0"/>
          <w:color w:val="auto"/>
          <w:spacing w:val="0"/>
          <w:kern w:val="2"/>
          <w:sz w:val="24"/>
          <w:szCs w:val="24"/>
          <w:highlight w:val="none"/>
          <w:lang w:val="zh-CN" w:eastAsia="zh-CN" w:bidi="ar-SA"/>
        </w:rPr>
        <w:t>）单位负责人为同一人或者存在直接控股、管理关系的不同投标人，不得参加同一合同项下的政府采购活动（承诺书）</w:t>
      </w:r>
    </w:p>
    <w:p w14:paraId="3A1251E3">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color w:val="auto"/>
          <w:spacing w:val="0"/>
          <w:kern w:val="2"/>
          <w:sz w:val="24"/>
          <w:szCs w:val="24"/>
          <w:highlight w:val="none"/>
          <w:lang w:val="en-US" w:eastAsia="zh-CN" w:bidi="ar-SA"/>
        </w:rPr>
      </w:pPr>
    </w:p>
    <w:p w14:paraId="66BCC697">
      <w:pPr>
        <w:jc w:val="center"/>
        <w:rPr>
          <w:rFonts w:hint="eastAsia" w:ascii="宋体" w:hAnsi="宋体" w:eastAsia="宋体" w:cs="宋体"/>
          <w:b w:val="0"/>
          <w:bCs w:val="0"/>
          <w:color w:val="auto"/>
          <w:spacing w:val="0"/>
          <w:kern w:val="2"/>
          <w:sz w:val="24"/>
          <w:szCs w:val="24"/>
          <w:highlight w:val="none"/>
          <w:lang w:val="en-US" w:eastAsia="zh-CN" w:bidi="ar-SA"/>
        </w:rPr>
      </w:pPr>
    </w:p>
    <w:p w14:paraId="3ADBF19F">
      <w:pPr>
        <w:jc w:val="center"/>
        <w:rPr>
          <w:rFonts w:hint="eastAsia" w:ascii="宋体" w:hAnsi="宋体" w:eastAsia="宋体" w:cs="宋体"/>
          <w:b w:val="0"/>
          <w:bCs w:val="0"/>
          <w:color w:val="auto"/>
          <w:spacing w:val="0"/>
          <w:kern w:val="2"/>
          <w:sz w:val="24"/>
          <w:szCs w:val="24"/>
          <w:highlight w:val="none"/>
          <w:lang w:val="en-US" w:eastAsia="zh-CN" w:bidi="ar-SA"/>
        </w:rPr>
      </w:pPr>
    </w:p>
    <w:p w14:paraId="5912B7CD">
      <w:pPr>
        <w:jc w:val="center"/>
        <w:rPr>
          <w:rFonts w:hint="eastAsia" w:ascii="宋体" w:hAnsi="宋体" w:eastAsia="宋体" w:cs="宋体"/>
          <w:b w:val="0"/>
          <w:bCs w:val="0"/>
          <w:color w:val="auto"/>
          <w:spacing w:val="0"/>
          <w:kern w:val="2"/>
          <w:sz w:val="24"/>
          <w:szCs w:val="24"/>
          <w:highlight w:val="none"/>
          <w:lang w:val="en-US" w:eastAsia="zh-CN" w:bidi="ar-SA"/>
        </w:rPr>
      </w:pPr>
    </w:p>
    <w:p w14:paraId="3AE177D4">
      <w:pPr>
        <w:jc w:val="center"/>
        <w:rPr>
          <w:rFonts w:hint="eastAsia" w:ascii="宋体" w:hAnsi="宋体" w:eastAsia="宋体" w:cs="宋体"/>
          <w:b w:val="0"/>
          <w:bCs w:val="0"/>
          <w:color w:val="auto"/>
          <w:spacing w:val="0"/>
          <w:kern w:val="2"/>
          <w:sz w:val="24"/>
          <w:szCs w:val="24"/>
          <w:highlight w:val="none"/>
          <w:lang w:val="en-US" w:eastAsia="zh-CN" w:bidi="ar-SA"/>
        </w:rPr>
      </w:pPr>
      <w:r>
        <w:rPr>
          <w:rFonts w:hint="eastAsia" w:ascii="宋体" w:hAnsi="宋体" w:eastAsia="宋体" w:cs="宋体"/>
          <w:b w:val="0"/>
          <w:bCs w:val="0"/>
          <w:color w:val="auto"/>
          <w:spacing w:val="0"/>
          <w:kern w:val="2"/>
          <w:sz w:val="24"/>
          <w:szCs w:val="24"/>
          <w:highlight w:val="none"/>
          <w:lang w:val="en-US" w:eastAsia="zh-CN" w:bidi="ar-SA"/>
        </w:rPr>
        <w:t>内容自拟</w:t>
      </w:r>
    </w:p>
    <w:p w14:paraId="07C5E81C">
      <w:pPr>
        <w:rPr>
          <w:rFonts w:hint="eastAsia" w:ascii="宋体" w:hAnsi="宋体" w:eastAsia="宋体" w:cs="宋体"/>
          <w:b/>
          <w:bCs/>
          <w:color w:val="auto"/>
          <w:spacing w:val="0"/>
          <w:kern w:val="2"/>
          <w:sz w:val="24"/>
          <w:szCs w:val="24"/>
          <w:highlight w:val="none"/>
          <w:lang w:val="en-US" w:eastAsia="zh-CN" w:bidi="ar-SA"/>
        </w:rPr>
      </w:pPr>
    </w:p>
    <w:p w14:paraId="1FF9A19F">
      <w:pPr>
        <w:rPr>
          <w:rFonts w:hint="eastAsia" w:ascii="宋体" w:hAnsi="宋体" w:eastAsia="宋体" w:cs="宋体"/>
          <w:b/>
          <w:bCs/>
          <w:color w:val="auto"/>
          <w:spacing w:val="0"/>
          <w:kern w:val="2"/>
          <w:sz w:val="24"/>
          <w:szCs w:val="24"/>
          <w:highlight w:val="none"/>
          <w:lang w:val="en-US" w:eastAsia="zh-CN" w:bidi="ar-SA"/>
        </w:rPr>
      </w:pPr>
    </w:p>
    <w:p w14:paraId="06D4CFC6">
      <w:pPr>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br w:type="page"/>
      </w:r>
    </w:p>
    <w:p w14:paraId="4F55BEB2">
      <w:pPr>
        <w:keepNext w:val="0"/>
        <w:keepLines w:val="0"/>
        <w:pageBreakBefore w:val="0"/>
        <w:widowControl w:val="0"/>
        <w:kinsoku/>
        <w:wordWrap w:val="0"/>
        <w:overflowPunct/>
        <w:topLinePunct/>
        <w:autoSpaceDE/>
        <w:autoSpaceDN/>
        <w:bidi w:val="0"/>
        <w:ind w:left="0" w:leftChars="0" w:firstLine="0" w:firstLineChars="0"/>
        <w:jc w:val="center"/>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4、谈判声明书</w:t>
      </w:r>
    </w:p>
    <w:p w14:paraId="3B7C2FA7">
      <w:pPr>
        <w:pStyle w:val="50"/>
        <w:keepNext w:val="0"/>
        <w:keepLines w:val="0"/>
        <w:pageBreakBefore w:val="0"/>
        <w:widowControl w:val="0"/>
        <w:kinsoku/>
        <w:wordWrap w:val="0"/>
        <w:overflowPunct/>
        <w:topLinePunct/>
        <w:autoSpaceDE/>
        <w:autoSpaceDN/>
        <w:bidi w:val="0"/>
        <w:adjustRightInd/>
        <w:snapToGrid/>
        <w:spacing w:line="520" w:lineRule="exact"/>
        <w:ind w:firstLine="0" w:firstLineChars="0"/>
        <w:textAlignment w:val="auto"/>
        <w:rPr>
          <w:rFonts w:hint="eastAsia" w:ascii="宋体" w:hAnsi="宋体" w:eastAsia="宋体" w:cs="宋体"/>
          <w:color w:val="auto"/>
          <w:spacing w:val="0"/>
          <w:kern w:val="2"/>
          <w:sz w:val="24"/>
          <w:szCs w:val="24"/>
          <w:highlight w:val="none"/>
          <w:u w:val="single"/>
          <w:lang w:val="en-US" w:eastAsia="zh-CN"/>
        </w:rPr>
      </w:pPr>
      <w:r>
        <w:rPr>
          <w:rFonts w:hint="eastAsia" w:ascii="宋体" w:hAnsi="宋体" w:eastAsia="宋体" w:cs="宋体"/>
          <w:bCs/>
          <w:color w:val="auto"/>
          <w:spacing w:val="0"/>
          <w:kern w:val="2"/>
          <w:sz w:val="24"/>
          <w:szCs w:val="24"/>
          <w:highlight w:val="none"/>
        </w:rPr>
        <w:t>致：</w:t>
      </w:r>
      <w:r>
        <w:rPr>
          <w:rFonts w:hint="eastAsia" w:ascii="宋体" w:hAnsi="宋体" w:eastAsia="宋体" w:cs="宋体"/>
          <w:bCs/>
          <w:color w:val="auto"/>
          <w:spacing w:val="0"/>
          <w:kern w:val="2"/>
          <w:sz w:val="24"/>
          <w:szCs w:val="24"/>
          <w:highlight w:val="none"/>
          <w:u w:val="single"/>
          <w:lang w:val="en-US" w:eastAsia="zh-CN"/>
        </w:rPr>
        <w:t xml:space="preserve">                               </w:t>
      </w:r>
      <w:r>
        <w:rPr>
          <w:rFonts w:hint="eastAsia" w:ascii="宋体" w:hAnsi="宋体" w:eastAsia="宋体" w:cs="宋体"/>
          <w:bCs/>
          <w:color w:val="auto"/>
          <w:spacing w:val="0"/>
          <w:kern w:val="2"/>
          <w:sz w:val="24"/>
          <w:szCs w:val="24"/>
          <w:highlight w:val="none"/>
          <w:u w:val="none"/>
          <w:lang w:val="en-US" w:eastAsia="zh-CN"/>
        </w:rPr>
        <w:t>（采购人）</w:t>
      </w:r>
    </w:p>
    <w:p w14:paraId="549E226E">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我公司</w:t>
      </w:r>
      <w:r>
        <w:rPr>
          <w:rFonts w:hint="eastAsia" w:ascii="宋体" w:hAnsi="宋体" w:eastAsia="宋体" w:cs="宋体"/>
          <w:color w:val="auto"/>
          <w:spacing w:val="0"/>
          <w:kern w:val="2"/>
          <w:sz w:val="24"/>
          <w:szCs w:val="24"/>
          <w:highlight w:val="none"/>
          <w:u w:val="single"/>
        </w:rPr>
        <w:t xml:space="preserve">       （供应商名称）       </w:t>
      </w:r>
      <w:r>
        <w:rPr>
          <w:rFonts w:hint="eastAsia" w:ascii="宋体" w:hAnsi="宋体" w:eastAsia="宋体" w:cs="宋体"/>
          <w:color w:val="auto"/>
          <w:spacing w:val="0"/>
          <w:kern w:val="2"/>
          <w:sz w:val="24"/>
          <w:szCs w:val="24"/>
          <w:highlight w:val="none"/>
        </w:rPr>
        <w:t>，就参加</w:t>
      </w:r>
      <w:r>
        <w:rPr>
          <w:rFonts w:hint="eastAsia" w:ascii="宋体" w:hAnsi="宋体" w:eastAsia="宋体" w:cs="宋体"/>
          <w:color w:val="auto"/>
          <w:spacing w:val="0"/>
          <w:kern w:val="2"/>
          <w:sz w:val="24"/>
          <w:szCs w:val="24"/>
          <w:highlight w:val="none"/>
          <w:u w:val="single"/>
        </w:rPr>
        <w:t xml:space="preserve">      （采购</w:t>
      </w:r>
      <w:r>
        <w:rPr>
          <w:rFonts w:hint="eastAsia" w:ascii="宋体" w:hAnsi="宋体" w:eastAsia="宋体" w:cs="宋体"/>
          <w:color w:val="auto"/>
          <w:spacing w:val="0"/>
          <w:kern w:val="2"/>
          <w:sz w:val="24"/>
          <w:szCs w:val="24"/>
          <w:highlight w:val="none"/>
          <w:u w:val="single"/>
          <w:lang w:val="zh-CN"/>
        </w:rPr>
        <w:t>项目名称</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rPr>
        <w:t>（项目编号：</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事宜，在此郑重声明：</w:t>
      </w:r>
    </w:p>
    <w:p w14:paraId="041D578C">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1、我公司所提交的竞争性</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响应文件全部真实有效；</w:t>
      </w:r>
    </w:p>
    <w:p w14:paraId="76C81A0E">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2、我公司近3年来无因安全事故、质量事故、投标违规等不良记录被政府有关部门处罚期内的情形存在；</w:t>
      </w:r>
    </w:p>
    <w:p w14:paraId="33407D36">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3、我公司近3年来无违规违法经营受到责令停产（或停止经营）、吊销生产许可证（或经营许可证）、较大数额罚款等行政处罚的情形存在；</w:t>
      </w:r>
    </w:p>
    <w:p w14:paraId="71EF073B">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4、我公司无企业财产被查封、冻结或处于破产状态或严重亏损状态等情形存在；</w:t>
      </w:r>
    </w:p>
    <w:p w14:paraId="68871AFF">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5、我公司承诺在</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过程中，保证不与其他单位围标、串标，不出让</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资格，不采取不正当手段诋毁、排挤其他</w:t>
      </w:r>
      <w:r>
        <w:rPr>
          <w:rFonts w:hint="eastAsia" w:ascii="宋体" w:hAnsi="宋体" w:eastAsia="宋体" w:cs="宋体"/>
          <w:color w:val="auto"/>
          <w:spacing w:val="0"/>
          <w:kern w:val="2"/>
          <w:sz w:val="24"/>
          <w:szCs w:val="24"/>
          <w:highlight w:val="none"/>
          <w:lang w:eastAsia="zh-CN"/>
        </w:rPr>
        <w:t>谈判</w:t>
      </w:r>
      <w:r>
        <w:rPr>
          <w:rFonts w:hint="eastAsia" w:ascii="宋体" w:hAnsi="宋体" w:eastAsia="宋体" w:cs="宋体"/>
          <w:color w:val="auto"/>
          <w:spacing w:val="0"/>
          <w:kern w:val="2"/>
          <w:sz w:val="24"/>
          <w:szCs w:val="24"/>
          <w:highlight w:val="none"/>
        </w:rPr>
        <w:t>供应商，不向采购代理机构、评审委员会成员行贿。</w:t>
      </w:r>
    </w:p>
    <w:p w14:paraId="3A62561C">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以上声明若违反，一经查实，本公司愿意接受政府有关部门的相应处罚，并愿意承担由此带来的法律后果。</w:t>
      </w:r>
    </w:p>
    <w:p w14:paraId="6B340C9D">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p>
    <w:p w14:paraId="0A3DA4E8">
      <w:pPr>
        <w:pStyle w:val="50"/>
        <w:keepNext w:val="0"/>
        <w:keepLines w:val="0"/>
        <w:pageBreakBefore w:val="0"/>
        <w:widowControl w:val="0"/>
        <w:kinsoku/>
        <w:wordWrap w:val="0"/>
        <w:overflowPunct/>
        <w:topLinePunct/>
        <w:autoSpaceDE/>
        <w:autoSpaceDN/>
        <w:bidi w:val="0"/>
        <w:adjustRightInd/>
        <w:snapToGrid/>
        <w:spacing w:line="520" w:lineRule="exact"/>
        <w:ind w:firstLine="530" w:firstLineChars="221"/>
        <w:textAlignment w:val="auto"/>
        <w:rPr>
          <w:rFonts w:hint="eastAsia" w:ascii="宋体" w:hAnsi="宋体" w:eastAsia="宋体" w:cs="宋体"/>
          <w:color w:val="auto"/>
          <w:spacing w:val="0"/>
          <w:kern w:val="2"/>
          <w:sz w:val="24"/>
          <w:szCs w:val="24"/>
          <w:highlight w:val="none"/>
        </w:rPr>
      </w:pPr>
    </w:p>
    <w:p w14:paraId="03881BCE">
      <w:pPr>
        <w:pStyle w:val="50"/>
        <w:keepNext w:val="0"/>
        <w:keepLines w:val="0"/>
        <w:pageBreakBefore w:val="0"/>
        <w:widowControl w:val="0"/>
        <w:kinsoku/>
        <w:wordWrap w:val="0"/>
        <w:overflowPunct/>
        <w:topLinePunct/>
        <w:autoSpaceDE/>
        <w:autoSpaceDN/>
        <w:bidi w:val="0"/>
        <w:adjustRightInd/>
        <w:snapToGrid/>
        <w:spacing w:line="520" w:lineRule="exact"/>
        <w:ind w:firstLine="410" w:firstLineChars="17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特此声明！</w:t>
      </w:r>
    </w:p>
    <w:p w14:paraId="0BC6B207">
      <w:pPr>
        <w:pStyle w:val="50"/>
        <w:keepNext w:val="0"/>
        <w:keepLines w:val="0"/>
        <w:pageBreakBefore w:val="0"/>
        <w:widowControl w:val="0"/>
        <w:kinsoku/>
        <w:wordWrap w:val="0"/>
        <w:overflowPunct/>
        <w:topLinePunct/>
        <w:autoSpaceDE/>
        <w:autoSpaceDN/>
        <w:bidi w:val="0"/>
        <w:adjustRightInd/>
        <w:snapToGrid/>
        <w:spacing w:line="520" w:lineRule="exact"/>
        <w:ind w:firstLine="410" w:firstLineChars="17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声  明  人：</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（供应商名称、公章）</w:t>
      </w:r>
    </w:p>
    <w:p w14:paraId="1EADE901">
      <w:pPr>
        <w:pStyle w:val="50"/>
        <w:keepNext w:val="0"/>
        <w:keepLines w:val="0"/>
        <w:pageBreakBefore w:val="0"/>
        <w:widowControl w:val="0"/>
        <w:kinsoku/>
        <w:wordWrap w:val="0"/>
        <w:overflowPunct/>
        <w:topLinePunct/>
        <w:autoSpaceDE/>
        <w:autoSpaceDN/>
        <w:bidi w:val="0"/>
        <w:adjustRightInd/>
        <w:snapToGrid/>
        <w:spacing w:line="520" w:lineRule="exact"/>
        <w:ind w:firstLine="410" w:firstLineChars="17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法定代表人或其委托代理人</w:t>
      </w:r>
      <w:r>
        <w:rPr>
          <w:rFonts w:hint="eastAsia" w:ascii="宋体" w:hAnsi="宋体" w:eastAsia="宋体" w:cs="宋体"/>
          <w:color w:val="auto"/>
          <w:spacing w:val="0"/>
          <w:kern w:val="2"/>
          <w:sz w:val="24"/>
          <w:szCs w:val="24"/>
          <w:highlight w:val="none"/>
        </w:rPr>
        <w:t>：</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rPr>
        <w:t>（签字</w:t>
      </w:r>
      <w:r>
        <w:rPr>
          <w:rFonts w:hint="eastAsia" w:ascii="宋体" w:hAnsi="宋体" w:eastAsia="宋体" w:cs="宋体"/>
          <w:color w:val="auto"/>
          <w:spacing w:val="0"/>
          <w:kern w:val="2"/>
          <w:sz w:val="24"/>
          <w:szCs w:val="24"/>
          <w:highlight w:val="none"/>
          <w:lang w:val="en-US" w:eastAsia="zh-CN"/>
        </w:rPr>
        <w:t>或</w:t>
      </w:r>
      <w:r>
        <w:rPr>
          <w:rFonts w:hint="eastAsia" w:ascii="宋体" w:hAnsi="宋体" w:eastAsia="宋体" w:cs="宋体"/>
          <w:color w:val="auto"/>
          <w:spacing w:val="0"/>
          <w:kern w:val="2"/>
          <w:sz w:val="24"/>
          <w:szCs w:val="24"/>
          <w:highlight w:val="none"/>
        </w:rPr>
        <w:t>盖章）</w:t>
      </w:r>
    </w:p>
    <w:p w14:paraId="5A1BED11">
      <w:pPr>
        <w:pStyle w:val="50"/>
        <w:keepNext w:val="0"/>
        <w:keepLines w:val="0"/>
        <w:pageBreakBefore w:val="0"/>
        <w:widowControl w:val="0"/>
        <w:kinsoku/>
        <w:wordWrap w:val="0"/>
        <w:overflowPunct/>
        <w:topLinePunct/>
        <w:autoSpaceDE/>
        <w:autoSpaceDN/>
        <w:bidi w:val="0"/>
        <w:adjustRightInd/>
        <w:snapToGrid/>
        <w:spacing w:line="520" w:lineRule="exact"/>
        <w:ind w:firstLine="410" w:firstLineChars="171"/>
        <w:textAlignment w:val="auto"/>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rPr>
        <w:t>日      期：</w:t>
      </w:r>
      <w:r>
        <w:rPr>
          <w:rFonts w:hint="eastAsia" w:ascii="宋体" w:hAnsi="宋体" w:eastAsia="宋体" w:cs="宋体"/>
          <w:color w:val="auto"/>
          <w:spacing w:val="0"/>
          <w:kern w:val="2"/>
          <w:sz w:val="24"/>
          <w:szCs w:val="24"/>
          <w:highlight w:val="none"/>
          <w:u w:val="single"/>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rPr>
        <w:t>　</w:t>
      </w:r>
    </w:p>
    <w:p w14:paraId="6CC2EE39">
      <w:pPr>
        <w:keepNext w:val="0"/>
        <w:keepLines w:val="0"/>
        <w:pageBreakBefore w:val="0"/>
        <w:widowControl w:val="0"/>
        <w:kinsoku/>
        <w:wordWrap w:val="0"/>
        <w:overflowPunct/>
        <w:topLinePunct/>
        <w:autoSpaceDE/>
        <w:autoSpaceDN/>
        <w:bidi w:val="0"/>
        <w:rPr>
          <w:rFonts w:hint="eastAsia" w:ascii="宋体" w:hAnsi="宋体" w:eastAsia="宋体" w:cs="宋体"/>
          <w:b/>
          <w:bCs w:val="0"/>
          <w:color w:val="auto"/>
          <w:spacing w:val="0"/>
          <w:kern w:val="2"/>
          <w:sz w:val="24"/>
          <w:szCs w:val="24"/>
          <w:highlight w:val="none"/>
          <w:lang w:val="en-US" w:eastAsia="zh-CN"/>
        </w:rPr>
      </w:pPr>
    </w:p>
    <w:p w14:paraId="3877A071">
      <w:pPr>
        <w:keepNext w:val="0"/>
        <w:keepLines w:val="0"/>
        <w:pageBreakBefore w:val="0"/>
        <w:widowControl w:val="0"/>
        <w:kinsoku/>
        <w:wordWrap w:val="0"/>
        <w:overflowPunct/>
        <w:topLinePunct/>
        <w:autoSpaceDE/>
        <w:autoSpaceDN/>
        <w:bidi w:val="0"/>
        <w:rPr>
          <w:rFonts w:hint="eastAsia" w:ascii="宋体" w:hAnsi="宋体" w:eastAsia="宋体" w:cs="宋体"/>
          <w:b/>
          <w:bCs w:val="0"/>
          <w:color w:val="auto"/>
          <w:spacing w:val="0"/>
          <w:kern w:val="2"/>
          <w:sz w:val="24"/>
          <w:szCs w:val="24"/>
          <w:highlight w:val="none"/>
          <w:lang w:val="en-US" w:eastAsia="zh-CN"/>
        </w:rPr>
      </w:pPr>
      <w:r>
        <w:rPr>
          <w:rFonts w:hint="eastAsia" w:ascii="宋体" w:hAnsi="宋体" w:eastAsia="宋体" w:cs="宋体"/>
          <w:b/>
          <w:bCs w:val="0"/>
          <w:color w:val="auto"/>
          <w:spacing w:val="0"/>
          <w:kern w:val="2"/>
          <w:sz w:val="24"/>
          <w:szCs w:val="24"/>
          <w:highlight w:val="none"/>
          <w:lang w:val="en-US" w:eastAsia="zh-CN"/>
        </w:rPr>
        <w:br w:type="page"/>
      </w:r>
    </w:p>
    <w:p w14:paraId="3892E7CF">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val="0"/>
          <w:color w:val="auto"/>
          <w:spacing w:val="0"/>
          <w:kern w:val="2"/>
          <w:sz w:val="24"/>
          <w:szCs w:val="24"/>
          <w:highlight w:val="none"/>
          <w:lang w:val="en-US" w:eastAsia="zh-CN"/>
        </w:rPr>
      </w:pPr>
      <w:r>
        <w:rPr>
          <w:rFonts w:hint="eastAsia" w:ascii="宋体" w:hAnsi="宋体" w:eastAsia="宋体" w:cs="宋体"/>
          <w:b/>
          <w:bCs w:val="0"/>
          <w:color w:val="auto"/>
          <w:spacing w:val="0"/>
          <w:kern w:val="2"/>
          <w:sz w:val="24"/>
          <w:szCs w:val="24"/>
          <w:highlight w:val="none"/>
          <w:lang w:val="en-US" w:eastAsia="zh-CN"/>
        </w:rPr>
        <w:t>5、</w:t>
      </w:r>
      <w:r>
        <w:rPr>
          <w:rFonts w:hint="eastAsia" w:ascii="宋体" w:hAnsi="宋体" w:eastAsia="宋体" w:cs="宋体"/>
          <w:b/>
          <w:bCs/>
          <w:color w:val="auto"/>
          <w:spacing w:val="0"/>
          <w:kern w:val="2"/>
          <w:sz w:val="24"/>
          <w:szCs w:val="24"/>
          <w:highlight w:val="none"/>
          <w:lang w:val="en-US" w:eastAsia="zh-CN"/>
        </w:rPr>
        <w:t>技术服务偏离表</w:t>
      </w:r>
    </w:p>
    <w:p w14:paraId="5EE49889">
      <w:pPr>
        <w:pStyle w:val="6"/>
        <w:keepNext w:val="0"/>
        <w:keepLines w:val="0"/>
        <w:pageBreakBefore w:val="0"/>
        <w:widowControl w:val="0"/>
        <w:kinsoku/>
        <w:wordWrap w:val="0"/>
        <w:overflowPunct/>
        <w:topLinePunct/>
        <w:autoSpaceDE/>
        <w:autoSpaceDN/>
        <w:bidi w:val="0"/>
        <w:ind w:firstLine="0"/>
        <w:rPr>
          <w:rFonts w:hint="eastAsia" w:ascii="宋体" w:hAnsi="宋体" w:eastAsia="宋体" w:cs="宋体"/>
          <w:spacing w:val="0"/>
          <w:kern w:val="2"/>
          <w:highlight w:val="none"/>
        </w:rPr>
      </w:pPr>
      <w:r>
        <w:rPr>
          <w:rFonts w:hint="eastAsia" w:ascii="宋体" w:hAnsi="宋体" w:eastAsia="宋体" w:cs="宋体"/>
          <w:color w:val="auto"/>
          <w:spacing w:val="0"/>
          <w:kern w:val="2"/>
          <w:sz w:val="24"/>
          <w:szCs w:val="24"/>
          <w:highlight w:val="none"/>
          <w:lang w:val="zh-CN"/>
        </w:rPr>
        <w:t>项目名称</w:t>
      </w:r>
      <w:r>
        <w:rPr>
          <w:rFonts w:hint="eastAsia" w:ascii="宋体" w:hAnsi="宋体" w:eastAsia="宋体" w:cs="宋体"/>
          <w:spacing w:val="0"/>
          <w:kern w:val="2"/>
          <w:highlight w:val="none"/>
        </w:rPr>
        <w:t xml:space="preserve">：                                   </w:t>
      </w:r>
      <w:r>
        <w:rPr>
          <w:rFonts w:hint="eastAsia" w:ascii="宋体" w:hAnsi="宋体" w:eastAsia="宋体" w:cs="宋体"/>
          <w:color w:val="auto"/>
          <w:spacing w:val="0"/>
          <w:kern w:val="2"/>
          <w:sz w:val="24"/>
          <w:szCs w:val="24"/>
          <w:highlight w:val="none"/>
          <w:lang w:eastAsia="zh-CN"/>
        </w:rPr>
        <w:t>项目编号</w:t>
      </w:r>
      <w:r>
        <w:rPr>
          <w:rFonts w:hint="eastAsia" w:ascii="宋体" w:hAnsi="宋体" w:eastAsia="宋体" w:cs="宋体"/>
          <w:color w:val="auto"/>
          <w:spacing w:val="0"/>
          <w:kern w:val="2"/>
          <w:sz w:val="24"/>
          <w:szCs w:val="24"/>
          <w:highlight w:val="none"/>
        </w:rPr>
        <w:t>：</w:t>
      </w:r>
    </w:p>
    <w:tbl>
      <w:tblPr>
        <w:tblStyle w:val="29"/>
        <w:tblW w:w="8821" w:type="dxa"/>
        <w:tblInd w:w="-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40"/>
        <w:gridCol w:w="2164"/>
        <w:gridCol w:w="2203"/>
        <w:gridCol w:w="1848"/>
        <w:gridCol w:w="1266"/>
      </w:tblGrid>
      <w:tr w14:paraId="222838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1340" w:type="dxa"/>
            <w:noWrap w:val="0"/>
            <w:vAlign w:val="center"/>
          </w:tcPr>
          <w:p w14:paraId="2AAAA78F">
            <w:pPr>
              <w:keepNext w:val="0"/>
              <w:keepLines w:val="0"/>
              <w:pageBreakBefore w:val="0"/>
              <w:widowControl w:val="0"/>
              <w:kinsoku/>
              <w:wordWrap w:val="0"/>
              <w:overflowPunct/>
              <w:topLinePunct/>
              <w:autoSpaceDE/>
              <w:autoSpaceDN/>
              <w:bidi w:val="0"/>
              <w:spacing w:line="520" w:lineRule="exact"/>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序号</w:t>
            </w:r>
          </w:p>
        </w:tc>
        <w:tc>
          <w:tcPr>
            <w:tcW w:w="2164" w:type="dxa"/>
            <w:noWrap w:val="0"/>
            <w:vAlign w:val="center"/>
          </w:tcPr>
          <w:p w14:paraId="0EC6D41D">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lang w:eastAsia="zh-CN"/>
              </w:rPr>
              <w:t>采购需求（技术部分）</w:t>
            </w:r>
          </w:p>
        </w:tc>
        <w:tc>
          <w:tcPr>
            <w:tcW w:w="2203" w:type="dxa"/>
            <w:noWrap w:val="0"/>
            <w:vAlign w:val="center"/>
          </w:tcPr>
          <w:p w14:paraId="2910F19B">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竞争性谈判响应</w:t>
            </w:r>
          </w:p>
          <w:p w14:paraId="58D0970E">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文</w:t>
            </w:r>
            <w:r>
              <w:rPr>
                <w:rFonts w:hint="eastAsia" w:ascii="宋体" w:hAnsi="宋体" w:eastAsia="宋体" w:cs="宋体"/>
                <w:b w:val="0"/>
                <w:bCs w:val="0"/>
                <w:color w:val="auto"/>
                <w:spacing w:val="0"/>
                <w:kern w:val="2"/>
                <w:sz w:val="24"/>
                <w:szCs w:val="24"/>
                <w:highlight w:val="none"/>
                <w:lang w:val="en-US" w:eastAsia="zh-CN"/>
              </w:rPr>
              <w:t>件</w:t>
            </w:r>
            <w:r>
              <w:rPr>
                <w:rFonts w:hint="eastAsia" w:ascii="宋体" w:hAnsi="宋体" w:eastAsia="宋体" w:cs="宋体"/>
                <w:b w:val="0"/>
                <w:bCs w:val="0"/>
                <w:color w:val="auto"/>
                <w:spacing w:val="0"/>
                <w:kern w:val="2"/>
                <w:sz w:val="24"/>
                <w:szCs w:val="24"/>
                <w:highlight w:val="none"/>
                <w:lang w:eastAsia="zh-CN"/>
              </w:rPr>
              <w:t>采购需求（技术部分）</w:t>
            </w:r>
            <w:r>
              <w:rPr>
                <w:rFonts w:hint="eastAsia" w:ascii="宋体" w:hAnsi="宋体" w:eastAsia="宋体" w:cs="宋体"/>
                <w:b w:val="0"/>
                <w:bCs w:val="0"/>
                <w:color w:val="auto"/>
                <w:spacing w:val="0"/>
                <w:kern w:val="2"/>
                <w:sz w:val="24"/>
                <w:szCs w:val="24"/>
                <w:highlight w:val="none"/>
                <w:lang w:val="en-US" w:eastAsia="zh-CN"/>
              </w:rPr>
              <w:t>响应</w:t>
            </w:r>
          </w:p>
        </w:tc>
        <w:tc>
          <w:tcPr>
            <w:tcW w:w="1848" w:type="dxa"/>
            <w:noWrap w:val="0"/>
            <w:vAlign w:val="center"/>
          </w:tcPr>
          <w:p w14:paraId="383F7992">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偏离</w:t>
            </w:r>
            <w:r>
              <w:rPr>
                <w:rFonts w:hint="eastAsia" w:ascii="宋体" w:hAnsi="宋体" w:eastAsia="宋体" w:cs="宋体"/>
                <w:b w:val="0"/>
                <w:bCs w:val="0"/>
                <w:color w:val="auto"/>
                <w:spacing w:val="0"/>
                <w:kern w:val="2"/>
                <w:sz w:val="24"/>
                <w:szCs w:val="24"/>
                <w:highlight w:val="none"/>
                <w:lang w:val="en-US" w:eastAsia="zh-CN"/>
              </w:rPr>
              <w:t>情况</w:t>
            </w:r>
          </w:p>
        </w:tc>
        <w:tc>
          <w:tcPr>
            <w:tcW w:w="1266" w:type="dxa"/>
            <w:noWrap w:val="0"/>
            <w:vAlign w:val="center"/>
          </w:tcPr>
          <w:p w14:paraId="5CDF4061">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偏离及其影响</w:t>
            </w:r>
          </w:p>
        </w:tc>
      </w:tr>
      <w:tr w14:paraId="33D0D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1C507357">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6CB40ABD">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17A16525">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24CDFF8B">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6C123B95">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165429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5F4FB5F4">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7CAF53EF">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3D2613EB">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2AFF4F40">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3B30E31D">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76EBF8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0FD6C31B">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05ABA8EE">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5CAB03C6">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5A9977EF">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06F0947D">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775F15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5B52099E">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15782122">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5C390446">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1CC8DE95">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023AF0FF">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129479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3C950DC8">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6D72D1E1">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09AC8A4F">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1C8A0B30">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66EB34FC">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6BE4CF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17211898">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1B545F83">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230EF5DC">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3ABA83F6">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43002F3D">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2CAB8B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11C4CEB3">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03F9932F">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10E9BEA7">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143746C2">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6B42DFD2">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3DB00E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06A8DC30">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40CBC714">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3B5D3229">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21B48C70">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730462A7">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5FA7E7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486D5BA1">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2BD7707D">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0CBB3658">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1E1B4223">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104F61D0">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6FD8B4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4FE8B1DB">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0F86988E">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469536BE">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48217BF7">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3488CB6C">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51C473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512A5D07">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68D7CEAA">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641FC880">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1B6B18AF">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5D217DED">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3AA9D8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340" w:type="dxa"/>
            <w:noWrap w:val="0"/>
            <w:vAlign w:val="top"/>
          </w:tcPr>
          <w:p w14:paraId="440A5472">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164" w:type="dxa"/>
            <w:noWrap w:val="0"/>
            <w:vAlign w:val="top"/>
          </w:tcPr>
          <w:p w14:paraId="278525DC">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2203" w:type="dxa"/>
            <w:noWrap w:val="0"/>
            <w:vAlign w:val="top"/>
          </w:tcPr>
          <w:p w14:paraId="77C712E2">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848" w:type="dxa"/>
            <w:noWrap w:val="0"/>
            <w:vAlign w:val="top"/>
          </w:tcPr>
          <w:p w14:paraId="334F57DC">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c>
          <w:tcPr>
            <w:tcW w:w="1266" w:type="dxa"/>
            <w:noWrap w:val="0"/>
            <w:vAlign w:val="top"/>
          </w:tcPr>
          <w:p w14:paraId="02A3D772">
            <w:pPr>
              <w:keepNext w:val="0"/>
              <w:keepLines w:val="0"/>
              <w:pageBreakBefore w:val="0"/>
              <w:widowControl w:val="0"/>
              <w:kinsoku/>
              <w:wordWrap w:val="0"/>
              <w:overflowPunct/>
              <w:topLinePunct/>
              <w:autoSpaceDE/>
              <w:autoSpaceDN/>
              <w:bidi w:val="0"/>
              <w:adjustRightInd w:val="0"/>
              <w:snapToGrid w:val="0"/>
              <w:spacing w:line="360" w:lineRule="auto"/>
              <w:ind w:right="24"/>
              <w:rPr>
                <w:rFonts w:hint="eastAsia" w:ascii="宋体" w:hAnsi="宋体" w:eastAsia="宋体" w:cs="宋体"/>
                <w:bCs/>
                <w:spacing w:val="0"/>
                <w:kern w:val="2"/>
                <w:sz w:val="24"/>
                <w:highlight w:val="none"/>
              </w:rPr>
            </w:pPr>
          </w:p>
        </w:tc>
      </w:tr>
      <w:tr w14:paraId="23C5C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8821" w:type="dxa"/>
            <w:gridSpan w:val="5"/>
            <w:noWrap w:val="0"/>
            <w:vAlign w:val="center"/>
          </w:tcPr>
          <w:p w14:paraId="47763611">
            <w:pPr>
              <w:keepNext w:val="0"/>
              <w:keepLines w:val="0"/>
              <w:pageBreakBefore w:val="0"/>
              <w:widowControl w:val="0"/>
              <w:kinsoku/>
              <w:wordWrap w:val="0"/>
              <w:overflowPunct/>
              <w:topLinePunct/>
              <w:autoSpaceDE/>
              <w:autoSpaceDN/>
              <w:bidi w:val="0"/>
              <w:adjustRightInd w:val="0"/>
              <w:snapToGrid w:val="0"/>
              <w:ind w:left="0" w:leftChars="0" w:right="24" w:firstLine="0" w:firstLineChars="0"/>
              <w:rPr>
                <w:rFonts w:hint="eastAsia" w:ascii="宋体" w:hAnsi="宋体" w:eastAsia="宋体" w:cs="宋体"/>
                <w:bCs/>
                <w:spacing w:val="0"/>
                <w:kern w:val="2"/>
                <w:sz w:val="24"/>
                <w:highlight w:val="none"/>
              </w:rPr>
            </w:pPr>
            <w:r>
              <w:rPr>
                <w:rFonts w:hint="eastAsia" w:ascii="宋体" w:hAnsi="宋体" w:eastAsia="宋体" w:cs="宋体"/>
                <w:spacing w:val="0"/>
                <w:kern w:val="2"/>
                <w:szCs w:val="21"/>
                <w:highlight w:val="none"/>
                <w:lang w:val="en-US" w:eastAsia="zh-CN"/>
              </w:rPr>
              <w:t>注：</w:t>
            </w:r>
            <w:r>
              <w:rPr>
                <w:rFonts w:hint="eastAsia" w:ascii="宋体" w:hAnsi="宋体" w:eastAsia="宋体" w:cs="宋体"/>
                <w:spacing w:val="0"/>
                <w:kern w:val="2"/>
                <w:szCs w:val="21"/>
                <w:highlight w:val="none"/>
              </w:rPr>
              <w:t>对</w:t>
            </w:r>
            <w:r>
              <w:rPr>
                <w:rFonts w:hint="eastAsia" w:ascii="宋体" w:hAnsi="宋体" w:eastAsia="宋体" w:cs="宋体"/>
                <w:spacing w:val="0"/>
                <w:kern w:val="2"/>
                <w:szCs w:val="21"/>
                <w:highlight w:val="none"/>
                <w:lang w:eastAsia="zh-CN"/>
              </w:rPr>
              <w:t>技术部分</w:t>
            </w:r>
            <w:r>
              <w:rPr>
                <w:rFonts w:hint="eastAsia" w:ascii="宋体" w:hAnsi="宋体" w:eastAsia="宋体" w:cs="宋体"/>
                <w:spacing w:val="0"/>
                <w:kern w:val="2"/>
                <w:szCs w:val="21"/>
                <w:highlight w:val="none"/>
              </w:rPr>
              <w:t>中所有要求，除本表所列出偏离外，均视为供应商响应其余全部</w:t>
            </w:r>
            <w:r>
              <w:rPr>
                <w:rFonts w:hint="eastAsia" w:ascii="宋体" w:hAnsi="宋体" w:eastAsia="宋体" w:cs="宋体"/>
                <w:spacing w:val="0"/>
                <w:kern w:val="2"/>
                <w:szCs w:val="21"/>
                <w:highlight w:val="none"/>
                <w:lang w:eastAsia="zh-CN"/>
              </w:rPr>
              <w:t>技术部分</w:t>
            </w:r>
            <w:r>
              <w:rPr>
                <w:rFonts w:hint="eastAsia" w:ascii="宋体" w:hAnsi="宋体" w:eastAsia="宋体" w:cs="宋体"/>
                <w:spacing w:val="0"/>
                <w:kern w:val="2"/>
                <w:szCs w:val="21"/>
                <w:highlight w:val="none"/>
              </w:rPr>
              <w:t>要求；如供应商响应</w:t>
            </w:r>
            <w:r>
              <w:rPr>
                <w:rFonts w:hint="eastAsia" w:ascii="宋体" w:hAnsi="宋体" w:eastAsia="宋体" w:cs="宋体"/>
                <w:spacing w:val="0"/>
                <w:kern w:val="2"/>
                <w:szCs w:val="21"/>
                <w:highlight w:val="none"/>
                <w:lang w:eastAsia="zh-CN"/>
              </w:rPr>
              <w:t>谈判</w:t>
            </w:r>
            <w:r>
              <w:rPr>
                <w:rFonts w:hint="eastAsia" w:ascii="宋体" w:hAnsi="宋体" w:eastAsia="宋体" w:cs="宋体"/>
                <w:spacing w:val="0"/>
                <w:kern w:val="2"/>
                <w:szCs w:val="21"/>
                <w:highlight w:val="none"/>
              </w:rPr>
              <w:t>文件所有</w:t>
            </w:r>
            <w:r>
              <w:rPr>
                <w:rFonts w:hint="eastAsia" w:ascii="宋体" w:hAnsi="宋体" w:eastAsia="宋体" w:cs="宋体"/>
                <w:spacing w:val="0"/>
                <w:kern w:val="2"/>
                <w:szCs w:val="21"/>
                <w:highlight w:val="none"/>
                <w:lang w:eastAsia="zh-CN"/>
              </w:rPr>
              <w:t>技术部分</w:t>
            </w:r>
            <w:r>
              <w:rPr>
                <w:rFonts w:hint="eastAsia" w:ascii="宋体" w:hAnsi="宋体" w:eastAsia="宋体" w:cs="宋体"/>
                <w:spacing w:val="0"/>
                <w:kern w:val="2"/>
                <w:szCs w:val="21"/>
                <w:highlight w:val="none"/>
              </w:rPr>
              <w:t>要求的，必须提交空白表，否则，其</w:t>
            </w:r>
            <w:r>
              <w:rPr>
                <w:rFonts w:hint="eastAsia" w:ascii="宋体" w:hAnsi="宋体" w:eastAsia="宋体" w:cs="宋体"/>
                <w:b/>
                <w:spacing w:val="0"/>
                <w:kern w:val="2"/>
                <w:szCs w:val="21"/>
                <w:highlight w:val="none"/>
              </w:rPr>
              <w:t>响应文件无效</w:t>
            </w:r>
            <w:r>
              <w:rPr>
                <w:rFonts w:hint="eastAsia" w:ascii="宋体" w:hAnsi="宋体" w:eastAsia="宋体" w:cs="宋体"/>
                <w:spacing w:val="0"/>
                <w:kern w:val="2"/>
                <w:szCs w:val="21"/>
                <w:highlight w:val="none"/>
              </w:rPr>
              <w:t>。</w:t>
            </w:r>
          </w:p>
        </w:tc>
      </w:tr>
    </w:tbl>
    <w:p w14:paraId="22CF4CB8">
      <w:pPr>
        <w:keepNext w:val="0"/>
        <w:keepLines w:val="0"/>
        <w:pageBreakBefore w:val="0"/>
        <w:widowControl w:val="0"/>
        <w:kinsoku/>
        <w:wordWrap w:val="0"/>
        <w:overflowPunct/>
        <w:topLinePunct/>
        <w:autoSpaceDE/>
        <w:autoSpaceDN/>
        <w:bidi w:val="0"/>
        <w:adjustRightInd w:val="0"/>
        <w:spacing w:line="400" w:lineRule="exact"/>
        <w:ind w:firstLine="480" w:firstLineChars="200"/>
        <w:jc w:val="left"/>
        <w:rPr>
          <w:rFonts w:hint="eastAsia" w:ascii="宋体" w:hAnsi="宋体" w:eastAsia="宋体" w:cs="宋体"/>
          <w:bCs/>
          <w:color w:val="auto"/>
          <w:spacing w:val="0"/>
          <w:kern w:val="2"/>
          <w:sz w:val="24"/>
          <w:szCs w:val="24"/>
          <w:highlight w:val="none"/>
        </w:rPr>
      </w:pPr>
    </w:p>
    <w:p w14:paraId="6F38DCD3">
      <w:pPr>
        <w:keepNext w:val="0"/>
        <w:keepLines w:val="0"/>
        <w:pageBreakBefore w:val="0"/>
        <w:widowControl w:val="0"/>
        <w:kinsoku/>
        <w:wordWrap w:val="0"/>
        <w:overflowPunct/>
        <w:topLinePunct/>
        <w:autoSpaceDE/>
        <w:autoSpaceDN/>
        <w:bidi w:val="0"/>
        <w:spacing w:line="360" w:lineRule="auto"/>
        <w:ind w:left="1260" w:leftChars="0" w:firstLine="420" w:firstLineChars="0"/>
        <w:jc w:val="left"/>
        <w:outlineLvl w:val="9"/>
        <w:rPr>
          <w:rFonts w:hint="eastAsia" w:ascii="宋体" w:hAnsi="宋体" w:eastAsia="宋体" w:cs="宋体"/>
          <w:b w:val="0"/>
          <w:bCs w:val="0"/>
          <w:color w:val="auto"/>
          <w:spacing w:val="0"/>
          <w:kern w:val="2"/>
          <w:sz w:val="24"/>
          <w:szCs w:val="24"/>
          <w:highlight w:val="none"/>
          <w:lang w:val="en-US" w:eastAsia="zh-CN"/>
        </w:rPr>
      </w:pPr>
    </w:p>
    <w:p w14:paraId="6602CD77">
      <w:pPr>
        <w:keepNext w:val="0"/>
        <w:keepLines w:val="0"/>
        <w:pageBreakBefore w:val="0"/>
        <w:widowControl w:val="0"/>
        <w:kinsoku/>
        <w:wordWrap w:val="0"/>
        <w:overflowPunct/>
        <w:topLinePunct/>
        <w:autoSpaceDE/>
        <w:autoSpaceDN/>
        <w:bidi w:val="0"/>
        <w:spacing w:line="360" w:lineRule="auto"/>
        <w:ind w:left="1260" w:leftChars="0" w:firstLine="420" w:firstLineChars="0"/>
        <w:jc w:val="left"/>
        <w:outlineLvl w:val="9"/>
        <w:rPr>
          <w:rFonts w:hint="eastAsia" w:ascii="宋体" w:hAnsi="宋体" w:eastAsia="宋体" w:cs="宋体"/>
          <w:b w:val="0"/>
          <w:bCs w:val="0"/>
          <w:color w:val="auto"/>
          <w:spacing w:val="0"/>
          <w:kern w:val="2"/>
          <w:sz w:val="24"/>
          <w:szCs w:val="24"/>
          <w:highlight w:val="none"/>
          <w:lang w:val="en-US" w:eastAsia="zh-CN"/>
        </w:rPr>
      </w:pPr>
    </w:p>
    <w:p w14:paraId="487FCDBF">
      <w:pPr>
        <w:keepNext w:val="0"/>
        <w:keepLines w:val="0"/>
        <w:pageBreakBefore w:val="0"/>
        <w:widowControl w:val="0"/>
        <w:kinsoku/>
        <w:wordWrap w:val="0"/>
        <w:overflowPunct/>
        <w:topLinePunct/>
        <w:autoSpaceDE/>
        <w:autoSpaceDN/>
        <w:bidi w:val="0"/>
        <w:spacing w:line="360" w:lineRule="auto"/>
        <w:ind w:left="1260" w:leftChars="0" w:firstLine="420" w:firstLineChars="0"/>
        <w:jc w:val="left"/>
        <w:outlineLvl w:val="9"/>
        <w:rPr>
          <w:rFonts w:hint="eastAsia" w:ascii="宋体" w:hAnsi="宋体" w:eastAsia="宋体" w:cs="宋体"/>
          <w:b w:val="0"/>
          <w:bCs w:val="0"/>
          <w:color w:val="auto"/>
          <w:spacing w:val="0"/>
          <w:kern w:val="2"/>
          <w:sz w:val="24"/>
          <w:szCs w:val="24"/>
          <w:highlight w:val="none"/>
          <w:u w:val="none"/>
          <w:lang w:val="en-US" w:eastAsia="zh-CN"/>
        </w:rPr>
      </w:pPr>
      <w:r>
        <w:rPr>
          <w:rFonts w:hint="eastAsia" w:ascii="宋体" w:hAnsi="宋体" w:eastAsia="宋体" w:cs="宋体"/>
          <w:b w:val="0"/>
          <w:bCs w:val="0"/>
          <w:color w:val="auto"/>
          <w:spacing w:val="0"/>
          <w:kern w:val="2"/>
          <w:sz w:val="24"/>
          <w:szCs w:val="24"/>
          <w:highlight w:val="none"/>
          <w:lang w:val="en-US" w:eastAsia="zh-CN"/>
        </w:rPr>
        <w:t>供应商：</w:t>
      </w:r>
      <w:r>
        <w:rPr>
          <w:rFonts w:hint="eastAsia" w:ascii="宋体" w:hAnsi="宋体" w:eastAsia="宋体" w:cs="宋体"/>
          <w:b w:val="0"/>
          <w:bCs w:val="0"/>
          <w:color w:val="auto"/>
          <w:spacing w:val="0"/>
          <w:kern w:val="2"/>
          <w:sz w:val="24"/>
          <w:szCs w:val="24"/>
          <w:highlight w:val="none"/>
          <w:u w:val="single"/>
          <w:lang w:val="en-US" w:eastAsia="zh-CN"/>
        </w:rPr>
        <w:t xml:space="preserve">                              </w:t>
      </w:r>
      <w:r>
        <w:rPr>
          <w:rFonts w:hint="eastAsia" w:ascii="宋体" w:hAnsi="宋体" w:eastAsia="宋体" w:cs="宋体"/>
          <w:b w:val="0"/>
          <w:bCs w:val="0"/>
          <w:color w:val="auto"/>
          <w:spacing w:val="0"/>
          <w:kern w:val="2"/>
          <w:sz w:val="24"/>
          <w:szCs w:val="24"/>
          <w:highlight w:val="none"/>
          <w:u w:val="none"/>
          <w:lang w:val="en-US" w:eastAsia="zh-CN"/>
        </w:rPr>
        <w:t>（盖章）</w:t>
      </w:r>
    </w:p>
    <w:p w14:paraId="28B6CDB2">
      <w:pPr>
        <w:pStyle w:val="46"/>
        <w:keepNext w:val="0"/>
        <w:keepLines w:val="0"/>
        <w:pageBreakBefore w:val="0"/>
        <w:widowControl w:val="0"/>
        <w:kinsoku/>
        <w:wordWrap w:val="0"/>
        <w:overflowPunct/>
        <w:topLinePunct/>
        <w:autoSpaceDE/>
        <w:autoSpaceDN/>
        <w:bidi w:val="0"/>
        <w:spacing w:line="360" w:lineRule="auto"/>
        <w:ind w:left="1260" w:leftChars="0" w:firstLine="420" w:firstLineChars="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zh-CN"/>
        </w:rPr>
        <w:t>法定代表人或其委托代理人：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 xml:space="preserve"> （签字</w:t>
      </w:r>
      <w:r>
        <w:rPr>
          <w:rFonts w:hint="eastAsia" w:ascii="宋体" w:hAnsi="宋体" w:eastAsia="宋体" w:cs="宋体"/>
          <w:color w:val="auto"/>
          <w:spacing w:val="0"/>
          <w:kern w:val="2"/>
          <w:sz w:val="24"/>
          <w:szCs w:val="24"/>
          <w:highlight w:val="none"/>
          <w:lang w:val="en-US" w:eastAsia="zh-CN"/>
        </w:rPr>
        <w:t>或盖章</w:t>
      </w:r>
      <w:r>
        <w:rPr>
          <w:rFonts w:hint="eastAsia" w:ascii="宋体" w:hAnsi="宋体" w:eastAsia="宋体" w:cs="宋体"/>
          <w:color w:val="auto"/>
          <w:spacing w:val="0"/>
          <w:kern w:val="2"/>
          <w:sz w:val="24"/>
          <w:szCs w:val="24"/>
          <w:highlight w:val="none"/>
          <w:lang w:val="zh-CN"/>
        </w:rPr>
        <w:t>）</w:t>
      </w:r>
    </w:p>
    <w:p w14:paraId="412ABFDF">
      <w:pPr>
        <w:pStyle w:val="2"/>
        <w:keepNext w:val="0"/>
        <w:keepLines w:val="0"/>
        <w:pageBreakBefore w:val="0"/>
        <w:widowControl w:val="0"/>
        <w:kinsoku/>
        <w:wordWrap w:val="0"/>
        <w:overflowPunct/>
        <w:topLinePunct/>
        <w:autoSpaceDE/>
        <w:autoSpaceDN/>
        <w:bidi w:val="0"/>
        <w:adjustRightInd/>
        <w:snapToGrid/>
        <w:spacing w:line="360" w:lineRule="auto"/>
        <w:ind w:left="1260" w:leftChars="0" w:firstLine="420" w:firstLineChars="0"/>
        <w:textAlignment w:val="auto"/>
        <w:rPr>
          <w:rFonts w:hint="eastAsia" w:ascii="宋体" w:hAnsi="宋体" w:eastAsia="宋体" w:cs="宋体"/>
          <w:color w:val="auto"/>
          <w:spacing w:val="0"/>
          <w:kern w:val="2"/>
          <w:sz w:val="24"/>
          <w:szCs w:val="24"/>
          <w:highlight w:val="none"/>
          <w:u w:val="single"/>
          <w:lang w:val="zh-CN"/>
        </w:rPr>
      </w:pPr>
      <w:r>
        <w:rPr>
          <w:rFonts w:hint="eastAsia" w:ascii="宋体" w:hAnsi="宋体" w:eastAsia="宋体" w:cs="宋体"/>
          <w:color w:val="auto"/>
          <w:spacing w:val="0"/>
          <w:kern w:val="2"/>
          <w:sz w:val="24"/>
          <w:szCs w:val="24"/>
          <w:highlight w:val="none"/>
          <w:lang w:val="zh-CN"/>
        </w:rPr>
        <w:t>日     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0857F407">
      <w:pPr>
        <w:keepNext w:val="0"/>
        <w:keepLines w:val="0"/>
        <w:pageBreakBefore w:val="0"/>
        <w:widowControl w:val="0"/>
        <w:kinsoku/>
        <w:overflowPunct/>
        <w:autoSpaceDE/>
        <w:autoSpaceDN/>
        <w:bidi w:val="0"/>
        <w:rPr>
          <w:rFonts w:hint="eastAsia" w:ascii="宋体" w:hAnsi="宋体" w:eastAsia="宋体" w:cs="宋体"/>
          <w:b/>
          <w:bCs w:val="0"/>
          <w:color w:val="auto"/>
          <w:spacing w:val="0"/>
          <w:kern w:val="2"/>
          <w:sz w:val="24"/>
          <w:szCs w:val="24"/>
          <w:highlight w:val="none"/>
          <w:lang w:val="en-US" w:eastAsia="zh-CN"/>
        </w:rPr>
      </w:pPr>
      <w:r>
        <w:rPr>
          <w:rFonts w:hint="eastAsia" w:ascii="宋体" w:hAnsi="宋体" w:eastAsia="宋体" w:cs="宋体"/>
          <w:b/>
          <w:bCs w:val="0"/>
          <w:color w:val="auto"/>
          <w:spacing w:val="0"/>
          <w:kern w:val="2"/>
          <w:sz w:val="24"/>
          <w:szCs w:val="24"/>
          <w:highlight w:val="none"/>
          <w:lang w:val="en-US" w:eastAsia="zh-CN"/>
        </w:rPr>
        <w:br w:type="page"/>
      </w:r>
    </w:p>
    <w:p w14:paraId="15424B67">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bCs w:val="0"/>
          <w:color w:val="auto"/>
          <w:spacing w:val="0"/>
          <w:kern w:val="2"/>
          <w:sz w:val="24"/>
          <w:szCs w:val="24"/>
          <w:highlight w:val="none"/>
        </w:rPr>
      </w:pPr>
      <w:r>
        <w:rPr>
          <w:rFonts w:hint="eastAsia" w:ascii="宋体" w:hAnsi="宋体" w:eastAsia="宋体" w:cs="宋体"/>
          <w:b/>
          <w:bCs w:val="0"/>
          <w:color w:val="auto"/>
          <w:spacing w:val="0"/>
          <w:kern w:val="2"/>
          <w:sz w:val="24"/>
          <w:szCs w:val="24"/>
          <w:highlight w:val="none"/>
          <w:lang w:val="en-US" w:eastAsia="zh-CN"/>
        </w:rPr>
        <w:t>6</w:t>
      </w:r>
      <w:r>
        <w:rPr>
          <w:rFonts w:hint="eastAsia" w:ascii="宋体" w:hAnsi="宋体" w:eastAsia="宋体" w:cs="宋体"/>
          <w:b/>
          <w:bCs w:val="0"/>
          <w:color w:val="auto"/>
          <w:spacing w:val="0"/>
          <w:kern w:val="2"/>
          <w:sz w:val="24"/>
          <w:szCs w:val="24"/>
          <w:highlight w:val="none"/>
        </w:rPr>
        <w:t>、</w:t>
      </w:r>
      <w:r>
        <w:rPr>
          <w:rFonts w:hint="eastAsia" w:ascii="宋体" w:hAnsi="宋体" w:eastAsia="宋体" w:cs="宋体"/>
          <w:b/>
          <w:bCs w:val="0"/>
          <w:color w:val="auto"/>
          <w:spacing w:val="0"/>
          <w:kern w:val="2"/>
          <w:sz w:val="24"/>
          <w:szCs w:val="24"/>
          <w:highlight w:val="none"/>
          <w:lang w:val="en-US" w:eastAsia="zh-CN"/>
        </w:rPr>
        <w:t>商务与</w:t>
      </w:r>
      <w:r>
        <w:rPr>
          <w:rFonts w:hint="eastAsia" w:ascii="宋体" w:hAnsi="宋体" w:eastAsia="宋体" w:cs="宋体"/>
          <w:b/>
          <w:bCs w:val="0"/>
          <w:color w:val="auto"/>
          <w:spacing w:val="0"/>
          <w:kern w:val="2"/>
          <w:sz w:val="24"/>
          <w:szCs w:val="24"/>
          <w:highlight w:val="none"/>
        </w:rPr>
        <w:t>合同条款偏离表</w:t>
      </w:r>
    </w:p>
    <w:p w14:paraId="0C44C1D4">
      <w:pPr>
        <w:keepNext w:val="0"/>
        <w:keepLines w:val="0"/>
        <w:pageBreakBefore w:val="0"/>
        <w:widowControl w:val="0"/>
        <w:kinsoku/>
        <w:wordWrap w:val="0"/>
        <w:overflowPunct/>
        <w:topLinePunct/>
        <w:autoSpaceDE/>
        <w:autoSpaceDN/>
        <w:bidi w:val="0"/>
        <w:ind w:firstLine="360" w:firstLineChars="15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4"/>
          <w:szCs w:val="24"/>
          <w:highlight w:val="none"/>
          <w:lang w:val="zh-CN"/>
        </w:rPr>
        <w:t>项目名称</w:t>
      </w:r>
      <w:r>
        <w:rPr>
          <w:rFonts w:hint="eastAsia" w:ascii="宋体" w:hAnsi="宋体" w:eastAsia="宋体" w:cs="宋体"/>
          <w:color w:val="auto"/>
          <w:spacing w:val="0"/>
          <w:kern w:val="2"/>
          <w:sz w:val="24"/>
          <w:szCs w:val="24"/>
          <w:highlight w:val="none"/>
        </w:rPr>
        <w:t xml:space="preserve">：                              </w:t>
      </w:r>
      <w:r>
        <w:rPr>
          <w:rFonts w:hint="eastAsia" w:ascii="宋体" w:hAnsi="宋体" w:eastAsia="宋体" w:cs="宋体"/>
          <w:color w:val="auto"/>
          <w:spacing w:val="0"/>
          <w:kern w:val="2"/>
          <w:sz w:val="24"/>
          <w:szCs w:val="24"/>
          <w:highlight w:val="none"/>
          <w:lang w:eastAsia="zh-CN"/>
        </w:rPr>
        <w:t xml:space="preserve"> 项目编号</w:t>
      </w:r>
      <w:r>
        <w:rPr>
          <w:rFonts w:hint="eastAsia" w:ascii="宋体" w:hAnsi="宋体" w:eastAsia="宋体" w:cs="宋体"/>
          <w:color w:val="auto"/>
          <w:spacing w:val="0"/>
          <w:kern w:val="2"/>
          <w:sz w:val="24"/>
          <w:szCs w:val="24"/>
          <w:highlight w:val="none"/>
        </w:rPr>
        <w:t xml:space="preserve">：    </w:t>
      </w:r>
    </w:p>
    <w:tbl>
      <w:tblPr>
        <w:tblStyle w:val="29"/>
        <w:tblW w:w="87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579"/>
        <w:gridCol w:w="1999"/>
        <w:gridCol w:w="2833"/>
        <w:gridCol w:w="1126"/>
      </w:tblGrid>
      <w:tr w14:paraId="3D920F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260" w:type="dxa"/>
            <w:noWrap w:val="0"/>
            <w:vAlign w:val="center"/>
          </w:tcPr>
          <w:p w14:paraId="5F142EE9">
            <w:pPr>
              <w:keepNext w:val="0"/>
              <w:keepLines w:val="0"/>
              <w:pageBreakBefore w:val="0"/>
              <w:widowControl w:val="0"/>
              <w:kinsoku/>
              <w:wordWrap w:val="0"/>
              <w:overflowPunct/>
              <w:topLinePunct/>
              <w:autoSpaceDE/>
              <w:autoSpaceDN/>
              <w:bidi w:val="0"/>
              <w:spacing w:line="520" w:lineRule="exact"/>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序号</w:t>
            </w:r>
          </w:p>
        </w:tc>
        <w:tc>
          <w:tcPr>
            <w:tcW w:w="1579" w:type="dxa"/>
            <w:noWrap w:val="0"/>
            <w:vAlign w:val="center"/>
          </w:tcPr>
          <w:p w14:paraId="03963AA9">
            <w:pPr>
              <w:keepNext w:val="0"/>
              <w:keepLines w:val="0"/>
              <w:pageBreakBefore w:val="0"/>
              <w:widowControl w:val="0"/>
              <w:kinsoku/>
              <w:wordWrap w:val="0"/>
              <w:overflowPunct/>
              <w:topLinePunct/>
              <w:autoSpaceDE/>
              <w:autoSpaceDN/>
              <w:bidi w:val="0"/>
              <w:spacing w:line="240" w:lineRule="auto"/>
              <w:ind w:left="0" w:leftChars="0"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竞争性</w:t>
            </w:r>
            <w:r>
              <w:rPr>
                <w:rFonts w:hint="eastAsia" w:ascii="宋体" w:hAnsi="宋体" w:eastAsia="宋体" w:cs="宋体"/>
                <w:b w:val="0"/>
                <w:bCs w:val="0"/>
                <w:color w:val="auto"/>
                <w:spacing w:val="0"/>
                <w:kern w:val="2"/>
                <w:sz w:val="24"/>
                <w:szCs w:val="24"/>
                <w:highlight w:val="none"/>
                <w:lang w:eastAsia="zh-CN"/>
              </w:rPr>
              <w:t>谈判</w:t>
            </w:r>
            <w:r>
              <w:rPr>
                <w:rFonts w:hint="eastAsia" w:ascii="宋体" w:hAnsi="宋体" w:eastAsia="宋体" w:cs="宋体"/>
                <w:b w:val="0"/>
                <w:bCs w:val="0"/>
                <w:color w:val="auto"/>
                <w:spacing w:val="0"/>
                <w:kern w:val="2"/>
                <w:sz w:val="24"/>
                <w:szCs w:val="24"/>
                <w:highlight w:val="none"/>
              </w:rPr>
              <w:t>文件</w:t>
            </w:r>
            <w:r>
              <w:rPr>
                <w:rFonts w:hint="eastAsia" w:ascii="宋体" w:hAnsi="宋体" w:eastAsia="宋体" w:cs="宋体"/>
                <w:b w:val="0"/>
                <w:bCs w:val="0"/>
                <w:color w:val="auto"/>
                <w:spacing w:val="0"/>
                <w:kern w:val="2"/>
                <w:sz w:val="24"/>
                <w:szCs w:val="24"/>
                <w:highlight w:val="none"/>
                <w:lang w:val="en-US" w:eastAsia="zh-CN"/>
              </w:rPr>
              <w:t>商务与合同</w:t>
            </w:r>
            <w:r>
              <w:rPr>
                <w:rFonts w:hint="eastAsia" w:ascii="宋体" w:hAnsi="宋体" w:eastAsia="宋体" w:cs="宋体"/>
                <w:b w:val="0"/>
                <w:bCs w:val="0"/>
                <w:color w:val="auto"/>
                <w:spacing w:val="0"/>
                <w:kern w:val="2"/>
                <w:sz w:val="24"/>
                <w:szCs w:val="24"/>
                <w:highlight w:val="none"/>
              </w:rPr>
              <w:t>要求</w:t>
            </w:r>
          </w:p>
        </w:tc>
        <w:tc>
          <w:tcPr>
            <w:tcW w:w="1999" w:type="dxa"/>
            <w:noWrap w:val="0"/>
            <w:vAlign w:val="center"/>
          </w:tcPr>
          <w:p w14:paraId="16A16D51">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竞争性</w:t>
            </w:r>
            <w:r>
              <w:rPr>
                <w:rFonts w:hint="eastAsia" w:ascii="宋体" w:hAnsi="宋体" w:eastAsia="宋体" w:cs="宋体"/>
                <w:b w:val="0"/>
                <w:bCs w:val="0"/>
                <w:color w:val="auto"/>
                <w:spacing w:val="0"/>
                <w:kern w:val="2"/>
                <w:sz w:val="24"/>
                <w:szCs w:val="24"/>
                <w:highlight w:val="none"/>
                <w:lang w:eastAsia="zh-CN"/>
              </w:rPr>
              <w:t>谈判</w:t>
            </w:r>
            <w:r>
              <w:rPr>
                <w:rFonts w:hint="eastAsia" w:ascii="宋体" w:hAnsi="宋体" w:eastAsia="宋体" w:cs="宋体"/>
                <w:b w:val="0"/>
                <w:bCs w:val="0"/>
                <w:color w:val="auto"/>
                <w:spacing w:val="0"/>
                <w:kern w:val="2"/>
                <w:sz w:val="24"/>
                <w:szCs w:val="24"/>
                <w:highlight w:val="none"/>
              </w:rPr>
              <w:t>响应</w:t>
            </w:r>
          </w:p>
          <w:p w14:paraId="68047F79">
            <w:pPr>
              <w:keepNext w:val="0"/>
              <w:keepLines w:val="0"/>
              <w:pageBreakBefore w:val="0"/>
              <w:widowControl w:val="0"/>
              <w:kinsoku/>
              <w:wordWrap w:val="0"/>
              <w:overflowPunct/>
              <w:topLinePunct/>
              <w:autoSpaceDE/>
              <w:autoSpaceDN/>
              <w:bidi w:val="0"/>
              <w:spacing w:line="240" w:lineRule="auto"/>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文件</w:t>
            </w:r>
            <w:r>
              <w:rPr>
                <w:rFonts w:hint="eastAsia" w:ascii="宋体" w:hAnsi="宋体" w:eastAsia="宋体" w:cs="宋体"/>
                <w:b w:val="0"/>
                <w:bCs w:val="0"/>
                <w:color w:val="auto"/>
                <w:spacing w:val="0"/>
                <w:kern w:val="2"/>
                <w:sz w:val="24"/>
                <w:szCs w:val="24"/>
                <w:highlight w:val="none"/>
                <w:lang w:val="en-US" w:eastAsia="zh-CN"/>
              </w:rPr>
              <w:t>商务与合同</w:t>
            </w:r>
            <w:r>
              <w:rPr>
                <w:rFonts w:hint="eastAsia" w:ascii="宋体" w:hAnsi="宋体" w:eastAsia="宋体" w:cs="宋体"/>
                <w:b w:val="0"/>
                <w:bCs w:val="0"/>
                <w:color w:val="auto"/>
                <w:spacing w:val="0"/>
                <w:kern w:val="2"/>
                <w:sz w:val="24"/>
                <w:szCs w:val="24"/>
                <w:highlight w:val="none"/>
              </w:rPr>
              <w:t>响应</w:t>
            </w:r>
          </w:p>
        </w:tc>
        <w:tc>
          <w:tcPr>
            <w:tcW w:w="2833" w:type="dxa"/>
            <w:noWrap w:val="0"/>
            <w:vAlign w:val="center"/>
          </w:tcPr>
          <w:p w14:paraId="084E388A">
            <w:pPr>
              <w:keepNext w:val="0"/>
              <w:keepLines w:val="0"/>
              <w:pageBreakBefore w:val="0"/>
              <w:widowControl w:val="0"/>
              <w:kinsoku/>
              <w:wordWrap w:val="0"/>
              <w:overflowPunct/>
              <w:topLinePunct/>
              <w:autoSpaceDE/>
              <w:autoSpaceDN/>
              <w:bidi w:val="0"/>
              <w:spacing w:line="520" w:lineRule="exact"/>
              <w:ind w:firstLine="0" w:firstLineChars="0"/>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偏离情况</w:t>
            </w:r>
          </w:p>
        </w:tc>
        <w:tc>
          <w:tcPr>
            <w:tcW w:w="1126" w:type="dxa"/>
            <w:noWrap w:val="0"/>
            <w:vAlign w:val="center"/>
          </w:tcPr>
          <w:p w14:paraId="01E50058">
            <w:pPr>
              <w:keepNext w:val="0"/>
              <w:keepLines w:val="0"/>
              <w:pageBreakBefore w:val="0"/>
              <w:widowControl w:val="0"/>
              <w:kinsoku/>
              <w:wordWrap w:val="0"/>
              <w:overflowPunct/>
              <w:topLinePunct/>
              <w:autoSpaceDE/>
              <w:autoSpaceDN/>
              <w:bidi w:val="0"/>
              <w:spacing w:line="520" w:lineRule="exact"/>
              <w:ind w:firstLine="170" w:firstLineChars="71"/>
              <w:jc w:val="center"/>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说明</w:t>
            </w:r>
          </w:p>
        </w:tc>
      </w:tr>
      <w:tr w14:paraId="2A4404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08AEA52E">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36E7A045">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2D96A9CD">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51D5D116">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3BDC6CFB">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168D9D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45F8A9F6">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75B51FB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78A71682">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421F0CF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6CB964A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7BD796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33D19A9">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6B3828D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3A4E2E0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6C4760C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66A47DE0">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49161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5F845E04">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18944283">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540F5E7A">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560EBCEF">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0E8491B3">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75E3BC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3B06378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24FB08F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7F41015F">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25D5762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3D19676A">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34531B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E22155D">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7FC79F84">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1D3C69FF">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3D1FD55A">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02C14133">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57211E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855DCEE">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46AE8ED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7FFD67A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231728E0">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1EC37A15">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28151F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6ECC64A">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1B002208">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4003D84B">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08B12C43">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7504DDE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6F7BFD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67E3E969">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5E55F290">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5CA2E3A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3EFD121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4748D1D2">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6ADCB2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568624EE">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60C2B357">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4C4D62E1">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172A801C">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62B0379D">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2093D3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center"/>
          </w:tcPr>
          <w:p w14:paraId="17D4BA76">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579" w:type="dxa"/>
            <w:noWrap w:val="0"/>
            <w:vAlign w:val="center"/>
          </w:tcPr>
          <w:p w14:paraId="18851533">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999" w:type="dxa"/>
            <w:noWrap w:val="0"/>
            <w:vAlign w:val="center"/>
          </w:tcPr>
          <w:p w14:paraId="51D69492">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2833" w:type="dxa"/>
            <w:noWrap w:val="0"/>
            <w:vAlign w:val="center"/>
          </w:tcPr>
          <w:p w14:paraId="147C1FF4">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c>
          <w:tcPr>
            <w:tcW w:w="1126" w:type="dxa"/>
            <w:noWrap w:val="0"/>
            <w:vAlign w:val="top"/>
          </w:tcPr>
          <w:p w14:paraId="619E141D">
            <w:pPr>
              <w:keepNext w:val="0"/>
              <w:keepLines w:val="0"/>
              <w:pageBreakBefore w:val="0"/>
              <w:widowControl w:val="0"/>
              <w:kinsoku/>
              <w:wordWrap w:val="0"/>
              <w:overflowPunct/>
              <w:topLinePunct/>
              <w:autoSpaceDE/>
              <w:autoSpaceDN/>
              <w:bidi w:val="0"/>
              <w:adjustRightInd w:val="0"/>
              <w:snapToGrid w:val="0"/>
              <w:jc w:val="center"/>
              <w:rPr>
                <w:rFonts w:hint="eastAsia" w:ascii="宋体" w:hAnsi="宋体" w:eastAsia="宋体" w:cs="宋体"/>
                <w:color w:val="auto"/>
                <w:spacing w:val="0"/>
                <w:kern w:val="2"/>
                <w:sz w:val="24"/>
                <w:szCs w:val="24"/>
                <w:highlight w:val="none"/>
              </w:rPr>
            </w:pPr>
          </w:p>
        </w:tc>
      </w:tr>
      <w:tr w14:paraId="162A5A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03" w:hRule="atLeast"/>
          <w:jc w:val="center"/>
        </w:trPr>
        <w:tc>
          <w:tcPr>
            <w:tcW w:w="8797" w:type="dxa"/>
            <w:gridSpan w:val="5"/>
            <w:noWrap w:val="0"/>
            <w:vAlign w:val="center"/>
          </w:tcPr>
          <w:p w14:paraId="1CA410BB">
            <w:pPr>
              <w:keepNext w:val="0"/>
              <w:keepLines w:val="0"/>
              <w:pageBreakBefore w:val="0"/>
              <w:widowControl w:val="0"/>
              <w:kinsoku/>
              <w:wordWrap w:val="0"/>
              <w:overflowPunct/>
              <w:topLinePunct/>
              <w:autoSpaceDE/>
              <w:autoSpaceDN/>
              <w:bidi w:val="0"/>
              <w:ind w:left="0" w:leftChars="0" w:firstLine="0" w:firstLineChars="0"/>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2"/>
                <w:sz w:val="21"/>
                <w:szCs w:val="21"/>
                <w:highlight w:val="none"/>
                <w:lang w:val="en-US" w:eastAsia="zh-CN"/>
              </w:rPr>
              <w:t>注：</w:t>
            </w:r>
            <w:r>
              <w:rPr>
                <w:rFonts w:hint="eastAsia" w:ascii="宋体" w:hAnsi="宋体" w:eastAsia="宋体" w:cs="宋体"/>
                <w:color w:val="auto"/>
                <w:spacing w:val="0"/>
                <w:kern w:val="2"/>
                <w:sz w:val="21"/>
                <w:szCs w:val="21"/>
                <w:highlight w:val="none"/>
              </w:rPr>
              <w:t>对</w:t>
            </w:r>
            <w:r>
              <w:rPr>
                <w:rFonts w:hint="eastAsia" w:ascii="宋体" w:hAnsi="宋体" w:eastAsia="宋体" w:cs="宋体"/>
                <w:color w:val="auto"/>
                <w:spacing w:val="0"/>
                <w:kern w:val="2"/>
                <w:sz w:val="21"/>
                <w:szCs w:val="21"/>
                <w:highlight w:val="none"/>
                <w:lang w:val="en-US" w:eastAsia="zh-CN"/>
              </w:rPr>
              <w:t>商务与合同</w:t>
            </w:r>
            <w:r>
              <w:rPr>
                <w:rFonts w:hint="eastAsia" w:ascii="宋体" w:hAnsi="宋体" w:eastAsia="宋体" w:cs="宋体"/>
                <w:color w:val="auto"/>
                <w:spacing w:val="0"/>
                <w:kern w:val="2"/>
                <w:sz w:val="21"/>
                <w:szCs w:val="21"/>
                <w:highlight w:val="none"/>
              </w:rPr>
              <w:t>条款中所有要求，除本表所列出偏离外，均视为供应商响应其余全部</w:t>
            </w:r>
            <w:r>
              <w:rPr>
                <w:rFonts w:hint="eastAsia" w:ascii="宋体" w:hAnsi="宋体" w:eastAsia="宋体" w:cs="宋体"/>
                <w:color w:val="auto"/>
                <w:spacing w:val="0"/>
                <w:kern w:val="2"/>
                <w:sz w:val="21"/>
                <w:szCs w:val="21"/>
                <w:highlight w:val="none"/>
                <w:lang w:val="en-US" w:eastAsia="zh-CN"/>
              </w:rPr>
              <w:t>商务与合同</w:t>
            </w:r>
            <w:r>
              <w:rPr>
                <w:rFonts w:hint="eastAsia" w:ascii="宋体" w:hAnsi="宋体" w:eastAsia="宋体" w:cs="宋体"/>
                <w:color w:val="auto"/>
                <w:spacing w:val="0"/>
                <w:kern w:val="2"/>
                <w:sz w:val="21"/>
                <w:szCs w:val="21"/>
                <w:highlight w:val="none"/>
              </w:rPr>
              <w:t>要求；如供应商响应</w:t>
            </w:r>
            <w:r>
              <w:rPr>
                <w:rFonts w:hint="eastAsia" w:ascii="宋体" w:hAnsi="宋体" w:eastAsia="宋体" w:cs="宋体"/>
                <w:color w:val="auto"/>
                <w:spacing w:val="0"/>
                <w:kern w:val="2"/>
                <w:sz w:val="21"/>
                <w:szCs w:val="21"/>
                <w:highlight w:val="none"/>
                <w:lang w:val="en-US" w:eastAsia="zh-CN"/>
              </w:rPr>
              <w:t>谈判</w:t>
            </w:r>
            <w:r>
              <w:rPr>
                <w:rFonts w:hint="eastAsia" w:ascii="宋体" w:hAnsi="宋体" w:eastAsia="宋体" w:cs="宋体"/>
                <w:color w:val="auto"/>
                <w:spacing w:val="0"/>
                <w:kern w:val="2"/>
                <w:sz w:val="21"/>
                <w:szCs w:val="21"/>
                <w:highlight w:val="none"/>
              </w:rPr>
              <w:t>文件所有</w:t>
            </w:r>
            <w:r>
              <w:rPr>
                <w:rFonts w:hint="eastAsia" w:ascii="宋体" w:hAnsi="宋体" w:eastAsia="宋体" w:cs="宋体"/>
                <w:color w:val="auto"/>
                <w:spacing w:val="0"/>
                <w:kern w:val="2"/>
                <w:sz w:val="21"/>
                <w:szCs w:val="21"/>
                <w:highlight w:val="none"/>
                <w:lang w:val="en-US" w:eastAsia="zh-CN"/>
              </w:rPr>
              <w:t>商务与合同</w:t>
            </w:r>
            <w:r>
              <w:rPr>
                <w:rFonts w:hint="eastAsia" w:ascii="宋体" w:hAnsi="宋体" w:eastAsia="宋体" w:cs="宋体"/>
                <w:color w:val="auto"/>
                <w:spacing w:val="0"/>
                <w:kern w:val="2"/>
                <w:sz w:val="21"/>
                <w:szCs w:val="21"/>
                <w:highlight w:val="none"/>
              </w:rPr>
              <w:t>要求的，必须提交空白表，否则，其</w:t>
            </w:r>
            <w:r>
              <w:rPr>
                <w:rFonts w:hint="eastAsia" w:ascii="宋体" w:hAnsi="宋体" w:eastAsia="宋体" w:cs="宋体"/>
                <w:b/>
                <w:color w:val="auto"/>
                <w:spacing w:val="0"/>
                <w:kern w:val="2"/>
                <w:sz w:val="21"/>
                <w:szCs w:val="21"/>
                <w:highlight w:val="none"/>
              </w:rPr>
              <w:t>响应文件无效</w:t>
            </w:r>
            <w:r>
              <w:rPr>
                <w:rFonts w:hint="eastAsia" w:ascii="宋体" w:hAnsi="宋体" w:eastAsia="宋体" w:cs="宋体"/>
                <w:color w:val="auto"/>
                <w:spacing w:val="0"/>
                <w:kern w:val="2"/>
                <w:sz w:val="21"/>
                <w:szCs w:val="21"/>
                <w:highlight w:val="none"/>
              </w:rPr>
              <w:t>。</w:t>
            </w:r>
          </w:p>
        </w:tc>
      </w:tr>
    </w:tbl>
    <w:p w14:paraId="01BFF04E">
      <w:pPr>
        <w:keepNext w:val="0"/>
        <w:keepLines w:val="0"/>
        <w:pageBreakBefore w:val="0"/>
        <w:widowControl w:val="0"/>
        <w:kinsoku/>
        <w:wordWrap w:val="0"/>
        <w:overflowPunct/>
        <w:topLinePunct/>
        <w:autoSpaceDE/>
        <w:autoSpaceDN/>
        <w:bidi w:val="0"/>
        <w:adjustRightInd w:val="0"/>
        <w:spacing w:line="400" w:lineRule="exact"/>
        <w:ind w:firstLine="480" w:firstLineChars="200"/>
        <w:jc w:val="left"/>
        <w:rPr>
          <w:rFonts w:hint="eastAsia" w:ascii="宋体" w:hAnsi="宋体" w:eastAsia="宋体" w:cs="宋体"/>
          <w:bCs/>
          <w:color w:val="auto"/>
          <w:spacing w:val="0"/>
          <w:kern w:val="2"/>
          <w:sz w:val="24"/>
          <w:szCs w:val="24"/>
          <w:highlight w:val="none"/>
        </w:rPr>
      </w:pPr>
    </w:p>
    <w:p w14:paraId="4DE8D75F">
      <w:pPr>
        <w:keepNext w:val="0"/>
        <w:keepLines w:val="0"/>
        <w:pageBreakBefore w:val="0"/>
        <w:widowControl w:val="0"/>
        <w:kinsoku/>
        <w:wordWrap w:val="0"/>
        <w:overflowPunct/>
        <w:topLinePunct/>
        <w:autoSpaceDE/>
        <w:autoSpaceDN/>
        <w:bidi w:val="0"/>
        <w:adjustRightInd w:val="0"/>
        <w:spacing w:line="400" w:lineRule="exact"/>
        <w:ind w:firstLine="480" w:firstLineChars="200"/>
        <w:jc w:val="left"/>
        <w:rPr>
          <w:rFonts w:hint="eastAsia" w:ascii="宋体" w:hAnsi="宋体" w:eastAsia="宋体" w:cs="宋体"/>
          <w:bCs/>
          <w:color w:val="auto"/>
          <w:spacing w:val="0"/>
          <w:kern w:val="2"/>
          <w:sz w:val="24"/>
          <w:szCs w:val="24"/>
          <w:highlight w:val="none"/>
        </w:rPr>
      </w:pPr>
    </w:p>
    <w:p w14:paraId="17308584">
      <w:pPr>
        <w:keepNext w:val="0"/>
        <w:keepLines w:val="0"/>
        <w:pageBreakBefore w:val="0"/>
        <w:widowControl w:val="0"/>
        <w:kinsoku/>
        <w:wordWrap w:val="0"/>
        <w:overflowPunct/>
        <w:topLinePunct/>
        <w:autoSpaceDE/>
        <w:autoSpaceDN/>
        <w:bidi w:val="0"/>
        <w:spacing w:line="360" w:lineRule="auto"/>
        <w:ind w:left="1260" w:leftChars="0" w:firstLine="420" w:firstLineChars="0"/>
        <w:jc w:val="left"/>
        <w:outlineLvl w:val="9"/>
        <w:rPr>
          <w:rFonts w:hint="eastAsia" w:ascii="宋体" w:hAnsi="宋体" w:eastAsia="宋体" w:cs="宋体"/>
          <w:b w:val="0"/>
          <w:bCs w:val="0"/>
          <w:color w:val="auto"/>
          <w:spacing w:val="0"/>
          <w:kern w:val="2"/>
          <w:sz w:val="24"/>
          <w:szCs w:val="24"/>
          <w:highlight w:val="none"/>
          <w:u w:val="none"/>
          <w:lang w:val="en-US" w:eastAsia="zh-CN"/>
        </w:rPr>
      </w:pPr>
      <w:r>
        <w:rPr>
          <w:rFonts w:hint="eastAsia" w:ascii="宋体" w:hAnsi="宋体" w:eastAsia="宋体" w:cs="宋体"/>
          <w:b w:val="0"/>
          <w:bCs w:val="0"/>
          <w:color w:val="auto"/>
          <w:spacing w:val="0"/>
          <w:kern w:val="2"/>
          <w:sz w:val="24"/>
          <w:szCs w:val="24"/>
          <w:highlight w:val="none"/>
          <w:lang w:val="en-US" w:eastAsia="zh-CN"/>
        </w:rPr>
        <w:t>供应商：</w:t>
      </w:r>
      <w:r>
        <w:rPr>
          <w:rFonts w:hint="eastAsia" w:ascii="宋体" w:hAnsi="宋体" w:eastAsia="宋体" w:cs="宋体"/>
          <w:b w:val="0"/>
          <w:bCs w:val="0"/>
          <w:color w:val="auto"/>
          <w:spacing w:val="0"/>
          <w:kern w:val="2"/>
          <w:sz w:val="24"/>
          <w:szCs w:val="24"/>
          <w:highlight w:val="none"/>
          <w:u w:val="single"/>
          <w:lang w:val="en-US" w:eastAsia="zh-CN"/>
        </w:rPr>
        <w:t xml:space="preserve">                             </w:t>
      </w:r>
      <w:r>
        <w:rPr>
          <w:rFonts w:hint="eastAsia" w:ascii="宋体" w:hAnsi="宋体" w:eastAsia="宋体" w:cs="宋体"/>
          <w:b w:val="0"/>
          <w:bCs w:val="0"/>
          <w:color w:val="auto"/>
          <w:spacing w:val="0"/>
          <w:kern w:val="2"/>
          <w:sz w:val="24"/>
          <w:szCs w:val="24"/>
          <w:highlight w:val="none"/>
          <w:u w:val="none"/>
          <w:lang w:val="en-US" w:eastAsia="zh-CN"/>
        </w:rPr>
        <w:t>（盖章）</w:t>
      </w:r>
    </w:p>
    <w:p w14:paraId="1EFF2A4D">
      <w:pPr>
        <w:pStyle w:val="46"/>
        <w:keepNext w:val="0"/>
        <w:keepLines w:val="0"/>
        <w:pageBreakBefore w:val="0"/>
        <w:widowControl w:val="0"/>
        <w:kinsoku/>
        <w:wordWrap w:val="0"/>
        <w:overflowPunct/>
        <w:topLinePunct/>
        <w:autoSpaceDE/>
        <w:autoSpaceDN/>
        <w:bidi w:val="0"/>
        <w:spacing w:line="360" w:lineRule="auto"/>
        <w:ind w:left="1260" w:leftChars="0" w:firstLine="420" w:firstLineChars="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zh-CN"/>
        </w:rPr>
        <w:t>法定代表人或其委托代理人：</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lang w:val="zh-CN"/>
        </w:rPr>
        <w:t xml:space="preserve"> （签字</w:t>
      </w:r>
      <w:r>
        <w:rPr>
          <w:rFonts w:hint="eastAsia" w:ascii="宋体" w:hAnsi="宋体" w:eastAsia="宋体" w:cs="宋体"/>
          <w:color w:val="auto"/>
          <w:spacing w:val="0"/>
          <w:kern w:val="2"/>
          <w:sz w:val="24"/>
          <w:szCs w:val="24"/>
          <w:highlight w:val="none"/>
          <w:lang w:val="en-US" w:eastAsia="zh-CN"/>
        </w:rPr>
        <w:t>或盖章</w:t>
      </w:r>
      <w:r>
        <w:rPr>
          <w:rFonts w:hint="eastAsia" w:ascii="宋体" w:hAnsi="宋体" w:eastAsia="宋体" w:cs="宋体"/>
          <w:color w:val="auto"/>
          <w:spacing w:val="0"/>
          <w:kern w:val="2"/>
          <w:sz w:val="24"/>
          <w:szCs w:val="24"/>
          <w:highlight w:val="none"/>
          <w:lang w:val="zh-CN"/>
        </w:rPr>
        <w:t>）</w:t>
      </w:r>
    </w:p>
    <w:p w14:paraId="7DC734D8">
      <w:pPr>
        <w:pStyle w:val="2"/>
        <w:keepNext w:val="0"/>
        <w:keepLines w:val="0"/>
        <w:pageBreakBefore w:val="0"/>
        <w:widowControl w:val="0"/>
        <w:kinsoku/>
        <w:wordWrap w:val="0"/>
        <w:overflowPunct/>
        <w:topLinePunct/>
        <w:autoSpaceDE/>
        <w:autoSpaceDN/>
        <w:bidi w:val="0"/>
        <w:adjustRightInd/>
        <w:snapToGrid/>
        <w:spacing w:line="360" w:lineRule="auto"/>
        <w:ind w:left="1260" w:leftChars="0" w:firstLine="420" w:firstLineChars="0"/>
        <w:textAlignment w:val="auto"/>
        <w:rPr>
          <w:rFonts w:hint="eastAsia" w:ascii="宋体" w:hAnsi="宋体" w:eastAsia="宋体" w:cs="宋体"/>
          <w:color w:val="auto"/>
          <w:spacing w:val="0"/>
          <w:kern w:val="2"/>
          <w:sz w:val="24"/>
          <w:szCs w:val="24"/>
          <w:highlight w:val="none"/>
          <w:u w:val="single"/>
          <w:lang w:val="zh-CN"/>
        </w:rPr>
      </w:pPr>
      <w:r>
        <w:rPr>
          <w:rFonts w:hint="eastAsia" w:ascii="宋体" w:hAnsi="宋体" w:eastAsia="宋体" w:cs="宋体"/>
          <w:color w:val="auto"/>
          <w:spacing w:val="0"/>
          <w:kern w:val="2"/>
          <w:sz w:val="24"/>
          <w:szCs w:val="24"/>
          <w:highlight w:val="none"/>
          <w:lang w:val="zh-CN"/>
        </w:rPr>
        <w:t>日     期：</w:t>
      </w:r>
      <w:r>
        <w:rPr>
          <w:rFonts w:hint="eastAsia" w:ascii="宋体" w:hAnsi="宋体" w:eastAsia="宋体" w:cs="宋体"/>
          <w:color w:val="auto"/>
          <w:spacing w:val="0"/>
          <w:kern w:val="2"/>
          <w:sz w:val="24"/>
          <w:szCs w:val="24"/>
          <w:highlight w:val="none"/>
          <w:u w:val="single"/>
          <w:lang w:val="zh-CN"/>
        </w:rPr>
        <w:t xml:space="preserve">   </w:t>
      </w:r>
      <w:r>
        <w:rPr>
          <w:rFonts w:hint="eastAsia" w:ascii="宋体" w:hAnsi="宋体" w:eastAsia="宋体" w:cs="宋体"/>
          <w:color w:val="auto"/>
          <w:spacing w:val="0"/>
          <w:kern w:val="2"/>
          <w:sz w:val="24"/>
          <w:szCs w:val="24"/>
          <w:highlight w:val="none"/>
          <w:u w:val="single"/>
          <w:lang w:val="en-US" w:eastAsia="zh-CN"/>
        </w:rPr>
        <w:t xml:space="preserve">                   </w:t>
      </w:r>
      <w:r>
        <w:rPr>
          <w:rFonts w:hint="eastAsia" w:ascii="宋体" w:hAnsi="宋体" w:eastAsia="宋体" w:cs="宋体"/>
          <w:color w:val="auto"/>
          <w:spacing w:val="0"/>
          <w:kern w:val="2"/>
          <w:sz w:val="24"/>
          <w:szCs w:val="24"/>
          <w:highlight w:val="none"/>
          <w:u w:val="single"/>
          <w:lang w:val="zh-CN"/>
        </w:rPr>
        <w:t xml:space="preserve">   </w:t>
      </w:r>
    </w:p>
    <w:p w14:paraId="1173ABAD">
      <w:pPr>
        <w:keepNext w:val="0"/>
        <w:keepLines w:val="0"/>
        <w:pageBreakBefore w:val="0"/>
        <w:widowControl w:val="0"/>
        <w:kinsoku/>
        <w:wordWrap w:val="0"/>
        <w:overflowPunct/>
        <w:topLinePunct/>
        <w:autoSpaceDE/>
        <w:autoSpaceDN/>
        <w:bidi w:val="0"/>
        <w:spacing w:line="520" w:lineRule="exact"/>
        <w:ind w:left="420" w:firstLine="0" w:firstLineChars="0"/>
        <w:rPr>
          <w:rFonts w:hint="eastAsia" w:ascii="宋体" w:hAnsi="宋体" w:eastAsia="宋体" w:cs="宋体"/>
          <w:color w:val="auto"/>
          <w:spacing w:val="0"/>
          <w:kern w:val="2"/>
          <w:sz w:val="24"/>
          <w:szCs w:val="24"/>
          <w:highlight w:val="none"/>
        </w:rPr>
      </w:pPr>
    </w:p>
    <w:bookmarkEnd w:id="52"/>
    <w:bookmarkEnd w:id="53"/>
    <w:bookmarkEnd w:id="54"/>
    <w:bookmarkEnd w:id="55"/>
    <w:bookmarkEnd w:id="56"/>
    <w:p w14:paraId="7E8A04AA">
      <w:pPr>
        <w:keepNext w:val="0"/>
        <w:keepLines w:val="0"/>
        <w:pageBreakBefore w:val="0"/>
        <w:widowControl w:val="0"/>
        <w:kinsoku/>
        <w:overflowPunct/>
        <w:autoSpaceDE/>
        <w:autoSpaceDN/>
        <w:bidi w:val="0"/>
        <w:rPr>
          <w:rFonts w:hint="eastAsia" w:ascii="宋体" w:hAnsi="宋体" w:eastAsia="宋体" w:cs="宋体"/>
          <w:b/>
          <w:bCs/>
          <w:color w:val="auto"/>
          <w:spacing w:val="0"/>
          <w:kern w:val="2"/>
          <w:sz w:val="24"/>
          <w:szCs w:val="24"/>
          <w:highlight w:val="none"/>
          <w:lang w:val="en-US" w:eastAsia="zh-CN"/>
        </w:rPr>
      </w:pPr>
      <w:bookmarkStart w:id="85" w:name="_Toc11040"/>
      <w:bookmarkStart w:id="86" w:name="_Toc2741"/>
      <w:r>
        <w:rPr>
          <w:rFonts w:hint="eastAsia" w:ascii="宋体" w:hAnsi="宋体" w:eastAsia="宋体" w:cs="宋体"/>
          <w:b/>
          <w:bCs/>
          <w:color w:val="auto"/>
          <w:spacing w:val="0"/>
          <w:kern w:val="2"/>
          <w:sz w:val="24"/>
          <w:szCs w:val="24"/>
          <w:highlight w:val="none"/>
          <w:lang w:val="en-US" w:eastAsia="zh-CN"/>
        </w:rPr>
        <w:br w:type="page"/>
      </w:r>
    </w:p>
    <w:p w14:paraId="73419095">
      <w:pPr>
        <w:pStyle w:val="14"/>
        <w:keepNext w:val="0"/>
        <w:keepLines w:val="0"/>
        <w:pageBreakBefore w:val="0"/>
        <w:widowControl w:val="0"/>
        <w:kinsoku/>
        <w:wordWrap w:val="0"/>
        <w:overflowPunct/>
        <w:topLinePunct/>
        <w:autoSpaceDE/>
        <w:autoSpaceDN/>
        <w:bidi w:val="0"/>
        <w:spacing w:after="0"/>
        <w:jc w:val="center"/>
        <w:rPr>
          <w:rFonts w:hint="eastAsia" w:ascii="宋体" w:hAnsi="宋体" w:eastAsia="宋体" w:cs="宋体"/>
          <w:spacing w:val="0"/>
          <w:kern w:val="2"/>
          <w:highlight w:val="none"/>
          <w:lang w:val="en-US" w:eastAsia="zh-CN"/>
        </w:rPr>
      </w:pPr>
      <w:r>
        <w:rPr>
          <w:rFonts w:hint="eastAsia" w:ascii="宋体" w:hAnsi="宋体" w:eastAsia="宋体" w:cs="宋体"/>
          <w:b/>
          <w:bCs/>
          <w:color w:val="auto"/>
          <w:spacing w:val="0"/>
          <w:kern w:val="2"/>
          <w:sz w:val="24"/>
          <w:szCs w:val="24"/>
          <w:highlight w:val="none"/>
          <w:lang w:val="en-US" w:eastAsia="zh-CN"/>
        </w:rPr>
        <w:t>第三部分、响应方案</w:t>
      </w:r>
    </w:p>
    <w:bookmarkEnd w:id="85"/>
    <w:bookmarkEnd w:id="86"/>
    <w:p w14:paraId="369591DF">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auto"/>
          <w:spacing w:val="0"/>
          <w:kern w:val="2"/>
          <w:sz w:val="24"/>
          <w:szCs w:val="24"/>
          <w:highlight w:val="none"/>
          <w:lang w:val="en-US" w:eastAsia="zh-CN"/>
        </w:rPr>
      </w:pPr>
      <w:bookmarkStart w:id="87" w:name="_Toc31245"/>
      <w:r>
        <w:rPr>
          <w:rFonts w:hint="eastAsia" w:ascii="宋体" w:hAnsi="宋体" w:eastAsia="宋体" w:cs="宋体"/>
          <w:b/>
          <w:bCs/>
          <w:color w:val="auto"/>
          <w:spacing w:val="0"/>
          <w:kern w:val="2"/>
          <w:sz w:val="24"/>
          <w:szCs w:val="24"/>
          <w:highlight w:val="none"/>
          <w:lang w:val="en-US" w:eastAsia="zh-CN"/>
        </w:rPr>
        <w:t>1、服务方案</w:t>
      </w:r>
    </w:p>
    <w:p w14:paraId="7DC7B169">
      <w:pPr>
        <w:keepNext w:val="0"/>
        <w:keepLines w:val="0"/>
        <w:pageBreakBefore w:val="0"/>
        <w:widowControl w:val="0"/>
        <w:kinsoku/>
        <w:wordWrap w:val="0"/>
        <w:overflowPunct/>
        <w:topLinePunct/>
        <w:autoSpaceDE/>
        <w:autoSpaceDN/>
        <w:bidi w:val="0"/>
        <w:jc w:val="center"/>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t>自拟</w:t>
      </w:r>
    </w:p>
    <w:bookmarkEnd w:id="87"/>
    <w:p w14:paraId="15E01F4F">
      <w:pPr>
        <w:keepNext w:val="0"/>
        <w:keepLines w:val="0"/>
        <w:pageBreakBefore w:val="0"/>
        <w:widowControl w:val="0"/>
        <w:kinsoku/>
        <w:wordWrap w:val="0"/>
        <w:overflowPunct/>
        <w:topLinePunct/>
        <w:autoSpaceDE/>
        <w:autoSpaceDN/>
        <w:bidi w:val="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rPr>
        <w:br w:type="page"/>
      </w:r>
    </w:p>
    <w:p w14:paraId="23127416">
      <w:pPr>
        <w:keepNext w:val="0"/>
        <w:keepLines w:val="0"/>
        <w:pageBreakBefore w:val="0"/>
        <w:widowControl w:val="0"/>
        <w:kinsoku/>
        <w:wordWrap w:val="0"/>
        <w:overflowPunct/>
        <w:topLinePunct/>
        <w:autoSpaceDE/>
        <w:autoSpaceDN/>
        <w:bidi w:val="0"/>
        <w:jc w:val="center"/>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2、供应商需要补充说明的事宜</w:t>
      </w:r>
    </w:p>
    <w:p w14:paraId="27EC77D1">
      <w:pPr>
        <w:keepNext w:val="0"/>
        <w:keepLines w:val="0"/>
        <w:pageBreakBefore w:val="0"/>
        <w:widowControl w:val="0"/>
        <w:numPr>
          <w:ilvl w:val="0"/>
          <w:numId w:val="0"/>
        </w:numPr>
        <w:kinsoku/>
        <w:wordWrap w:val="0"/>
        <w:overflowPunct/>
        <w:topLinePunct/>
        <w:autoSpaceDE/>
        <w:autoSpaceDN/>
        <w:bidi w:val="0"/>
        <w:rPr>
          <w:rFonts w:hint="eastAsia" w:ascii="宋体" w:hAnsi="宋体" w:eastAsia="宋体" w:cs="宋体"/>
          <w:spacing w:val="0"/>
          <w:kern w:val="2"/>
          <w:highlight w:val="none"/>
          <w:lang w:val="en-US" w:eastAsia="zh-CN"/>
        </w:rPr>
      </w:pPr>
    </w:p>
    <w:p w14:paraId="3B762D0D">
      <w:pPr>
        <w:pStyle w:val="2"/>
        <w:keepNext w:val="0"/>
        <w:keepLines w:val="0"/>
        <w:pageBreakBefore w:val="0"/>
        <w:widowControl w:val="0"/>
        <w:kinsoku/>
        <w:wordWrap w:val="0"/>
        <w:overflowPunct/>
        <w:topLinePunct/>
        <w:autoSpaceDE/>
        <w:autoSpaceDN/>
        <w:bidi w:val="0"/>
        <w:rPr>
          <w:rFonts w:hint="eastAsia" w:ascii="宋体" w:hAnsi="宋体" w:eastAsia="宋体" w:cs="宋体"/>
          <w:spacing w:val="0"/>
          <w:kern w:val="2"/>
          <w:highlight w:val="none"/>
          <w:lang w:val="zh-CN" w:eastAsia="zh-CN"/>
        </w:rPr>
      </w:pPr>
    </w:p>
    <w:sectPr>
      <w:footerReference r:id="rId18" w:type="first"/>
      <w:headerReference r:id="rId16" w:type="default"/>
      <w:footerReference r:id="rId17" w:type="default"/>
      <w:pgSz w:w="11905" w:h="16838"/>
      <w:pgMar w:top="1440" w:right="1800" w:bottom="1440" w:left="1800"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mbria">
    <w:panose1 w:val="02040503050406030204"/>
    <w:charset w:val="00"/>
    <w:family w:val="roman"/>
    <w:pitch w:val="default"/>
    <w:sig w:usb0="A00002EF" w:usb1="4000004B" w:usb2="00000000" w:usb3="00000000" w:csb0="200000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KSOF29153A75">
    <w:panose1 w:val="020B05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AC536">
    <w:pPr>
      <w:pStyle w:val="18"/>
      <w:ind w:firstLine="482"/>
      <w:jc w:val="center"/>
    </w:pPr>
  </w:p>
  <w:p w14:paraId="15205EBC">
    <w:pPr>
      <w:pStyle w:val="18"/>
      <w:ind w:firstLine="0" w:firstLineChars="0"/>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D8C1C">
    <w:pPr>
      <w:spacing w:line="280" w:lineRule="exact"/>
      <w:rPr>
        <w:rFonts w:ascii="宋体" w:hAnsi="宋体"/>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A787A">
                          <w:pPr>
                            <w:pStyle w:val="1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83A787A">
                    <w:pPr>
                      <w:pStyle w:val="1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889EE">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2C4866">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32C4866">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077A3">
    <w:pPr>
      <w:spacing w:line="280" w:lineRule="exact"/>
      <w:rPr>
        <w:rFonts w:ascii="宋体" w:hAnsi="宋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48F09">
                          <w:pPr>
                            <w:pStyle w:val="18"/>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9F48F09">
                    <w:pPr>
                      <w:pStyle w:val="18"/>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17CFE">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209FC">
                          <w:pPr>
                            <w:pStyle w:val="18"/>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1209FC">
                    <w:pPr>
                      <w:pStyle w:val="18"/>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031CB">
    <w:pPr>
      <w:pStyle w:val="18"/>
      <w:ind w:firstLine="0" w:firstLineChars="0"/>
      <w:rPr>
        <w:rFonts w:ascii="宋体" w:hAns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3094E1">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3094E1">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BE410">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E10B6">
                          <w:pPr>
                            <w:pStyle w:val="18"/>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0AE10B6">
                    <w:pPr>
                      <w:pStyle w:val="18"/>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F08E4">
    <w:pPr>
      <w:pStyle w:val="18"/>
      <w:ind w:firstLine="48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FAC57C">
                          <w:pPr>
                            <w:pStyle w:val="18"/>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7FAC57C">
                    <w:pPr>
                      <w:pStyle w:val="18"/>
                    </w:pPr>
                    <w:r>
                      <w:fldChar w:fldCharType="begin"/>
                    </w:r>
                    <w:r>
                      <w:instrText xml:space="preserve"> PAGE  \* MERGEFORMAT </w:instrText>
                    </w:r>
                    <w:r>
                      <w:fldChar w:fldCharType="separate"/>
                    </w:r>
                    <w:r>
                      <w:t>87</w:t>
                    </w:r>
                    <w:r>
                      <w:fldChar w:fldCharType="end"/>
                    </w:r>
                  </w:p>
                </w:txbxContent>
              </v:textbox>
            </v:shape>
          </w:pict>
        </mc:Fallback>
      </mc:AlternateContent>
    </w:r>
  </w:p>
  <w:p w14:paraId="6D25D846">
    <w:pPr>
      <w:pStyle w:val="18"/>
      <w:ind w:firstLine="0" w:firstLineChars="0"/>
      <w:rPr>
        <w:rFonts w:ascii="宋体" w:hAnsi="宋体"/>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65BB9">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12FA20">
                          <w:pPr>
                            <w:pStyle w:val="18"/>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D12FA20">
                    <w:pPr>
                      <w:pStyle w:val="18"/>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19F4C">
    <w:pPr>
      <w:pStyle w:val="19"/>
      <w:pBdr>
        <w:bottom w:val="none" w:color="auto" w:sz="0" w:space="1"/>
      </w:pBdr>
      <w:tabs>
        <w:tab w:val="clear" w:pos="4153"/>
      </w:tabs>
      <w:ind w:firstLine="0" w:firstLineChars="0"/>
      <w:jc w:val="center"/>
      <w:rPr>
        <w:rFonts w:hint="eastAsia" w:eastAsia="宋体"/>
        <w:szCs w:val="21"/>
        <w:u w:val="none"/>
        <w:shd w:val="pct10" w:color="auto" w:fill="FFFFFF"/>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87E9B">
    <w:pPr>
      <w:pStyle w:val="19"/>
      <w:pBdr>
        <w:bottom w:val="none" w:color="auto" w:sz="0" w:space="1"/>
      </w:pBdr>
      <w:spacing w:line="240" w:lineRule="auto"/>
      <w:ind w:left="4216" w:hanging="3600" w:hangingChars="2000"/>
      <w:jc w:val="left"/>
      <w:rPr>
        <w:rFonts w:hint="eastAsia" w:eastAsia="宋体"/>
        <w:szCs w:val="21"/>
        <w:shd w:val="pct10" w:color="auto" w:fill="FFFFFF"/>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E42DA">
    <w:pPr>
      <w:pStyle w:val="19"/>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7055F">
    <w:pPr>
      <w:pStyle w:val="19"/>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02D0C">
    <w:pPr>
      <w:pStyle w:val="19"/>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3E327E"/>
    <w:multiLevelType w:val="singleLevel"/>
    <w:tmpl w:val="E73E327E"/>
    <w:lvl w:ilvl="0" w:tentative="0">
      <w:start w:val="2"/>
      <w:numFmt w:val="chineseCounting"/>
      <w:suff w:val="nothing"/>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mirrorMargins w:val="1"/>
  <w:bordersDoNotSurroundHeader w:val="0"/>
  <w:bordersDoNotSurroundFooter w:val="0"/>
  <w:documentProtection w:enforcement="0"/>
  <w:defaultTabStop w:val="420"/>
  <w:drawingGridHorizontalSpacing w:val="210"/>
  <w:drawingGridVerticalSpacing w:val="15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ljY2Y0ZDdmMWVjMDg2ZTJmODk2Y2RkOTkwNDAyNWUifQ=="/>
  </w:docVars>
  <w:rsids>
    <w:rsidRoot w:val="00172A27"/>
    <w:rsid w:val="00000BDA"/>
    <w:rsid w:val="00002CD1"/>
    <w:rsid w:val="00005402"/>
    <w:rsid w:val="00005941"/>
    <w:rsid w:val="00041AD1"/>
    <w:rsid w:val="00060C6A"/>
    <w:rsid w:val="0007201D"/>
    <w:rsid w:val="00074FB2"/>
    <w:rsid w:val="000861CB"/>
    <w:rsid w:val="000A1970"/>
    <w:rsid w:val="000A7932"/>
    <w:rsid w:val="000A7D2E"/>
    <w:rsid w:val="000C03F2"/>
    <w:rsid w:val="000C6E28"/>
    <w:rsid w:val="000E7B1F"/>
    <w:rsid w:val="000F08FD"/>
    <w:rsid w:val="0010612A"/>
    <w:rsid w:val="00124BD9"/>
    <w:rsid w:val="00125131"/>
    <w:rsid w:val="00132B75"/>
    <w:rsid w:val="00134908"/>
    <w:rsid w:val="00160607"/>
    <w:rsid w:val="0018278B"/>
    <w:rsid w:val="0019212A"/>
    <w:rsid w:val="001A08C7"/>
    <w:rsid w:val="001A2911"/>
    <w:rsid w:val="001E6339"/>
    <w:rsid w:val="002001D9"/>
    <w:rsid w:val="002113E9"/>
    <w:rsid w:val="00230734"/>
    <w:rsid w:val="00246844"/>
    <w:rsid w:val="002601E6"/>
    <w:rsid w:val="0028098F"/>
    <w:rsid w:val="0028137B"/>
    <w:rsid w:val="00294527"/>
    <w:rsid w:val="002A20FC"/>
    <w:rsid w:val="002A246C"/>
    <w:rsid w:val="002A3F8D"/>
    <w:rsid w:val="002C1130"/>
    <w:rsid w:val="002D2BE7"/>
    <w:rsid w:val="002E3D95"/>
    <w:rsid w:val="002E433D"/>
    <w:rsid w:val="002E7E18"/>
    <w:rsid w:val="002F111D"/>
    <w:rsid w:val="00307653"/>
    <w:rsid w:val="00320926"/>
    <w:rsid w:val="00327E85"/>
    <w:rsid w:val="00331505"/>
    <w:rsid w:val="00331D34"/>
    <w:rsid w:val="00334112"/>
    <w:rsid w:val="0033589A"/>
    <w:rsid w:val="003423CC"/>
    <w:rsid w:val="00345B9C"/>
    <w:rsid w:val="0035116F"/>
    <w:rsid w:val="00361B45"/>
    <w:rsid w:val="00372347"/>
    <w:rsid w:val="0038723E"/>
    <w:rsid w:val="00387C8F"/>
    <w:rsid w:val="003A05F7"/>
    <w:rsid w:val="003A2314"/>
    <w:rsid w:val="003B2319"/>
    <w:rsid w:val="003D33A2"/>
    <w:rsid w:val="003F1738"/>
    <w:rsid w:val="0040047B"/>
    <w:rsid w:val="0043289F"/>
    <w:rsid w:val="004362EF"/>
    <w:rsid w:val="00451AE4"/>
    <w:rsid w:val="004544EC"/>
    <w:rsid w:val="00455D04"/>
    <w:rsid w:val="00466DC3"/>
    <w:rsid w:val="004860ED"/>
    <w:rsid w:val="004951F6"/>
    <w:rsid w:val="004A0673"/>
    <w:rsid w:val="004B4FCB"/>
    <w:rsid w:val="004F06D1"/>
    <w:rsid w:val="004F6FA9"/>
    <w:rsid w:val="00521053"/>
    <w:rsid w:val="00524B6E"/>
    <w:rsid w:val="00530FE9"/>
    <w:rsid w:val="00532C50"/>
    <w:rsid w:val="005577B6"/>
    <w:rsid w:val="00560718"/>
    <w:rsid w:val="005840EF"/>
    <w:rsid w:val="005A3C06"/>
    <w:rsid w:val="005A69AD"/>
    <w:rsid w:val="005B009E"/>
    <w:rsid w:val="005E456F"/>
    <w:rsid w:val="005F481F"/>
    <w:rsid w:val="00602F3F"/>
    <w:rsid w:val="006061B9"/>
    <w:rsid w:val="00610AC5"/>
    <w:rsid w:val="006174F8"/>
    <w:rsid w:val="00627516"/>
    <w:rsid w:val="006617C5"/>
    <w:rsid w:val="00662F33"/>
    <w:rsid w:val="0067732F"/>
    <w:rsid w:val="006A06DE"/>
    <w:rsid w:val="006A1CB2"/>
    <w:rsid w:val="006C50AA"/>
    <w:rsid w:val="006C54AB"/>
    <w:rsid w:val="006E0A8C"/>
    <w:rsid w:val="006E2AED"/>
    <w:rsid w:val="006E4218"/>
    <w:rsid w:val="006E6865"/>
    <w:rsid w:val="00712198"/>
    <w:rsid w:val="00712B43"/>
    <w:rsid w:val="00717707"/>
    <w:rsid w:val="00720F21"/>
    <w:rsid w:val="007236A0"/>
    <w:rsid w:val="00724B84"/>
    <w:rsid w:val="00737E15"/>
    <w:rsid w:val="007401D7"/>
    <w:rsid w:val="00740D02"/>
    <w:rsid w:val="00740DCB"/>
    <w:rsid w:val="00757B3F"/>
    <w:rsid w:val="00785329"/>
    <w:rsid w:val="007A4E72"/>
    <w:rsid w:val="007B79E8"/>
    <w:rsid w:val="007D13A0"/>
    <w:rsid w:val="007E16D8"/>
    <w:rsid w:val="007E60B7"/>
    <w:rsid w:val="007F095D"/>
    <w:rsid w:val="00803ED0"/>
    <w:rsid w:val="0081040F"/>
    <w:rsid w:val="00820218"/>
    <w:rsid w:val="00830209"/>
    <w:rsid w:val="00841FF9"/>
    <w:rsid w:val="0085027D"/>
    <w:rsid w:val="008570B9"/>
    <w:rsid w:val="00884235"/>
    <w:rsid w:val="008876E9"/>
    <w:rsid w:val="00887BC2"/>
    <w:rsid w:val="008960F8"/>
    <w:rsid w:val="008967D6"/>
    <w:rsid w:val="008A0690"/>
    <w:rsid w:val="008A618E"/>
    <w:rsid w:val="008A65CB"/>
    <w:rsid w:val="008B3CAD"/>
    <w:rsid w:val="008C4F70"/>
    <w:rsid w:val="008D34F5"/>
    <w:rsid w:val="008D3BEE"/>
    <w:rsid w:val="008F5DB4"/>
    <w:rsid w:val="00901FC6"/>
    <w:rsid w:val="009117AB"/>
    <w:rsid w:val="00934DBB"/>
    <w:rsid w:val="00942892"/>
    <w:rsid w:val="0095226B"/>
    <w:rsid w:val="00955EB6"/>
    <w:rsid w:val="009579D5"/>
    <w:rsid w:val="00971089"/>
    <w:rsid w:val="009837BE"/>
    <w:rsid w:val="00990A3C"/>
    <w:rsid w:val="0099397D"/>
    <w:rsid w:val="00996E4B"/>
    <w:rsid w:val="009A0920"/>
    <w:rsid w:val="009A26E0"/>
    <w:rsid w:val="009B39C2"/>
    <w:rsid w:val="009B6A54"/>
    <w:rsid w:val="009E3B5D"/>
    <w:rsid w:val="009E4E26"/>
    <w:rsid w:val="009F7EC1"/>
    <w:rsid w:val="00A07571"/>
    <w:rsid w:val="00A10558"/>
    <w:rsid w:val="00A11A32"/>
    <w:rsid w:val="00A305F7"/>
    <w:rsid w:val="00A323B6"/>
    <w:rsid w:val="00A33C90"/>
    <w:rsid w:val="00A36836"/>
    <w:rsid w:val="00A42CB1"/>
    <w:rsid w:val="00A50A7C"/>
    <w:rsid w:val="00A51653"/>
    <w:rsid w:val="00AB7CB8"/>
    <w:rsid w:val="00AC0F23"/>
    <w:rsid w:val="00AC483C"/>
    <w:rsid w:val="00AD3BA4"/>
    <w:rsid w:val="00AE3A1C"/>
    <w:rsid w:val="00AF08C0"/>
    <w:rsid w:val="00AF1562"/>
    <w:rsid w:val="00AF72D5"/>
    <w:rsid w:val="00B174FD"/>
    <w:rsid w:val="00B54299"/>
    <w:rsid w:val="00B62E1E"/>
    <w:rsid w:val="00B63A3B"/>
    <w:rsid w:val="00B64495"/>
    <w:rsid w:val="00B6561D"/>
    <w:rsid w:val="00B71BDB"/>
    <w:rsid w:val="00B7651D"/>
    <w:rsid w:val="00BA1937"/>
    <w:rsid w:val="00BA74AA"/>
    <w:rsid w:val="00BA77C7"/>
    <w:rsid w:val="00C0350C"/>
    <w:rsid w:val="00C05FA6"/>
    <w:rsid w:val="00C07976"/>
    <w:rsid w:val="00C14AB4"/>
    <w:rsid w:val="00C369DD"/>
    <w:rsid w:val="00C85278"/>
    <w:rsid w:val="00C937B8"/>
    <w:rsid w:val="00CB2895"/>
    <w:rsid w:val="00CC7C85"/>
    <w:rsid w:val="00CD635D"/>
    <w:rsid w:val="00CE24C5"/>
    <w:rsid w:val="00CF2A8B"/>
    <w:rsid w:val="00CF7756"/>
    <w:rsid w:val="00D019D8"/>
    <w:rsid w:val="00D0574D"/>
    <w:rsid w:val="00D075E6"/>
    <w:rsid w:val="00D248AE"/>
    <w:rsid w:val="00D3073F"/>
    <w:rsid w:val="00D31784"/>
    <w:rsid w:val="00D32E59"/>
    <w:rsid w:val="00D451AA"/>
    <w:rsid w:val="00D57459"/>
    <w:rsid w:val="00D62DAF"/>
    <w:rsid w:val="00D7391C"/>
    <w:rsid w:val="00DA1429"/>
    <w:rsid w:val="00DB10A3"/>
    <w:rsid w:val="00DB2CB0"/>
    <w:rsid w:val="00DD0536"/>
    <w:rsid w:val="00DE67B1"/>
    <w:rsid w:val="00DF7EE4"/>
    <w:rsid w:val="00E01684"/>
    <w:rsid w:val="00E21993"/>
    <w:rsid w:val="00E26FF9"/>
    <w:rsid w:val="00E90D12"/>
    <w:rsid w:val="00EA0587"/>
    <w:rsid w:val="00EB09E8"/>
    <w:rsid w:val="00EB25F1"/>
    <w:rsid w:val="00EC1D26"/>
    <w:rsid w:val="00ED36CB"/>
    <w:rsid w:val="00EE410B"/>
    <w:rsid w:val="00EE56BE"/>
    <w:rsid w:val="00EF7650"/>
    <w:rsid w:val="00F00476"/>
    <w:rsid w:val="00F02276"/>
    <w:rsid w:val="00F11F53"/>
    <w:rsid w:val="00F12BCC"/>
    <w:rsid w:val="00F33728"/>
    <w:rsid w:val="00F466B1"/>
    <w:rsid w:val="00F52208"/>
    <w:rsid w:val="00F62B23"/>
    <w:rsid w:val="00F63043"/>
    <w:rsid w:val="00F63BC1"/>
    <w:rsid w:val="00F76FBC"/>
    <w:rsid w:val="00F86929"/>
    <w:rsid w:val="00F91871"/>
    <w:rsid w:val="00FA0450"/>
    <w:rsid w:val="00FA1D35"/>
    <w:rsid w:val="00FD3859"/>
    <w:rsid w:val="00FD7BC3"/>
    <w:rsid w:val="010C1511"/>
    <w:rsid w:val="014619CB"/>
    <w:rsid w:val="014F57A9"/>
    <w:rsid w:val="01605517"/>
    <w:rsid w:val="01797F8F"/>
    <w:rsid w:val="017E0477"/>
    <w:rsid w:val="01814321"/>
    <w:rsid w:val="01BA6406"/>
    <w:rsid w:val="01C866FD"/>
    <w:rsid w:val="01CE7CDB"/>
    <w:rsid w:val="01D75FD3"/>
    <w:rsid w:val="0202001C"/>
    <w:rsid w:val="02260AA1"/>
    <w:rsid w:val="02301B99"/>
    <w:rsid w:val="02670FF9"/>
    <w:rsid w:val="0284375E"/>
    <w:rsid w:val="029E0CDB"/>
    <w:rsid w:val="02A97BE9"/>
    <w:rsid w:val="02CE3A19"/>
    <w:rsid w:val="02CF29B1"/>
    <w:rsid w:val="02F82AEF"/>
    <w:rsid w:val="032A6F1F"/>
    <w:rsid w:val="032C18EA"/>
    <w:rsid w:val="03462792"/>
    <w:rsid w:val="03490487"/>
    <w:rsid w:val="038A3960"/>
    <w:rsid w:val="038D0666"/>
    <w:rsid w:val="03BE04A3"/>
    <w:rsid w:val="03C86237"/>
    <w:rsid w:val="03CE6B59"/>
    <w:rsid w:val="03DA068D"/>
    <w:rsid w:val="03E53E41"/>
    <w:rsid w:val="040B069A"/>
    <w:rsid w:val="041C3EAA"/>
    <w:rsid w:val="0435689D"/>
    <w:rsid w:val="0461636B"/>
    <w:rsid w:val="04A63D5B"/>
    <w:rsid w:val="04AA2EB9"/>
    <w:rsid w:val="04B769D7"/>
    <w:rsid w:val="04CB54AC"/>
    <w:rsid w:val="04CC4828"/>
    <w:rsid w:val="04F6345F"/>
    <w:rsid w:val="05012C80"/>
    <w:rsid w:val="052714BD"/>
    <w:rsid w:val="057102F4"/>
    <w:rsid w:val="058401C5"/>
    <w:rsid w:val="05A94A52"/>
    <w:rsid w:val="05B747B5"/>
    <w:rsid w:val="05C05ECA"/>
    <w:rsid w:val="05C446C1"/>
    <w:rsid w:val="05C462DF"/>
    <w:rsid w:val="05D43F64"/>
    <w:rsid w:val="05DA5172"/>
    <w:rsid w:val="05DF2EB7"/>
    <w:rsid w:val="05EA6938"/>
    <w:rsid w:val="063F1D3B"/>
    <w:rsid w:val="06417385"/>
    <w:rsid w:val="065240A5"/>
    <w:rsid w:val="06A0349B"/>
    <w:rsid w:val="06AC5FC8"/>
    <w:rsid w:val="06D679DB"/>
    <w:rsid w:val="06EC37ED"/>
    <w:rsid w:val="070206B7"/>
    <w:rsid w:val="07070BFD"/>
    <w:rsid w:val="07177C01"/>
    <w:rsid w:val="074A5052"/>
    <w:rsid w:val="075229E7"/>
    <w:rsid w:val="07545BA3"/>
    <w:rsid w:val="075514AC"/>
    <w:rsid w:val="07846E6E"/>
    <w:rsid w:val="07942A0A"/>
    <w:rsid w:val="079D2727"/>
    <w:rsid w:val="07B36BAA"/>
    <w:rsid w:val="07BE3A5C"/>
    <w:rsid w:val="07CE30A5"/>
    <w:rsid w:val="07DC070F"/>
    <w:rsid w:val="07E9569A"/>
    <w:rsid w:val="08181E19"/>
    <w:rsid w:val="08461A0E"/>
    <w:rsid w:val="088E69BA"/>
    <w:rsid w:val="08A52FEB"/>
    <w:rsid w:val="08AD37BE"/>
    <w:rsid w:val="08B000F1"/>
    <w:rsid w:val="08C16076"/>
    <w:rsid w:val="08E75CAB"/>
    <w:rsid w:val="09151F1E"/>
    <w:rsid w:val="091A6ECE"/>
    <w:rsid w:val="09241359"/>
    <w:rsid w:val="092A51B9"/>
    <w:rsid w:val="09546E5A"/>
    <w:rsid w:val="095B65B9"/>
    <w:rsid w:val="09644C54"/>
    <w:rsid w:val="09861926"/>
    <w:rsid w:val="099E6C43"/>
    <w:rsid w:val="09C621B3"/>
    <w:rsid w:val="09CF2487"/>
    <w:rsid w:val="0A256191"/>
    <w:rsid w:val="0A2E299B"/>
    <w:rsid w:val="0A410123"/>
    <w:rsid w:val="0A690BF1"/>
    <w:rsid w:val="0A7662D4"/>
    <w:rsid w:val="0A864726"/>
    <w:rsid w:val="0A9F7A40"/>
    <w:rsid w:val="0AF64791"/>
    <w:rsid w:val="0AF72DEA"/>
    <w:rsid w:val="0AFF3DB4"/>
    <w:rsid w:val="0B1E56CA"/>
    <w:rsid w:val="0BBE3729"/>
    <w:rsid w:val="0BDD3577"/>
    <w:rsid w:val="0BDF154A"/>
    <w:rsid w:val="0C1D04B6"/>
    <w:rsid w:val="0C344DB1"/>
    <w:rsid w:val="0C784998"/>
    <w:rsid w:val="0CC31FBD"/>
    <w:rsid w:val="0D002EE5"/>
    <w:rsid w:val="0D2A397D"/>
    <w:rsid w:val="0D3635FF"/>
    <w:rsid w:val="0D3E52E2"/>
    <w:rsid w:val="0D556D8D"/>
    <w:rsid w:val="0D5D10AC"/>
    <w:rsid w:val="0D7F02AE"/>
    <w:rsid w:val="0D8976BC"/>
    <w:rsid w:val="0DA51EB4"/>
    <w:rsid w:val="0DAF65AC"/>
    <w:rsid w:val="0DC857B1"/>
    <w:rsid w:val="0DCD26CE"/>
    <w:rsid w:val="0DCD3510"/>
    <w:rsid w:val="0DCE1378"/>
    <w:rsid w:val="0DD73C46"/>
    <w:rsid w:val="0DEF5EB5"/>
    <w:rsid w:val="0E06452B"/>
    <w:rsid w:val="0E24329F"/>
    <w:rsid w:val="0E524C63"/>
    <w:rsid w:val="0E652AC5"/>
    <w:rsid w:val="0E82022A"/>
    <w:rsid w:val="0EB214D9"/>
    <w:rsid w:val="0ED30B62"/>
    <w:rsid w:val="0F24241C"/>
    <w:rsid w:val="0F3B4094"/>
    <w:rsid w:val="0F5948A1"/>
    <w:rsid w:val="0F5D0C09"/>
    <w:rsid w:val="0FED59A3"/>
    <w:rsid w:val="1008458B"/>
    <w:rsid w:val="10283402"/>
    <w:rsid w:val="103958FB"/>
    <w:rsid w:val="104C7C15"/>
    <w:rsid w:val="10713773"/>
    <w:rsid w:val="10AF4A06"/>
    <w:rsid w:val="10C34A0A"/>
    <w:rsid w:val="10E86C02"/>
    <w:rsid w:val="10EA4C46"/>
    <w:rsid w:val="10ED39E0"/>
    <w:rsid w:val="10F51815"/>
    <w:rsid w:val="11021A7C"/>
    <w:rsid w:val="110977C3"/>
    <w:rsid w:val="11116F88"/>
    <w:rsid w:val="1112327D"/>
    <w:rsid w:val="113F59F6"/>
    <w:rsid w:val="114535BD"/>
    <w:rsid w:val="11477335"/>
    <w:rsid w:val="118332D7"/>
    <w:rsid w:val="11E861A6"/>
    <w:rsid w:val="11F83520"/>
    <w:rsid w:val="122B712F"/>
    <w:rsid w:val="12302D61"/>
    <w:rsid w:val="12487C82"/>
    <w:rsid w:val="126B224A"/>
    <w:rsid w:val="126F6B6A"/>
    <w:rsid w:val="12747FB2"/>
    <w:rsid w:val="127D0124"/>
    <w:rsid w:val="127E0B34"/>
    <w:rsid w:val="128D0276"/>
    <w:rsid w:val="12A40A89"/>
    <w:rsid w:val="12B04C8F"/>
    <w:rsid w:val="12E148DA"/>
    <w:rsid w:val="13103EF7"/>
    <w:rsid w:val="13171183"/>
    <w:rsid w:val="132C019B"/>
    <w:rsid w:val="13695C36"/>
    <w:rsid w:val="137022D8"/>
    <w:rsid w:val="137A0018"/>
    <w:rsid w:val="137D0DEC"/>
    <w:rsid w:val="13943FC4"/>
    <w:rsid w:val="13B705C2"/>
    <w:rsid w:val="13BB5261"/>
    <w:rsid w:val="13EA05A8"/>
    <w:rsid w:val="13F11BD6"/>
    <w:rsid w:val="14100460"/>
    <w:rsid w:val="141C1198"/>
    <w:rsid w:val="143112D2"/>
    <w:rsid w:val="14326EE2"/>
    <w:rsid w:val="1448631D"/>
    <w:rsid w:val="1452250F"/>
    <w:rsid w:val="145B4B9E"/>
    <w:rsid w:val="14633C50"/>
    <w:rsid w:val="14687BCE"/>
    <w:rsid w:val="146C25BB"/>
    <w:rsid w:val="14733D41"/>
    <w:rsid w:val="14AC1563"/>
    <w:rsid w:val="14B57FEC"/>
    <w:rsid w:val="14D20BD1"/>
    <w:rsid w:val="14FF4901"/>
    <w:rsid w:val="15125E28"/>
    <w:rsid w:val="154A40A8"/>
    <w:rsid w:val="155C4236"/>
    <w:rsid w:val="156B5551"/>
    <w:rsid w:val="157B135B"/>
    <w:rsid w:val="15A20246"/>
    <w:rsid w:val="15F71B1B"/>
    <w:rsid w:val="15FA2BC8"/>
    <w:rsid w:val="16166E00"/>
    <w:rsid w:val="1617643A"/>
    <w:rsid w:val="16435107"/>
    <w:rsid w:val="16565924"/>
    <w:rsid w:val="165C0F52"/>
    <w:rsid w:val="16650559"/>
    <w:rsid w:val="16D42C63"/>
    <w:rsid w:val="16E61BB5"/>
    <w:rsid w:val="16EB2510"/>
    <w:rsid w:val="16EF5BB7"/>
    <w:rsid w:val="16F80247"/>
    <w:rsid w:val="170B65A2"/>
    <w:rsid w:val="172579DE"/>
    <w:rsid w:val="172D39A9"/>
    <w:rsid w:val="17320D57"/>
    <w:rsid w:val="17341D79"/>
    <w:rsid w:val="173704A2"/>
    <w:rsid w:val="17586147"/>
    <w:rsid w:val="17901809"/>
    <w:rsid w:val="17966F17"/>
    <w:rsid w:val="17B62B1E"/>
    <w:rsid w:val="17C22223"/>
    <w:rsid w:val="180F3F2C"/>
    <w:rsid w:val="18142B44"/>
    <w:rsid w:val="1835402A"/>
    <w:rsid w:val="183838D1"/>
    <w:rsid w:val="184316F9"/>
    <w:rsid w:val="18470786"/>
    <w:rsid w:val="185A01E2"/>
    <w:rsid w:val="1877562E"/>
    <w:rsid w:val="18820C52"/>
    <w:rsid w:val="189F1804"/>
    <w:rsid w:val="18C965C0"/>
    <w:rsid w:val="18D07C10"/>
    <w:rsid w:val="18F05177"/>
    <w:rsid w:val="191E6BCD"/>
    <w:rsid w:val="193C094E"/>
    <w:rsid w:val="19591D0C"/>
    <w:rsid w:val="198F12B9"/>
    <w:rsid w:val="199045AE"/>
    <w:rsid w:val="19974381"/>
    <w:rsid w:val="19AD151C"/>
    <w:rsid w:val="19C403E2"/>
    <w:rsid w:val="19D345FA"/>
    <w:rsid w:val="19D55C86"/>
    <w:rsid w:val="19DE635C"/>
    <w:rsid w:val="1A081978"/>
    <w:rsid w:val="1A127D0D"/>
    <w:rsid w:val="1A291608"/>
    <w:rsid w:val="1A367F46"/>
    <w:rsid w:val="1AA11B06"/>
    <w:rsid w:val="1AC53A17"/>
    <w:rsid w:val="1AC7726A"/>
    <w:rsid w:val="1AC94716"/>
    <w:rsid w:val="1ACA0E1F"/>
    <w:rsid w:val="1B0F4269"/>
    <w:rsid w:val="1B373115"/>
    <w:rsid w:val="1B523329"/>
    <w:rsid w:val="1B701236"/>
    <w:rsid w:val="1B766FB8"/>
    <w:rsid w:val="1B7A2DDF"/>
    <w:rsid w:val="1B9428DD"/>
    <w:rsid w:val="1BB306CD"/>
    <w:rsid w:val="1BB40010"/>
    <w:rsid w:val="1BB5521A"/>
    <w:rsid w:val="1BE12A66"/>
    <w:rsid w:val="1BE65DEF"/>
    <w:rsid w:val="1C09595D"/>
    <w:rsid w:val="1C1B5646"/>
    <w:rsid w:val="1C310F17"/>
    <w:rsid w:val="1C41749B"/>
    <w:rsid w:val="1C4345D0"/>
    <w:rsid w:val="1C4F1DA3"/>
    <w:rsid w:val="1C62609F"/>
    <w:rsid w:val="1C6413F5"/>
    <w:rsid w:val="1CAF64B4"/>
    <w:rsid w:val="1CDB00AF"/>
    <w:rsid w:val="1CF856B4"/>
    <w:rsid w:val="1D0B27B6"/>
    <w:rsid w:val="1D127FAE"/>
    <w:rsid w:val="1D436C02"/>
    <w:rsid w:val="1D5E22DD"/>
    <w:rsid w:val="1D873E63"/>
    <w:rsid w:val="1DB2181A"/>
    <w:rsid w:val="1DD91315"/>
    <w:rsid w:val="1DE53CB5"/>
    <w:rsid w:val="1E211BF0"/>
    <w:rsid w:val="1E296894"/>
    <w:rsid w:val="1E4160E0"/>
    <w:rsid w:val="1E4946EC"/>
    <w:rsid w:val="1E764DB5"/>
    <w:rsid w:val="1E8E1153"/>
    <w:rsid w:val="1E9113D7"/>
    <w:rsid w:val="1EA25BAA"/>
    <w:rsid w:val="1EBE0C15"/>
    <w:rsid w:val="1EDA1FF3"/>
    <w:rsid w:val="1F065D9E"/>
    <w:rsid w:val="1F2A318B"/>
    <w:rsid w:val="1F3233D2"/>
    <w:rsid w:val="1F5570C1"/>
    <w:rsid w:val="1F7D2DEF"/>
    <w:rsid w:val="1F8E612F"/>
    <w:rsid w:val="1FF329D5"/>
    <w:rsid w:val="1FF47729"/>
    <w:rsid w:val="1FFE4899"/>
    <w:rsid w:val="204B6E41"/>
    <w:rsid w:val="2075292D"/>
    <w:rsid w:val="20786987"/>
    <w:rsid w:val="20B147CB"/>
    <w:rsid w:val="20BB33A7"/>
    <w:rsid w:val="21002854"/>
    <w:rsid w:val="210C161E"/>
    <w:rsid w:val="212C5BFF"/>
    <w:rsid w:val="21352002"/>
    <w:rsid w:val="213571AA"/>
    <w:rsid w:val="213A7EBB"/>
    <w:rsid w:val="21674E89"/>
    <w:rsid w:val="2169571E"/>
    <w:rsid w:val="216C4E21"/>
    <w:rsid w:val="218E547E"/>
    <w:rsid w:val="21A44904"/>
    <w:rsid w:val="22322BC7"/>
    <w:rsid w:val="2240464B"/>
    <w:rsid w:val="224156DA"/>
    <w:rsid w:val="22521696"/>
    <w:rsid w:val="22877591"/>
    <w:rsid w:val="22B616AD"/>
    <w:rsid w:val="22B76F01"/>
    <w:rsid w:val="22B91715"/>
    <w:rsid w:val="22BC31BB"/>
    <w:rsid w:val="22DD3E77"/>
    <w:rsid w:val="22ED0BEB"/>
    <w:rsid w:val="23203542"/>
    <w:rsid w:val="233139A1"/>
    <w:rsid w:val="235715D1"/>
    <w:rsid w:val="237F64BA"/>
    <w:rsid w:val="23A01028"/>
    <w:rsid w:val="23AF50A6"/>
    <w:rsid w:val="23C17137"/>
    <w:rsid w:val="24053ACF"/>
    <w:rsid w:val="24184152"/>
    <w:rsid w:val="2446522A"/>
    <w:rsid w:val="24572F93"/>
    <w:rsid w:val="24904464"/>
    <w:rsid w:val="24A83EAE"/>
    <w:rsid w:val="24AE0DC0"/>
    <w:rsid w:val="24BB0485"/>
    <w:rsid w:val="24BE4D5C"/>
    <w:rsid w:val="24F05AB0"/>
    <w:rsid w:val="24FE78B3"/>
    <w:rsid w:val="25240784"/>
    <w:rsid w:val="253269B6"/>
    <w:rsid w:val="253D0C2E"/>
    <w:rsid w:val="254B2E8E"/>
    <w:rsid w:val="254B4410"/>
    <w:rsid w:val="254C749A"/>
    <w:rsid w:val="2580476C"/>
    <w:rsid w:val="259D531E"/>
    <w:rsid w:val="25B577CB"/>
    <w:rsid w:val="25C1713F"/>
    <w:rsid w:val="25D61D38"/>
    <w:rsid w:val="26085B5B"/>
    <w:rsid w:val="262D0A99"/>
    <w:rsid w:val="2642767A"/>
    <w:rsid w:val="26453A33"/>
    <w:rsid w:val="26793695"/>
    <w:rsid w:val="267B0F30"/>
    <w:rsid w:val="26895FE2"/>
    <w:rsid w:val="26964247"/>
    <w:rsid w:val="26BA7ACA"/>
    <w:rsid w:val="26BD004B"/>
    <w:rsid w:val="26FB7898"/>
    <w:rsid w:val="27264AD6"/>
    <w:rsid w:val="27421CD9"/>
    <w:rsid w:val="276119F8"/>
    <w:rsid w:val="276975B2"/>
    <w:rsid w:val="276D142B"/>
    <w:rsid w:val="276E04CD"/>
    <w:rsid w:val="27745528"/>
    <w:rsid w:val="27D24773"/>
    <w:rsid w:val="27D8088F"/>
    <w:rsid w:val="27E13DAB"/>
    <w:rsid w:val="283E0826"/>
    <w:rsid w:val="283F26BC"/>
    <w:rsid w:val="285F3130"/>
    <w:rsid w:val="287656A9"/>
    <w:rsid w:val="28785038"/>
    <w:rsid w:val="28856DEA"/>
    <w:rsid w:val="28935C31"/>
    <w:rsid w:val="28AF1916"/>
    <w:rsid w:val="28C36276"/>
    <w:rsid w:val="28D32D10"/>
    <w:rsid w:val="28D77066"/>
    <w:rsid w:val="28DE3491"/>
    <w:rsid w:val="28F90ABD"/>
    <w:rsid w:val="28FD5667"/>
    <w:rsid w:val="29065BB3"/>
    <w:rsid w:val="291E6775"/>
    <w:rsid w:val="29581063"/>
    <w:rsid w:val="29AA122F"/>
    <w:rsid w:val="29BD5A15"/>
    <w:rsid w:val="29F26020"/>
    <w:rsid w:val="2A0C2A49"/>
    <w:rsid w:val="2A5F0CB9"/>
    <w:rsid w:val="2A685EFA"/>
    <w:rsid w:val="2A887CF2"/>
    <w:rsid w:val="2A913313"/>
    <w:rsid w:val="2ABE6DF4"/>
    <w:rsid w:val="2AD35416"/>
    <w:rsid w:val="2AFA66B8"/>
    <w:rsid w:val="2B1471CE"/>
    <w:rsid w:val="2B1933A5"/>
    <w:rsid w:val="2B36528A"/>
    <w:rsid w:val="2B4C0A3A"/>
    <w:rsid w:val="2B4D52AF"/>
    <w:rsid w:val="2B7E6E47"/>
    <w:rsid w:val="2B8B4429"/>
    <w:rsid w:val="2BA67961"/>
    <w:rsid w:val="2BDF1DD6"/>
    <w:rsid w:val="2BE47802"/>
    <w:rsid w:val="2C226920"/>
    <w:rsid w:val="2C2C1A2B"/>
    <w:rsid w:val="2C401128"/>
    <w:rsid w:val="2C4C13AD"/>
    <w:rsid w:val="2C5C2C5E"/>
    <w:rsid w:val="2C78744F"/>
    <w:rsid w:val="2C8D2CC3"/>
    <w:rsid w:val="2C9961AA"/>
    <w:rsid w:val="2CCB206F"/>
    <w:rsid w:val="2CD16A6A"/>
    <w:rsid w:val="2CD4025C"/>
    <w:rsid w:val="2CE33AFF"/>
    <w:rsid w:val="2CE64D88"/>
    <w:rsid w:val="2CFB5B08"/>
    <w:rsid w:val="2D52184C"/>
    <w:rsid w:val="2D880AB0"/>
    <w:rsid w:val="2DBD4E3A"/>
    <w:rsid w:val="2DC35F52"/>
    <w:rsid w:val="2DCB177F"/>
    <w:rsid w:val="2DCE060F"/>
    <w:rsid w:val="2DF6387A"/>
    <w:rsid w:val="2E0753EE"/>
    <w:rsid w:val="2E0A65FD"/>
    <w:rsid w:val="2E3D144C"/>
    <w:rsid w:val="2E552A66"/>
    <w:rsid w:val="2E842D85"/>
    <w:rsid w:val="2EAC6B47"/>
    <w:rsid w:val="2EC74EF0"/>
    <w:rsid w:val="2EDE1785"/>
    <w:rsid w:val="2EE70873"/>
    <w:rsid w:val="2F092ADC"/>
    <w:rsid w:val="2F195277"/>
    <w:rsid w:val="2F1C3757"/>
    <w:rsid w:val="2F2410C6"/>
    <w:rsid w:val="2F302FA6"/>
    <w:rsid w:val="2F3258B6"/>
    <w:rsid w:val="2F4B7B98"/>
    <w:rsid w:val="2F590507"/>
    <w:rsid w:val="2F670849"/>
    <w:rsid w:val="2F6D332C"/>
    <w:rsid w:val="2FF034A9"/>
    <w:rsid w:val="2FFE4C5E"/>
    <w:rsid w:val="300264A9"/>
    <w:rsid w:val="30177BBE"/>
    <w:rsid w:val="3028087F"/>
    <w:rsid w:val="30495890"/>
    <w:rsid w:val="304D3ACD"/>
    <w:rsid w:val="308B2FF5"/>
    <w:rsid w:val="30CB6AC3"/>
    <w:rsid w:val="30D76C74"/>
    <w:rsid w:val="30DF4A3C"/>
    <w:rsid w:val="30F960DF"/>
    <w:rsid w:val="31175F84"/>
    <w:rsid w:val="311A5C23"/>
    <w:rsid w:val="314E6F3A"/>
    <w:rsid w:val="31871181"/>
    <w:rsid w:val="31880508"/>
    <w:rsid w:val="318D5235"/>
    <w:rsid w:val="31A15090"/>
    <w:rsid w:val="31AA329C"/>
    <w:rsid w:val="31AF440F"/>
    <w:rsid w:val="31E7004C"/>
    <w:rsid w:val="32072C39"/>
    <w:rsid w:val="325D63D2"/>
    <w:rsid w:val="32A42095"/>
    <w:rsid w:val="32C9777E"/>
    <w:rsid w:val="32CF1EC0"/>
    <w:rsid w:val="32E11F1C"/>
    <w:rsid w:val="32E41FF1"/>
    <w:rsid w:val="331A1B21"/>
    <w:rsid w:val="331C205A"/>
    <w:rsid w:val="33251397"/>
    <w:rsid w:val="333C43BC"/>
    <w:rsid w:val="33412663"/>
    <w:rsid w:val="336C4B14"/>
    <w:rsid w:val="33A23C92"/>
    <w:rsid w:val="33AF0BEC"/>
    <w:rsid w:val="33C75C31"/>
    <w:rsid w:val="33D607E9"/>
    <w:rsid w:val="33E171C1"/>
    <w:rsid w:val="33F474BA"/>
    <w:rsid w:val="33FC76B3"/>
    <w:rsid w:val="34504586"/>
    <w:rsid w:val="3461586D"/>
    <w:rsid w:val="348D3030"/>
    <w:rsid w:val="34BC163A"/>
    <w:rsid w:val="34F14D3E"/>
    <w:rsid w:val="353667BB"/>
    <w:rsid w:val="353C420B"/>
    <w:rsid w:val="35493093"/>
    <w:rsid w:val="358E0106"/>
    <w:rsid w:val="35CB558F"/>
    <w:rsid w:val="35E1140C"/>
    <w:rsid w:val="35E816ED"/>
    <w:rsid w:val="35F72828"/>
    <w:rsid w:val="361013B4"/>
    <w:rsid w:val="363661D5"/>
    <w:rsid w:val="36855E10"/>
    <w:rsid w:val="36987B67"/>
    <w:rsid w:val="36AA0A99"/>
    <w:rsid w:val="36AD48B5"/>
    <w:rsid w:val="36B50719"/>
    <w:rsid w:val="36B92101"/>
    <w:rsid w:val="36C624AE"/>
    <w:rsid w:val="36FD0F01"/>
    <w:rsid w:val="36FD1924"/>
    <w:rsid w:val="36FF3742"/>
    <w:rsid w:val="3711264A"/>
    <w:rsid w:val="3712124C"/>
    <w:rsid w:val="37312F46"/>
    <w:rsid w:val="373D1B65"/>
    <w:rsid w:val="37460D68"/>
    <w:rsid w:val="37695060"/>
    <w:rsid w:val="377B7D8F"/>
    <w:rsid w:val="378A79BC"/>
    <w:rsid w:val="380533D6"/>
    <w:rsid w:val="380F5C07"/>
    <w:rsid w:val="381D06EE"/>
    <w:rsid w:val="385505E5"/>
    <w:rsid w:val="38576B25"/>
    <w:rsid w:val="3865122D"/>
    <w:rsid w:val="38913B26"/>
    <w:rsid w:val="38947DA8"/>
    <w:rsid w:val="38A51606"/>
    <w:rsid w:val="38AC025A"/>
    <w:rsid w:val="38D45B95"/>
    <w:rsid w:val="38D96215"/>
    <w:rsid w:val="38F13A6D"/>
    <w:rsid w:val="38F80D91"/>
    <w:rsid w:val="391A4397"/>
    <w:rsid w:val="3923323B"/>
    <w:rsid w:val="392A318C"/>
    <w:rsid w:val="39454843"/>
    <w:rsid w:val="39736669"/>
    <w:rsid w:val="39A8054D"/>
    <w:rsid w:val="39A95845"/>
    <w:rsid w:val="39BB5C70"/>
    <w:rsid w:val="39C26CA4"/>
    <w:rsid w:val="39C80763"/>
    <w:rsid w:val="39CA16D6"/>
    <w:rsid w:val="3A276927"/>
    <w:rsid w:val="3A296D28"/>
    <w:rsid w:val="3A341025"/>
    <w:rsid w:val="3A4C4AAD"/>
    <w:rsid w:val="3A4F67A6"/>
    <w:rsid w:val="3A6342D0"/>
    <w:rsid w:val="3A696247"/>
    <w:rsid w:val="3A7206CF"/>
    <w:rsid w:val="3AA43A2C"/>
    <w:rsid w:val="3ABD64EA"/>
    <w:rsid w:val="3AC777D8"/>
    <w:rsid w:val="3AD23D56"/>
    <w:rsid w:val="3B0E6E8B"/>
    <w:rsid w:val="3B294D7C"/>
    <w:rsid w:val="3B3E2069"/>
    <w:rsid w:val="3B4F7C09"/>
    <w:rsid w:val="3B51341F"/>
    <w:rsid w:val="3B5174DF"/>
    <w:rsid w:val="3B7979B8"/>
    <w:rsid w:val="3B914B85"/>
    <w:rsid w:val="3B920E0E"/>
    <w:rsid w:val="3BA5573D"/>
    <w:rsid w:val="3BA743A8"/>
    <w:rsid w:val="3BBF16F2"/>
    <w:rsid w:val="3BE450AA"/>
    <w:rsid w:val="3C0435A9"/>
    <w:rsid w:val="3C080519"/>
    <w:rsid w:val="3C4073E3"/>
    <w:rsid w:val="3C7249B6"/>
    <w:rsid w:val="3C73683F"/>
    <w:rsid w:val="3CAD45E4"/>
    <w:rsid w:val="3CD84C82"/>
    <w:rsid w:val="3D1102E9"/>
    <w:rsid w:val="3D211A92"/>
    <w:rsid w:val="3D31661F"/>
    <w:rsid w:val="3D4102B6"/>
    <w:rsid w:val="3D4D2D2E"/>
    <w:rsid w:val="3D69400B"/>
    <w:rsid w:val="3D813C05"/>
    <w:rsid w:val="3D856813"/>
    <w:rsid w:val="3D874664"/>
    <w:rsid w:val="3D88190B"/>
    <w:rsid w:val="3D9045B5"/>
    <w:rsid w:val="3DC60709"/>
    <w:rsid w:val="3E1273D0"/>
    <w:rsid w:val="3E4B21C4"/>
    <w:rsid w:val="3E5801B1"/>
    <w:rsid w:val="3E741759"/>
    <w:rsid w:val="3E7779FD"/>
    <w:rsid w:val="3E784AEC"/>
    <w:rsid w:val="3E817133"/>
    <w:rsid w:val="3E8310FD"/>
    <w:rsid w:val="3EAF4DE8"/>
    <w:rsid w:val="3EEE6A52"/>
    <w:rsid w:val="3F066A65"/>
    <w:rsid w:val="3F2A2C9B"/>
    <w:rsid w:val="3F32452F"/>
    <w:rsid w:val="3F485E99"/>
    <w:rsid w:val="3F5369C5"/>
    <w:rsid w:val="3F6A5E19"/>
    <w:rsid w:val="3F7115F1"/>
    <w:rsid w:val="3F8E3C85"/>
    <w:rsid w:val="3FB63EAA"/>
    <w:rsid w:val="3FC347BE"/>
    <w:rsid w:val="3FD4133A"/>
    <w:rsid w:val="3FD80FD4"/>
    <w:rsid w:val="3FF52DBA"/>
    <w:rsid w:val="3FFC2066"/>
    <w:rsid w:val="40140539"/>
    <w:rsid w:val="402A3E6D"/>
    <w:rsid w:val="404708C6"/>
    <w:rsid w:val="404A2CE8"/>
    <w:rsid w:val="40512269"/>
    <w:rsid w:val="40554D52"/>
    <w:rsid w:val="40774C91"/>
    <w:rsid w:val="40792EDA"/>
    <w:rsid w:val="40B04005"/>
    <w:rsid w:val="40F05370"/>
    <w:rsid w:val="4100471D"/>
    <w:rsid w:val="41015482"/>
    <w:rsid w:val="4105401E"/>
    <w:rsid w:val="41350BBA"/>
    <w:rsid w:val="413907D9"/>
    <w:rsid w:val="414A68F0"/>
    <w:rsid w:val="41632B09"/>
    <w:rsid w:val="419051D7"/>
    <w:rsid w:val="41B46F4C"/>
    <w:rsid w:val="41B6661A"/>
    <w:rsid w:val="42014B04"/>
    <w:rsid w:val="42150760"/>
    <w:rsid w:val="423D15C3"/>
    <w:rsid w:val="42494D08"/>
    <w:rsid w:val="427B49AA"/>
    <w:rsid w:val="42894808"/>
    <w:rsid w:val="42963344"/>
    <w:rsid w:val="42A258CA"/>
    <w:rsid w:val="42B0684E"/>
    <w:rsid w:val="42D87FBC"/>
    <w:rsid w:val="42DB3E9B"/>
    <w:rsid w:val="43045686"/>
    <w:rsid w:val="430E7CDA"/>
    <w:rsid w:val="431274CF"/>
    <w:rsid w:val="43271E38"/>
    <w:rsid w:val="43272932"/>
    <w:rsid w:val="43351ADA"/>
    <w:rsid w:val="435D1AE3"/>
    <w:rsid w:val="43A930FF"/>
    <w:rsid w:val="43B15A82"/>
    <w:rsid w:val="43BB6C43"/>
    <w:rsid w:val="43E77FD2"/>
    <w:rsid w:val="441F5C81"/>
    <w:rsid w:val="442411A9"/>
    <w:rsid w:val="4465706B"/>
    <w:rsid w:val="44A36A71"/>
    <w:rsid w:val="44C63AF1"/>
    <w:rsid w:val="44CA3E60"/>
    <w:rsid w:val="44F67674"/>
    <w:rsid w:val="452432FA"/>
    <w:rsid w:val="457C0654"/>
    <w:rsid w:val="45916A22"/>
    <w:rsid w:val="45A1630C"/>
    <w:rsid w:val="45A30251"/>
    <w:rsid w:val="45AA51C1"/>
    <w:rsid w:val="45B62B7F"/>
    <w:rsid w:val="45E925A8"/>
    <w:rsid w:val="45F67075"/>
    <w:rsid w:val="45F9503F"/>
    <w:rsid w:val="4601631D"/>
    <w:rsid w:val="46156655"/>
    <w:rsid w:val="46410D35"/>
    <w:rsid w:val="469C1FB7"/>
    <w:rsid w:val="469F4F9C"/>
    <w:rsid w:val="46B37F45"/>
    <w:rsid w:val="46C7315E"/>
    <w:rsid w:val="46CB4EBE"/>
    <w:rsid w:val="46D43083"/>
    <w:rsid w:val="46E717E5"/>
    <w:rsid w:val="46F5091B"/>
    <w:rsid w:val="46FA1DD1"/>
    <w:rsid w:val="47044E98"/>
    <w:rsid w:val="470A74D1"/>
    <w:rsid w:val="470E124A"/>
    <w:rsid w:val="47161AFE"/>
    <w:rsid w:val="4723712B"/>
    <w:rsid w:val="47435F4D"/>
    <w:rsid w:val="47452DBF"/>
    <w:rsid w:val="474867B9"/>
    <w:rsid w:val="47490A0A"/>
    <w:rsid w:val="47606B93"/>
    <w:rsid w:val="47797C67"/>
    <w:rsid w:val="47C27897"/>
    <w:rsid w:val="48057584"/>
    <w:rsid w:val="483250E7"/>
    <w:rsid w:val="483321EC"/>
    <w:rsid w:val="483A26D1"/>
    <w:rsid w:val="483E2043"/>
    <w:rsid w:val="48474F49"/>
    <w:rsid w:val="48755A36"/>
    <w:rsid w:val="48965917"/>
    <w:rsid w:val="48A565CB"/>
    <w:rsid w:val="48BD04F4"/>
    <w:rsid w:val="48C4268C"/>
    <w:rsid w:val="48E659D9"/>
    <w:rsid w:val="49180A1A"/>
    <w:rsid w:val="492B03C7"/>
    <w:rsid w:val="494B74E7"/>
    <w:rsid w:val="49565A11"/>
    <w:rsid w:val="495D1A6A"/>
    <w:rsid w:val="49997A45"/>
    <w:rsid w:val="499F4DE4"/>
    <w:rsid w:val="49AC37B1"/>
    <w:rsid w:val="49CB7B10"/>
    <w:rsid w:val="49D22F38"/>
    <w:rsid w:val="4A4977A0"/>
    <w:rsid w:val="4A851D59"/>
    <w:rsid w:val="4AB924A6"/>
    <w:rsid w:val="4ABD3CDB"/>
    <w:rsid w:val="4AC11B60"/>
    <w:rsid w:val="4B052E99"/>
    <w:rsid w:val="4B096283"/>
    <w:rsid w:val="4B3B01F7"/>
    <w:rsid w:val="4B5A4F93"/>
    <w:rsid w:val="4B5E0F27"/>
    <w:rsid w:val="4B6D116B"/>
    <w:rsid w:val="4B7224AB"/>
    <w:rsid w:val="4B9B3BFA"/>
    <w:rsid w:val="4BAD77B9"/>
    <w:rsid w:val="4BBF526A"/>
    <w:rsid w:val="4BC01DCD"/>
    <w:rsid w:val="4BE566B2"/>
    <w:rsid w:val="4BE716CC"/>
    <w:rsid w:val="4BEF02BB"/>
    <w:rsid w:val="4C051897"/>
    <w:rsid w:val="4C0A0767"/>
    <w:rsid w:val="4C1C011A"/>
    <w:rsid w:val="4C543007"/>
    <w:rsid w:val="4C8177CF"/>
    <w:rsid w:val="4C8524E4"/>
    <w:rsid w:val="4CB608EF"/>
    <w:rsid w:val="4CBA4EBC"/>
    <w:rsid w:val="4CDE4F94"/>
    <w:rsid w:val="4CE92A73"/>
    <w:rsid w:val="4D255A89"/>
    <w:rsid w:val="4D607942"/>
    <w:rsid w:val="4D85232C"/>
    <w:rsid w:val="4DA44C16"/>
    <w:rsid w:val="4DAE165B"/>
    <w:rsid w:val="4DAE68CB"/>
    <w:rsid w:val="4DCF38C0"/>
    <w:rsid w:val="4DD11740"/>
    <w:rsid w:val="4DDA23BB"/>
    <w:rsid w:val="4DF004C4"/>
    <w:rsid w:val="4E1C4782"/>
    <w:rsid w:val="4E2D6CE2"/>
    <w:rsid w:val="4E41501E"/>
    <w:rsid w:val="4E671319"/>
    <w:rsid w:val="4E742F44"/>
    <w:rsid w:val="4EDE412D"/>
    <w:rsid w:val="4EE27864"/>
    <w:rsid w:val="4EE47719"/>
    <w:rsid w:val="4F1B2C8C"/>
    <w:rsid w:val="4F1F27CB"/>
    <w:rsid w:val="4F552641"/>
    <w:rsid w:val="4F834E0C"/>
    <w:rsid w:val="4F9842DC"/>
    <w:rsid w:val="4FA70208"/>
    <w:rsid w:val="4FAF1422"/>
    <w:rsid w:val="4FB33151"/>
    <w:rsid w:val="4FB520CE"/>
    <w:rsid w:val="4FB74E4D"/>
    <w:rsid w:val="4FBC446F"/>
    <w:rsid w:val="4FCE2A71"/>
    <w:rsid w:val="5015592D"/>
    <w:rsid w:val="50393E82"/>
    <w:rsid w:val="503C0C40"/>
    <w:rsid w:val="504D3319"/>
    <w:rsid w:val="50564E78"/>
    <w:rsid w:val="507B2CC5"/>
    <w:rsid w:val="508E0C32"/>
    <w:rsid w:val="50A11AE9"/>
    <w:rsid w:val="50A36325"/>
    <w:rsid w:val="50B71F0B"/>
    <w:rsid w:val="50B94892"/>
    <w:rsid w:val="50C726C5"/>
    <w:rsid w:val="50E043C0"/>
    <w:rsid w:val="511D36C2"/>
    <w:rsid w:val="51357696"/>
    <w:rsid w:val="514559E4"/>
    <w:rsid w:val="516954EA"/>
    <w:rsid w:val="51A47B70"/>
    <w:rsid w:val="51C6305E"/>
    <w:rsid w:val="52214472"/>
    <w:rsid w:val="522D6F59"/>
    <w:rsid w:val="5235115E"/>
    <w:rsid w:val="52833A3A"/>
    <w:rsid w:val="52837B73"/>
    <w:rsid w:val="52B01B7D"/>
    <w:rsid w:val="52DA6152"/>
    <w:rsid w:val="53220A8C"/>
    <w:rsid w:val="53267CAD"/>
    <w:rsid w:val="53313F04"/>
    <w:rsid w:val="536A09D1"/>
    <w:rsid w:val="5382777D"/>
    <w:rsid w:val="53844FCF"/>
    <w:rsid w:val="538C5511"/>
    <w:rsid w:val="53F21610"/>
    <w:rsid w:val="53F23969"/>
    <w:rsid w:val="53FE1E11"/>
    <w:rsid w:val="5406215C"/>
    <w:rsid w:val="540A1283"/>
    <w:rsid w:val="541A5393"/>
    <w:rsid w:val="542D21D9"/>
    <w:rsid w:val="542F4543"/>
    <w:rsid w:val="54497D93"/>
    <w:rsid w:val="547F7922"/>
    <w:rsid w:val="54813591"/>
    <w:rsid w:val="54C3651B"/>
    <w:rsid w:val="54D8295A"/>
    <w:rsid w:val="54F067AF"/>
    <w:rsid w:val="551F233A"/>
    <w:rsid w:val="55697977"/>
    <w:rsid w:val="556C75FD"/>
    <w:rsid w:val="557C0063"/>
    <w:rsid w:val="55B65945"/>
    <w:rsid w:val="561B739D"/>
    <w:rsid w:val="566B44F9"/>
    <w:rsid w:val="569A2918"/>
    <w:rsid w:val="56DA2E97"/>
    <w:rsid w:val="56E1798D"/>
    <w:rsid w:val="56E96D0D"/>
    <w:rsid w:val="57233025"/>
    <w:rsid w:val="572733C5"/>
    <w:rsid w:val="573C3DC9"/>
    <w:rsid w:val="575116E6"/>
    <w:rsid w:val="576E3ADD"/>
    <w:rsid w:val="577473DD"/>
    <w:rsid w:val="57883AD8"/>
    <w:rsid w:val="578A4715"/>
    <w:rsid w:val="57AE6D93"/>
    <w:rsid w:val="57C65681"/>
    <w:rsid w:val="57E664A3"/>
    <w:rsid w:val="5844243E"/>
    <w:rsid w:val="585369D4"/>
    <w:rsid w:val="589539B3"/>
    <w:rsid w:val="58994BE9"/>
    <w:rsid w:val="58C47EF0"/>
    <w:rsid w:val="58DD210E"/>
    <w:rsid w:val="591C5F7E"/>
    <w:rsid w:val="591F5596"/>
    <w:rsid w:val="595B41EB"/>
    <w:rsid w:val="59C014FD"/>
    <w:rsid w:val="59D02528"/>
    <w:rsid w:val="59E50152"/>
    <w:rsid w:val="59E96DB1"/>
    <w:rsid w:val="59F53829"/>
    <w:rsid w:val="5A063515"/>
    <w:rsid w:val="5A2813B5"/>
    <w:rsid w:val="5A421A14"/>
    <w:rsid w:val="5A4A633C"/>
    <w:rsid w:val="5A5221E9"/>
    <w:rsid w:val="5A5277D0"/>
    <w:rsid w:val="5A5365AD"/>
    <w:rsid w:val="5A5C2E63"/>
    <w:rsid w:val="5A62692D"/>
    <w:rsid w:val="5A6C4824"/>
    <w:rsid w:val="5AA858A6"/>
    <w:rsid w:val="5AAB580B"/>
    <w:rsid w:val="5AAE0E58"/>
    <w:rsid w:val="5AB7294A"/>
    <w:rsid w:val="5B2F7DF4"/>
    <w:rsid w:val="5B4C14A4"/>
    <w:rsid w:val="5B4D347F"/>
    <w:rsid w:val="5B4F3703"/>
    <w:rsid w:val="5B8B5273"/>
    <w:rsid w:val="5B8D4150"/>
    <w:rsid w:val="5B952655"/>
    <w:rsid w:val="5BB866B2"/>
    <w:rsid w:val="5BCB36A0"/>
    <w:rsid w:val="5BD46AE9"/>
    <w:rsid w:val="5BD9388B"/>
    <w:rsid w:val="5C1530C9"/>
    <w:rsid w:val="5C3F727D"/>
    <w:rsid w:val="5C4B6B03"/>
    <w:rsid w:val="5C78171D"/>
    <w:rsid w:val="5C844709"/>
    <w:rsid w:val="5C8F147F"/>
    <w:rsid w:val="5C9B0BD5"/>
    <w:rsid w:val="5C9C18B0"/>
    <w:rsid w:val="5CBD7356"/>
    <w:rsid w:val="5CD41AAD"/>
    <w:rsid w:val="5CDE4C9C"/>
    <w:rsid w:val="5CE40B61"/>
    <w:rsid w:val="5CEB13BF"/>
    <w:rsid w:val="5D20484E"/>
    <w:rsid w:val="5D363F59"/>
    <w:rsid w:val="5D406DE2"/>
    <w:rsid w:val="5D5201C0"/>
    <w:rsid w:val="5D794026"/>
    <w:rsid w:val="5D79574D"/>
    <w:rsid w:val="5D9965F4"/>
    <w:rsid w:val="5DB708E0"/>
    <w:rsid w:val="5DE66AAE"/>
    <w:rsid w:val="5DE93185"/>
    <w:rsid w:val="5DEA03F9"/>
    <w:rsid w:val="5DED6487"/>
    <w:rsid w:val="5DFE5341"/>
    <w:rsid w:val="5DFF280D"/>
    <w:rsid w:val="5E092458"/>
    <w:rsid w:val="5E417DAD"/>
    <w:rsid w:val="5E49515E"/>
    <w:rsid w:val="5E5E5AD6"/>
    <w:rsid w:val="5E611A65"/>
    <w:rsid w:val="5E781EA8"/>
    <w:rsid w:val="5E9709D8"/>
    <w:rsid w:val="5EBC5719"/>
    <w:rsid w:val="5EC055C6"/>
    <w:rsid w:val="5ED02A2C"/>
    <w:rsid w:val="5ED03A93"/>
    <w:rsid w:val="5EFA2EFC"/>
    <w:rsid w:val="5F1B37D5"/>
    <w:rsid w:val="5F2C785A"/>
    <w:rsid w:val="5F567A52"/>
    <w:rsid w:val="5F6C12F1"/>
    <w:rsid w:val="5F993F77"/>
    <w:rsid w:val="5F9D6D55"/>
    <w:rsid w:val="5FBF5EDA"/>
    <w:rsid w:val="5FD365E5"/>
    <w:rsid w:val="602E6D04"/>
    <w:rsid w:val="60326B7B"/>
    <w:rsid w:val="603D641C"/>
    <w:rsid w:val="605943B4"/>
    <w:rsid w:val="605D2EC0"/>
    <w:rsid w:val="60BD1DF5"/>
    <w:rsid w:val="60E94998"/>
    <w:rsid w:val="60FB6810"/>
    <w:rsid w:val="61475B62"/>
    <w:rsid w:val="614B38A4"/>
    <w:rsid w:val="615F02B8"/>
    <w:rsid w:val="616710AC"/>
    <w:rsid w:val="61B50F59"/>
    <w:rsid w:val="61BF7588"/>
    <w:rsid w:val="61E27730"/>
    <w:rsid w:val="62294BE7"/>
    <w:rsid w:val="623C4F9B"/>
    <w:rsid w:val="623E047D"/>
    <w:rsid w:val="624805D1"/>
    <w:rsid w:val="629A4EFB"/>
    <w:rsid w:val="62D41677"/>
    <w:rsid w:val="62E06520"/>
    <w:rsid w:val="63026DF8"/>
    <w:rsid w:val="63064468"/>
    <w:rsid w:val="630D5AEA"/>
    <w:rsid w:val="6327307F"/>
    <w:rsid w:val="633A7AAD"/>
    <w:rsid w:val="63631A56"/>
    <w:rsid w:val="636D2535"/>
    <w:rsid w:val="6376620E"/>
    <w:rsid w:val="638C16E4"/>
    <w:rsid w:val="639130C5"/>
    <w:rsid w:val="63932BF6"/>
    <w:rsid w:val="639B133D"/>
    <w:rsid w:val="63A47EED"/>
    <w:rsid w:val="63B63F59"/>
    <w:rsid w:val="63CE7C12"/>
    <w:rsid w:val="63E87188"/>
    <w:rsid w:val="63F2405B"/>
    <w:rsid w:val="63FD6001"/>
    <w:rsid w:val="641E02AD"/>
    <w:rsid w:val="645E569D"/>
    <w:rsid w:val="646B3A43"/>
    <w:rsid w:val="647563B8"/>
    <w:rsid w:val="648F1CFA"/>
    <w:rsid w:val="64C46673"/>
    <w:rsid w:val="64D26CC1"/>
    <w:rsid w:val="64E11CC3"/>
    <w:rsid w:val="64EF7066"/>
    <w:rsid w:val="650A168A"/>
    <w:rsid w:val="654A470C"/>
    <w:rsid w:val="65543E02"/>
    <w:rsid w:val="65766D4A"/>
    <w:rsid w:val="6578309D"/>
    <w:rsid w:val="658D7658"/>
    <w:rsid w:val="65A35A33"/>
    <w:rsid w:val="65AC2438"/>
    <w:rsid w:val="65B13661"/>
    <w:rsid w:val="65D11106"/>
    <w:rsid w:val="65F10A49"/>
    <w:rsid w:val="66236C76"/>
    <w:rsid w:val="66252916"/>
    <w:rsid w:val="664E7D0E"/>
    <w:rsid w:val="6663343E"/>
    <w:rsid w:val="666A7424"/>
    <w:rsid w:val="667A4675"/>
    <w:rsid w:val="66890F14"/>
    <w:rsid w:val="66D103A8"/>
    <w:rsid w:val="66E60A07"/>
    <w:rsid w:val="66E64FEB"/>
    <w:rsid w:val="674633FE"/>
    <w:rsid w:val="67515045"/>
    <w:rsid w:val="675F0860"/>
    <w:rsid w:val="675F1E54"/>
    <w:rsid w:val="6775532B"/>
    <w:rsid w:val="67760F4F"/>
    <w:rsid w:val="677C449A"/>
    <w:rsid w:val="678135B8"/>
    <w:rsid w:val="678F62EE"/>
    <w:rsid w:val="67D16185"/>
    <w:rsid w:val="682A2E8F"/>
    <w:rsid w:val="686D103D"/>
    <w:rsid w:val="68F74404"/>
    <w:rsid w:val="691E74A1"/>
    <w:rsid w:val="6945690F"/>
    <w:rsid w:val="694B48D3"/>
    <w:rsid w:val="69590003"/>
    <w:rsid w:val="69652C93"/>
    <w:rsid w:val="69A46D16"/>
    <w:rsid w:val="69EA7883"/>
    <w:rsid w:val="6A0415FE"/>
    <w:rsid w:val="6A071A31"/>
    <w:rsid w:val="6A255CDC"/>
    <w:rsid w:val="6A2D100B"/>
    <w:rsid w:val="6A535ACC"/>
    <w:rsid w:val="6A6E0279"/>
    <w:rsid w:val="6A784EEB"/>
    <w:rsid w:val="6A911F2B"/>
    <w:rsid w:val="6A9A5B6B"/>
    <w:rsid w:val="6AAB7162"/>
    <w:rsid w:val="6AB82292"/>
    <w:rsid w:val="6AC41DCA"/>
    <w:rsid w:val="6AF35CF4"/>
    <w:rsid w:val="6AFD3AEE"/>
    <w:rsid w:val="6B0B768B"/>
    <w:rsid w:val="6B340F05"/>
    <w:rsid w:val="6B5D6BE3"/>
    <w:rsid w:val="6BB46A94"/>
    <w:rsid w:val="6BB5049A"/>
    <w:rsid w:val="6BD558A4"/>
    <w:rsid w:val="6BE008DA"/>
    <w:rsid w:val="6BF6265F"/>
    <w:rsid w:val="6BF96149"/>
    <w:rsid w:val="6BFA533E"/>
    <w:rsid w:val="6C125595"/>
    <w:rsid w:val="6C151B6B"/>
    <w:rsid w:val="6C175835"/>
    <w:rsid w:val="6C292A34"/>
    <w:rsid w:val="6C385E0F"/>
    <w:rsid w:val="6C4076DB"/>
    <w:rsid w:val="6C417D7E"/>
    <w:rsid w:val="6C6B4119"/>
    <w:rsid w:val="6C6E179B"/>
    <w:rsid w:val="6C7C7008"/>
    <w:rsid w:val="6C9A25F9"/>
    <w:rsid w:val="6C9F7A56"/>
    <w:rsid w:val="6CA363A7"/>
    <w:rsid w:val="6CA53C7B"/>
    <w:rsid w:val="6CCF432B"/>
    <w:rsid w:val="6D113D91"/>
    <w:rsid w:val="6D116B25"/>
    <w:rsid w:val="6D1E08A2"/>
    <w:rsid w:val="6D1E78C6"/>
    <w:rsid w:val="6D1F49BB"/>
    <w:rsid w:val="6D282CEC"/>
    <w:rsid w:val="6D3E161D"/>
    <w:rsid w:val="6D6636EA"/>
    <w:rsid w:val="6D772F7F"/>
    <w:rsid w:val="6D986D98"/>
    <w:rsid w:val="6D9A281E"/>
    <w:rsid w:val="6DAD1663"/>
    <w:rsid w:val="6DDB64CE"/>
    <w:rsid w:val="6DF44AC8"/>
    <w:rsid w:val="6DFF3A4C"/>
    <w:rsid w:val="6E0B4179"/>
    <w:rsid w:val="6E162B44"/>
    <w:rsid w:val="6E20699B"/>
    <w:rsid w:val="6E3B1639"/>
    <w:rsid w:val="6E673F6F"/>
    <w:rsid w:val="6EA5707A"/>
    <w:rsid w:val="6EBF787A"/>
    <w:rsid w:val="6ECA1E1E"/>
    <w:rsid w:val="6ED67DC4"/>
    <w:rsid w:val="6EEC1C81"/>
    <w:rsid w:val="6EED60D3"/>
    <w:rsid w:val="6EF020B7"/>
    <w:rsid w:val="6F0D3F47"/>
    <w:rsid w:val="6F1C062E"/>
    <w:rsid w:val="6F202742"/>
    <w:rsid w:val="6F280D81"/>
    <w:rsid w:val="6F330FDA"/>
    <w:rsid w:val="6F504E19"/>
    <w:rsid w:val="6F5A6C77"/>
    <w:rsid w:val="6F5B73A8"/>
    <w:rsid w:val="6F775864"/>
    <w:rsid w:val="6F793060"/>
    <w:rsid w:val="6F837FC0"/>
    <w:rsid w:val="6FC50886"/>
    <w:rsid w:val="70032111"/>
    <w:rsid w:val="700958FF"/>
    <w:rsid w:val="70392CED"/>
    <w:rsid w:val="703E41A6"/>
    <w:rsid w:val="70436AA5"/>
    <w:rsid w:val="707F0E75"/>
    <w:rsid w:val="708244C1"/>
    <w:rsid w:val="708323E1"/>
    <w:rsid w:val="708451F5"/>
    <w:rsid w:val="70862B2B"/>
    <w:rsid w:val="70927F1D"/>
    <w:rsid w:val="70F82A47"/>
    <w:rsid w:val="71035517"/>
    <w:rsid w:val="711B4160"/>
    <w:rsid w:val="711E3FED"/>
    <w:rsid w:val="713028A8"/>
    <w:rsid w:val="71325EE7"/>
    <w:rsid w:val="713F74C2"/>
    <w:rsid w:val="714F0CAE"/>
    <w:rsid w:val="717166C9"/>
    <w:rsid w:val="717402AD"/>
    <w:rsid w:val="717414E2"/>
    <w:rsid w:val="71797598"/>
    <w:rsid w:val="71AC73A6"/>
    <w:rsid w:val="71D3553B"/>
    <w:rsid w:val="71DE507E"/>
    <w:rsid w:val="720F4264"/>
    <w:rsid w:val="72121AFE"/>
    <w:rsid w:val="7224673B"/>
    <w:rsid w:val="724D0AFE"/>
    <w:rsid w:val="724E02B6"/>
    <w:rsid w:val="72804CD0"/>
    <w:rsid w:val="72AA681E"/>
    <w:rsid w:val="72D65243"/>
    <w:rsid w:val="72D76DD9"/>
    <w:rsid w:val="730C06CE"/>
    <w:rsid w:val="730E64E0"/>
    <w:rsid w:val="731A5665"/>
    <w:rsid w:val="732D5AA9"/>
    <w:rsid w:val="73330F42"/>
    <w:rsid w:val="735452E9"/>
    <w:rsid w:val="7358775B"/>
    <w:rsid w:val="739C6A45"/>
    <w:rsid w:val="73B02548"/>
    <w:rsid w:val="73DD6485"/>
    <w:rsid w:val="73EF6A1C"/>
    <w:rsid w:val="741C1999"/>
    <w:rsid w:val="741C22B6"/>
    <w:rsid w:val="74255FEB"/>
    <w:rsid w:val="742C285F"/>
    <w:rsid w:val="74662A75"/>
    <w:rsid w:val="747D5FA1"/>
    <w:rsid w:val="747E0200"/>
    <w:rsid w:val="748C6185"/>
    <w:rsid w:val="749D71DB"/>
    <w:rsid w:val="74A57E4D"/>
    <w:rsid w:val="74EB0EBB"/>
    <w:rsid w:val="74F60441"/>
    <w:rsid w:val="75186775"/>
    <w:rsid w:val="751B3E16"/>
    <w:rsid w:val="75346B5B"/>
    <w:rsid w:val="753F0BD2"/>
    <w:rsid w:val="755220B9"/>
    <w:rsid w:val="755602FE"/>
    <w:rsid w:val="75605B4F"/>
    <w:rsid w:val="75704D2D"/>
    <w:rsid w:val="75BC31F4"/>
    <w:rsid w:val="760F2FFC"/>
    <w:rsid w:val="76151282"/>
    <w:rsid w:val="76744C4B"/>
    <w:rsid w:val="767B6EBC"/>
    <w:rsid w:val="767B7569"/>
    <w:rsid w:val="7693433A"/>
    <w:rsid w:val="76AA48CE"/>
    <w:rsid w:val="76C3221F"/>
    <w:rsid w:val="76C50835"/>
    <w:rsid w:val="770C491A"/>
    <w:rsid w:val="77195A27"/>
    <w:rsid w:val="771F06A7"/>
    <w:rsid w:val="772C0DD1"/>
    <w:rsid w:val="77324E93"/>
    <w:rsid w:val="77381FCA"/>
    <w:rsid w:val="77564021"/>
    <w:rsid w:val="77831EC2"/>
    <w:rsid w:val="77892045"/>
    <w:rsid w:val="778925D9"/>
    <w:rsid w:val="77B749B9"/>
    <w:rsid w:val="77D85F42"/>
    <w:rsid w:val="77DB7262"/>
    <w:rsid w:val="77E5662D"/>
    <w:rsid w:val="77FB2566"/>
    <w:rsid w:val="78064210"/>
    <w:rsid w:val="782642CC"/>
    <w:rsid w:val="783E5C50"/>
    <w:rsid w:val="784E1A0A"/>
    <w:rsid w:val="78570929"/>
    <w:rsid w:val="789027B0"/>
    <w:rsid w:val="78A321D2"/>
    <w:rsid w:val="78B47F53"/>
    <w:rsid w:val="78BD36C3"/>
    <w:rsid w:val="78D23D3F"/>
    <w:rsid w:val="78D86D9C"/>
    <w:rsid w:val="791D718A"/>
    <w:rsid w:val="794B4E5D"/>
    <w:rsid w:val="79584B14"/>
    <w:rsid w:val="795A6AB0"/>
    <w:rsid w:val="796D52B4"/>
    <w:rsid w:val="797A63B2"/>
    <w:rsid w:val="7986584C"/>
    <w:rsid w:val="79A22753"/>
    <w:rsid w:val="79B92B8C"/>
    <w:rsid w:val="79E8203B"/>
    <w:rsid w:val="79F0693F"/>
    <w:rsid w:val="79F91C98"/>
    <w:rsid w:val="7A02256C"/>
    <w:rsid w:val="7A05524C"/>
    <w:rsid w:val="7A18601E"/>
    <w:rsid w:val="7A223A11"/>
    <w:rsid w:val="7A2F58C7"/>
    <w:rsid w:val="7A7A46D8"/>
    <w:rsid w:val="7A7E313A"/>
    <w:rsid w:val="7A8C63BA"/>
    <w:rsid w:val="7AD26FEE"/>
    <w:rsid w:val="7ADD3307"/>
    <w:rsid w:val="7B032B29"/>
    <w:rsid w:val="7B36328B"/>
    <w:rsid w:val="7B3F192C"/>
    <w:rsid w:val="7B646B38"/>
    <w:rsid w:val="7B8515EA"/>
    <w:rsid w:val="7B876987"/>
    <w:rsid w:val="7B9B1144"/>
    <w:rsid w:val="7BAE5F0A"/>
    <w:rsid w:val="7BB1016A"/>
    <w:rsid w:val="7BB404C9"/>
    <w:rsid w:val="7BCE579E"/>
    <w:rsid w:val="7BD81177"/>
    <w:rsid w:val="7BED7BDD"/>
    <w:rsid w:val="7BF41FC0"/>
    <w:rsid w:val="7BFF4362"/>
    <w:rsid w:val="7C0003A5"/>
    <w:rsid w:val="7C177107"/>
    <w:rsid w:val="7C1B2AF6"/>
    <w:rsid w:val="7C1E1BC0"/>
    <w:rsid w:val="7C3E33B8"/>
    <w:rsid w:val="7C560DBE"/>
    <w:rsid w:val="7C580C52"/>
    <w:rsid w:val="7C6929D9"/>
    <w:rsid w:val="7C765EAD"/>
    <w:rsid w:val="7C922BDE"/>
    <w:rsid w:val="7CA16A54"/>
    <w:rsid w:val="7CB91BF8"/>
    <w:rsid w:val="7CE0171B"/>
    <w:rsid w:val="7CF5344E"/>
    <w:rsid w:val="7D0626D4"/>
    <w:rsid w:val="7D272678"/>
    <w:rsid w:val="7D534E47"/>
    <w:rsid w:val="7D5F6D53"/>
    <w:rsid w:val="7D856813"/>
    <w:rsid w:val="7DB27958"/>
    <w:rsid w:val="7DB859C6"/>
    <w:rsid w:val="7DBA23A5"/>
    <w:rsid w:val="7DBB6C93"/>
    <w:rsid w:val="7DC00764"/>
    <w:rsid w:val="7E492112"/>
    <w:rsid w:val="7E68083E"/>
    <w:rsid w:val="7E70004F"/>
    <w:rsid w:val="7E8D720B"/>
    <w:rsid w:val="7E8E0A07"/>
    <w:rsid w:val="7ED64D7F"/>
    <w:rsid w:val="7EE72C33"/>
    <w:rsid w:val="7EEC6B92"/>
    <w:rsid w:val="7F0A63E4"/>
    <w:rsid w:val="7F210460"/>
    <w:rsid w:val="7F2E26D9"/>
    <w:rsid w:val="7F8C2C66"/>
    <w:rsid w:val="7FA35B88"/>
    <w:rsid w:val="7FDD1714"/>
    <w:rsid w:val="7FE45EE8"/>
    <w:rsid w:val="7FE70C9B"/>
    <w:rsid w:val="7FF41395"/>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keepLines/>
      <w:spacing w:line="576" w:lineRule="auto"/>
      <w:outlineLvl w:val="0"/>
    </w:pPr>
    <w:rPr>
      <w:b/>
      <w:bCs/>
      <w:kern w:val="44"/>
      <w:sz w:val="44"/>
      <w:szCs w:val="44"/>
    </w:rPr>
  </w:style>
  <w:style w:type="paragraph" w:styleId="5">
    <w:name w:val="heading 2"/>
    <w:basedOn w:val="1"/>
    <w:next w:val="6"/>
    <w:link w:val="82"/>
    <w:qFormat/>
    <w:uiPriority w:val="99"/>
    <w:pPr>
      <w:keepNext/>
      <w:keepLines/>
      <w:spacing w:line="413" w:lineRule="auto"/>
      <w:outlineLvl w:val="1"/>
    </w:pPr>
    <w:rPr>
      <w:rFonts w:ascii="Arial" w:hAnsi="Arial" w:eastAsia="黑体"/>
      <w:b/>
      <w:bCs/>
      <w:sz w:val="32"/>
      <w:szCs w:val="32"/>
    </w:rPr>
  </w:style>
  <w:style w:type="paragraph" w:styleId="7">
    <w:name w:val="heading 3"/>
    <w:basedOn w:val="1"/>
    <w:next w:val="6"/>
    <w:qFormat/>
    <w:uiPriority w:val="0"/>
    <w:pPr>
      <w:keepNext/>
      <w:keepLines/>
      <w:spacing w:before="260" w:after="260" w:line="412" w:lineRule="auto"/>
      <w:outlineLvl w:val="2"/>
    </w:pPr>
    <w:rPr>
      <w:b/>
      <w:sz w:val="32"/>
      <w:szCs w:val="20"/>
    </w:rPr>
  </w:style>
  <w:style w:type="paragraph" w:styleId="8">
    <w:name w:val="heading 4"/>
    <w:basedOn w:val="1"/>
    <w:next w:val="1"/>
    <w:qFormat/>
    <w:uiPriority w:val="0"/>
    <w:pPr>
      <w:keepNext/>
      <w:keepLines/>
      <w:tabs>
        <w:tab w:val="left" w:pos="864"/>
      </w:tabs>
      <w:spacing w:line="360" w:lineRule="auto"/>
      <w:ind w:left="864" w:hanging="864"/>
      <w:outlineLvl w:val="3"/>
    </w:pPr>
    <w:rPr>
      <w:rFonts w:ascii="Arial" w:hAnsi="Arial"/>
      <w:bCs/>
      <w:szCs w:val="28"/>
    </w:rPr>
  </w:style>
  <w:style w:type="paragraph" w:styleId="9">
    <w:name w:val="heading 5"/>
    <w:basedOn w:val="1"/>
    <w:next w:val="1"/>
    <w:qFormat/>
    <w:uiPriority w:val="99"/>
    <w:pPr>
      <w:keepNext/>
      <w:keepLines/>
      <w:spacing w:before="280" w:after="290" w:line="376" w:lineRule="auto"/>
      <w:outlineLvl w:val="4"/>
    </w:pPr>
    <w:rPr>
      <w:b/>
      <w:bCs/>
      <w:sz w:val="28"/>
      <w:szCs w:val="28"/>
    </w:rPr>
  </w:style>
  <w:style w:type="paragraph" w:styleId="10">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firstLine="552"/>
    </w:pPr>
    <w:rPr>
      <w:rFonts w:ascii="宋体"/>
      <w:sz w:val="28"/>
    </w:rPr>
  </w:style>
  <w:style w:type="paragraph" w:styleId="6">
    <w:name w:val="Normal Indent"/>
    <w:basedOn w:val="1"/>
    <w:qFormat/>
    <w:uiPriority w:val="0"/>
    <w:pPr>
      <w:ind w:firstLine="420" w:firstLineChars="200"/>
    </w:pPr>
    <w:rPr>
      <w:rFonts w:ascii="Times New Roman" w:hAnsi="Times New Roman" w:eastAsia="宋体" w:cs="Times New Roman"/>
    </w:rPr>
  </w:style>
  <w:style w:type="paragraph" w:styleId="11">
    <w:name w:val="Document Map"/>
    <w:basedOn w:val="1"/>
    <w:link w:val="51"/>
    <w:qFormat/>
    <w:uiPriority w:val="0"/>
    <w:rPr>
      <w:rFonts w:ascii="宋体"/>
      <w:sz w:val="18"/>
      <w:szCs w:val="18"/>
    </w:rPr>
  </w:style>
  <w:style w:type="paragraph" w:styleId="12">
    <w:name w:val="toa heading"/>
    <w:basedOn w:val="1"/>
    <w:next w:val="1"/>
    <w:qFormat/>
    <w:uiPriority w:val="0"/>
    <w:pPr>
      <w:spacing w:before="120" w:beforeLines="0" w:beforeAutospacing="0"/>
    </w:pPr>
    <w:rPr>
      <w:rFonts w:ascii="Arial" w:hAnsi="Arial"/>
      <w:sz w:val="24"/>
    </w:rPr>
  </w:style>
  <w:style w:type="paragraph" w:styleId="13">
    <w:name w:val="annotation text"/>
    <w:basedOn w:val="1"/>
    <w:qFormat/>
    <w:uiPriority w:val="0"/>
    <w:pPr>
      <w:jc w:val="left"/>
    </w:pPr>
  </w:style>
  <w:style w:type="paragraph" w:styleId="14">
    <w:name w:val="Body Text"/>
    <w:basedOn w:val="1"/>
    <w:next w:val="1"/>
    <w:qFormat/>
    <w:uiPriority w:val="0"/>
    <w:pPr>
      <w:spacing w:after="120"/>
    </w:pPr>
    <w:rPr>
      <w:rFonts w:ascii="Times New Roman" w:hAnsi="Times New Roman" w:eastAsia="Times New Roman" w:cs="Times New Roman"/>
    </w:rPr>
  </w:style>
  <w:style w:type="paragraph" w:styleId="15">
    <w:name w:val="Block Text"/>
    <w:basedOn w:val="1"/>
    <w:qFormat/>
    <w:uiPriority w:val="99"/>
    <w:pPr>
      <w:adjustRightInd w:val="0"/>
      <w:ind w:left="420" w:right="33"/>
      <w:jc w:val="left"/>
      <w:textAlignment w:val="baseline"/>
    </w:pPr>
    <w:rPr>
      <w:rFonts w:ascii="Times New Roman" w:hAnsi="Times New Roman" w:cs="Times New Roman"/>
      <w:kern w:val="0"/>
      <w:sz w:val="24"/>
      <w:szCs w:val="24"/>
    </w:rPr>
  </w:style>
  <w:style w:type="paragraph" w:styleId="16">
    <w:name w:val="Plain Text"/>
    <w:basedOn w:val="1"/>
    <w:qFormat/>
    <w:uiPriority w:val="0"/>
    <w:rPr>
      <w:rFonts w:ascii="宋体" w:hAnsi="Courier New" w:cs="Courier New"/>
      <w:szCs w:val="21"/>
    </w:rPr>
  </w:style>
  <w:style w:type="paragraph" w:styleId="17">
    <w:name w:val="Body Text Indent 2"/>
    <w:basedOn w:val="1"/>
    <w:qFormat/>
    <w:uiPriority w:val="0"/>
    <w:pPr>
      <w:ind w:firstLine="630"/>
    </w:pPr>
    <w:rPr>
      <w:sz w:val="32"/>
      <w:szCs w:val="20"/>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Body Text 2"/>
    <w:basedOn w:val="1"/>
    <w:unhideWhenUsed/>
    <w:qFormat/>
    <w:uiPriority w:val="99"/>
    <w:rPr>
      <w:sz w:val="28"/>
    </w:rPr>
  </w:style>
  <w:style w:type="paragraph" w:styleId="23">
    <w:name w:val="Message Header"/>
    <w:basedOn w:val="1"/>
    <w:next w:val="15"/>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rPr>
  </w:style>
  <w:style w:type="paragraph" w:styleId="25">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26">
    <w:name w:val="Title"/>
    <w:basedOn w:val="1"/>
    <w:next w:val="1"/>
    <w:qFormat/>
    <w:uiPriority w:val="0"/>
    <w:pPr>
      <w:spacing w:before="240" w:after="60"/>
      <w:jc w:val="center"/>
      <w:outlineLvl w:val="0"/>
    </w:pPr>
    <w:rPr>
      <w:rFonts w:ascii="Cambria" w:hAnsi="Cambria" w:cs="Times New Roman"/>
      <w:b/>
      <w:bCs/>
      <w:sz w:val="32"/>
      <w:szCs w:val="32"/>
    </w:rPr>
  </w:style>
  <w:style w:type="paragraph" w:styleId="27">
    <w:name w:val="annotation subject"/>
    <w:basedOn w:val="13"/>
    <w:next w:val="1"/>
    <w:qFormat/>
    <w:uiPriority w:val="0"/>
    <w:pPr>
      <w:adjustRightInd/>
      <w:spacing w:line="240" w:lineRule="auto"/>
      <w:textAlignment w:val="auto"/>
    </w:pPr>
    <w:rPr>
      <w:b/>
      <w:bCs/>
      <w:kern w:val="2"/>
      <w:sz w:val="21"/>
      <w:szCs w:val="24"/>
    </w:rPr>
  </w:style>
  <w:style w:type="paragraph" w:styleId="28">
    <w:name w:val="Body Text First Indent"/>
    <w:basedOn w:val="14"/>
    <w:next w:val="2"/>
    <w:unhideWhenUsed/>
    <w:qFormat/>
    <w:uiPriority w:val="99"/>
    <w:pPr>
      <w:ind w:firstLine="420" w:firstLineChars="100"/>
    </w:pPr>
  </w:style>
  <w:style w:type="table" w:styleId="30">
    <w:name w:val="Table Grid"/>
    <w:basedOn w:val="29"/>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0"/>
    <w:rPr>
      <w:b/>
      <w:bCs/>
    </w:rPr>
  </w:style>
  <w:style w:type="character" w:styleId="33">
    <w:name w:val="page number"/>
    <w:basedOn w:val="31"/>
    <w:qFormat/>
    <w:uiPriority w:val="0"/>
  </w:style>
  <w:style w:type="character" w:styleId="34">
    <w:name w:val="FollowedHyperlink"/>
    <w:basedOn w:val="31"/>
    <w:qFormat/>
    <w:uiPriority w:val="0"/>
    <w:rPr>
      <w:color w:val="800080"/>
      <w:u w:val="none"/>
    </w:rPr>
  </w:style>
  <w:style w:type="character" w:styleId="35">
    <w:name w:val="Emphasis"/>
    <w:basedOn w:val="31"/>
    <w:qFormat/>
    <w:uiPriority w:val="0"/>
  </w:style>
  <w:style w:type="character" w:styleId="36">
    <w:name w:val="HTML Definition"/>
    <w:basedOn w:val="31"/>
    <w:qFormat/>
    <w:uiPriority w:val="0"/>
  </w:style>
  <w:style w:type="character" w:styleId="37">
    <w:name w:val="HTML Typewriter"/>
    <w:basedOn w:val="31"/>
    <w:qFormat/>
    <w:uiPriority w:val="0"/>
    <w:rPr>
      <w:rFonts w:ascii="monospace" w:hAnsi="monospace" w:eastAsia="monospace" w:cs="monospace"/>
      <w:sz w:val="20"/>
    </w:rPr>
  </w:style>
  <w:style w:type="character" w:styleId="38">
    <w:name w:val="HTML Acronym"/>
    <w:basedOn w:val="31"/>
    <w:qFormat/>
    <w:uiPriority w:val="0"/>
    <w:rPr>
      <w:vanish/>
    </w:rPr>
  </w:style>
  <w:style w:type="character" w:styleId="39">
    <w:name w:val="HTML Variable"/>
    <w:basedOn w:val="31"/>
    <w:qFormat/>
    <w:uiPriority w:val="0"/>
  </w:style>
  <w:style w:type="character" w:styleId="40">
    <w:name w:val="Hyperlink"/>
    <w:basedOn w:val="31"/>
    <w:qFormat/>
    <w:uiPriority w:val="99"/>
    <w:rPr>
      <w:color w:val="0000FF"/>
      <w:u w:val="single"/>
    </w:rPr>
  </w:style>
  <w:style w:type="character" w:styleId="41">
    <w:name w:val="HTML Code"/>
    <w:basedOn w:val="31"/>
    <w:qFormat/>
    <w:uiPriority w:val="0"/>
    <w:rPr>
      <w:rFonts w:hint="default" w:ascii="monospace" w:hAnsi="monospace" w:eastAsia="monospace" w:cs="monospace"/>
      <w:sz w:val="20"/>
    </w:rPr>
  </w:style>
  <w:style w:type="character" w:styleId="42">
    <w:name w:val="HTML Cite"/>
    <w:basedOn w:val="31"/>
    <w:qFormat/>
    <w:uiPriority w:val="0"/>
  </w:style>
  <w:style w:type="character" w:styleId="43">
    <w:name w:val="HTML Keyboard"/>
    <w:basedOn w:val="31"/>
    <w:qFormat/>
    <w:uiPriority w:val="0"/>
    <w:rPr>
      <w:rFonts w:hint="default" w:ascii="monospace" w:hAnsi="monospace" w:eastAsia="monospace" w:cs="monospace"/>
      <w:sz w:val="20"/>
    </w:rPr>
  </w:style>
  <w:style w:type="character" w:styleId="44">
    <w:name w:val="HTML Sample"/>
    <w:basedOn w:val="31"/>
    <w:qFormat/>
    <w:uiPriority w:val="0"/>
    <w:rPr>
      <w:rFonts w:hint="default" w:ascii="monospace" w:hAnsi="monospace" w:eastAsia="monospace" w:cs="monospace"/>
    </w:rPr>
  </w:style>
  <w:style w:type="paragraph" w:customStyle="1" w:styleId="45">
    <w:name w:val="UserStyle_0"/>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customStyle="1" w:styleId="46">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47">
    <w:name w:val="列出段落1"/>
    <w:basedOn w:val="1"/>
    <w:qFormat/>
    <w:uiPriority w:val="34"/>
    <w:pPr>
      <w:ind w:firstLine="420"/>
    </w:pPr>
    <w:rPr>
      <w:szCs w:val="20"/>
    </w:rPr>
  </w:style>
  <w:style w:type="paragraph" w:customStyle="1" w:styleId="48">
    <w:name w:val="p15"/>
    <w:basedOn w:val="1"/>
    <w:qFormat/>
    <w:uiPriority w:val="99"/>
    <w:pPr>
      <w:widowControl/>
    </w:pPr>
    <w:rPr>
      <w:kern w:val="0"/>
      <w:szCs w:val="21"/>
    </w:rPr>
  </w:style>
  <w:style w:type="paragraph" w:styleId="49">
    <w:name w:val="No Spacing"/>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5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51">
    <w:name w:val="文档结构图 Char"/>
    <w:basedOn w:val="31"/>
    <w:link w:val="11"/>
    <w:qFormat/>
    <w:uiPriority w:val="0"/>
    <w:rPr>
      <w:rFonts w:ascii="宋体"/>
      <w:kern w:val="2"/>
      <w:sz w:val="18"/>
      <w:szCs w:val="18"/>
    </w:rPr>
  </w:style>
  <w:style w:type="paragraph" w:styleId="52">
    <w:name w:val="List Paragraph"/>
    <w:basedOn w:val="1"/>
    <w:qFormat/>
    <w:uiPriority w:val="34"/>
    <w:pPr>
      <w:ind w:firstLine="420"/>
    </w:pPr>
  </w:style>
  <w:style w:type="character" w:customStyle="1" w:styleId="53">
    <w:name w:val="font01"/>
    <w:basedOn w:val="31"/>
    <w:qFormat/>
    <w:uiPriority w:val="0"/>
    <w:rPr>
      <w:rFonts w:hint="eastAsia" w:ascii="宋体" w:hAnsi="宋体" w:eastAsia="宋体" w:cs="宋体"/>
      <w:color w:val="000000"/>
      <w:sz w:val="22"/>
      <w:szCs w:val="22"/>
      <w:u w:val="none"/>
    </w:rPr>
  </w:style>
  <w:style w:type="paragraph" w:customStyle="1" w:styleId="54">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55">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6">
    <w:name w:val="active6"/>
    <w:basedOn w:val="31"/>
    <w:qFormat/>
    <w:uiPriority w:val="0"/>
    <w:rPr>
      <w:color w:val="00FF00"/>
      <w:shd w:val="clear" w:fill="000000"/>
    </w:rPr>
  </w:style>
  <w:style w:type="character" w:customStyle="1" w:styleId="57">
    <w:name w:val="proollist"/>
    <w:basedOn w:val="31"/>
    <w:qFormat/>
    <w:uiPriority w:val="0"/>
  </w:style>
  <w:style w:type="character" w:customStyle="1" w:styleId="58">
    <w:name w:val="span-long"/>
    <w:basedOn w:val="31"/>
    <w:qFormat/>
    <w:uiPriority w:val="0"/>
  </w:style>
  <w:style w:type="character" w:customStyle="1" w:styleId="59">
    <w:name w:val="input-direction"/>
    <w:basedOn w:val="31"/>
    <w:qFormat/>
    <w:uiPriority w:val="0"/>
    <w:rPr>
      <w:color w:val="FF6600"/>
    </w:rPr>
  </w:style>
  <w:style w:type="character" w:customStyle="1" w:styleId="60">
    <w:name w:val="beforeinfotext"/>
    <w:basedOn w:val="31"/>
    <w:qFormat/>
    <w:uiPriority w:val="0"/>
    <w:rPr>
      <w:color w:val="666666"/>
    </w:rPr>
  </w:style>
  <w:style w:type="character" w:customStyle="1" w:styleId="61">
    <w:name w:val="hilite6"/>
    <w:basedOn w:val="31"/>
    <w:qFormat/>
    <w:uiPriority w:val="0"/>
    <w:rPr>
      <w:color w:val="FFFFFF"/>
      <w:shd w:val="clear" w:fill="666677"/>
    </w:rPr>
  </w:style>
  <w:style w:type="character" w:customStyle="1" w:styleId="62">
    <w:name w:val="stclosebtn"/>
    <w:basedOn w:val="31"/>
    <w:qFormat/>
    <w:uiPriority w:val="0"/>
  </w:style>
  <w:style w:type="character" w:customStyle="1" w:styleId="63">
    <w:name w:val="tmpztreemove_arrow"/>
    <w:basedOn w:val="31"/>
    <w:qFormat/>
    <w:uiPriority w:val="0"/>
  </w:style>
  <w:style w:type="character" w:customStyle="1" w:styleId="64">
    <w:name w:val="phone"/>
    <w:basedOn w:val="31"/>
    <w:qFormat/>
    <w:uiPriority w:val="0"/>
    <w:rPr>
      <w:color w:val="FF8833"/>
      <w:sz w:val="18"/>
      <w:szCs w:val="18"/>
    </w:rPr>
  </w:style>
  <w:style w:type="character" w:customStyle="1" w:styleId="65">
    <w:name w:val="number"/>
    <w:basedOn w:val="31"/>
    <w:qFormat/>
    <w:uiPriority w:val="0"/>
    <w:rPr>
      <w:color w:val="FF8833"/>
      <w:sz w:val="18"/>
      <w:szCs w:val="18"/>
    </w:rPr>
  </w:style>
  <w:style w:type="character" w:customStyle="1" w:styleId="66">
    <w:name w:val="button2"/>
    <w:basedOn w:val="31"/>
    <w:qFormat/>
    <w:uiPriority w:val="0"/>
  </w:style>
  <w:style w:type="paragraph" w:customStyle="1" w:styleId="67">
    <w:name w:val="title14"/>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8">
    <w:name w:val="正文缩进2格"/>
    <w:basedOn w:val="1"/>
    <w:qFormat/>
    <w:uiPriority w:val="0"/>
    <w:pPr>
      <w:spacing w:line="600" w:lineRule="exact"/>
      <w:ind w:firstLine="639" w:firstLineChars="206"/>
    </w:pPr>
    <w:rPr>
      <w:rFonts w:ascii="仿宋_GB2312" w:hAnsi="宋体" w:eastAsia="仿宋_GB2312"/>
      <w:sz w:val="31"/>
    </w:rPr>
  </w:style>
  <w:style w:type="character" w:customStyle="1" w:styleId="69">
    <w:name w:val="button"/>
    <w:basedOn w:val="31"/>
    <w:qFormat/>
    <w:uiPriority w:val="0"/>
  </w:style>
  <w:style w:type="character" w:customStyle="1" w:styleId="70">
    <w:name w:val="hilite"/>
    <w:basedOn w:val="31"/>
    <w:qFormat/>
    <w:uiPriority w:val="0"/>
    <w:rPr>
      <w:color w:val="FFFFFF"/>
      <w:shd w:val="clear" w:fill="666677"/>
    </w:rPr>
  </w:style>
  <w:style w:type="character" w:customStyle="1" w:styleId="71">
    <w:name w:val="font151"/>
    <w:basedOn w:val="31"/>
    <w:qFormat/>
    <w:uiPriority w:val="0"/>
    <w:rPr>
      <w:rFonts w:ascii="宋体" w:hAnsi="宋体" w:eastAsia="宋体" w:cs="宋体"/>
      <w:color w:val="000000"/>
      <w:sz w:val="20"/>
      <w:szCs w:val="20"/>
      <w:u w:val="none"/>
    </w:rPr>
  </w:style>
  <w:style w:type="character" w:customStyle="1" w:styleId="72">
    <w:name w:val="font21"/>
    <w:basedOn w:val="31"/>
    <w:qFormat/>
    <w:uiPriority w:val="0"/>
    <w:rPr>
      <w:rFonts w:hint="eastAsia" w:ascii="宋体" w:hAnsi="宋体" w:eastAsia="宋体" w:cs="宋体"/>
      <w:color w:val="000000"/>
      <w:sz w:val="20"/>
      <w:szCs w:val="20"/>
      <w:u w:val="none"/>
    </w:rPr>
  </w:style>
  <w:style w:type="character" w:customStyle="1" w:styleId="73">
    <w:name w:val="font81"/>
    <w:basedOn w:val="31"/>
    <w:qFormat/>
    <w:uiPriority w:val="0"/>
    <w:rPr>
      <w:rFonts w:hint="eastAsia" w:ascii="宋体" w:hAnsi="宋体" w:eastAsia="宋体" w:cs="宋体"/>
      <w:color w:val="000000"/>
      <w:sz w:val="20"/>
      <w:szCs w:val="20"/>
      <w:u w:val="none"/>
    </w:rPr>
  </w:style>
  <w:style w:type="character" w:customStyle="1" w:styleId="74">
    <w:name w:val="font121"/>
    <w:basedOn w:val="31"/>
    <w:qFormat/>
    <w:uiPriority w:val="0"/>
    <w:rPr>
      <w:rFonts w:ascii="宋体" w:hAnsi="宋体" w:eastAsia="宋体" w:cs="宋体"/>
      <w:color w:val="000000"/>
      <w:sz w:val="20"/>
      <w:szCs w:val="20"/>
      <w:u w:val="none"/>
    </w:rPr>
  </w:style>
  <w:style w:type="character" w:customStyle="1" w:styleId="75">
    <w:name w:val="font41"/>
    <w:basedOn w:val="31"/>
    <w:qFormat/>
    <w:uiPriority w:val="0"/>
    <w:rPr>
      <w:rFonts w:hint="eastAsia" w:ascii="宋体" w:hAnsi="宋体" w:eastAsia="宋体" w:cs="宋体"/>
      <w:color w:val="000000"/>
      <w:sz w:val="20"/>
      <w:szCs w:val="20"/>
      <w:u w:val="none"/>
    </w:rPr>
  </w:style>
  <w:style w:type="character" w:customStyle="1" w:styleId="76">
    <w:name w:val="font141"/>
    <w:basedOn w:val="31"/>
    <w:qFormat/>
    <w:uiPriority w:val="0"/>
    <w:rPr>
      <w:rFonts w:ascii="宋体" w:hAnsi="宋体" w:eastAsia="宋体" w:cs="宋体"/>
      <w:color w:val="000000"/>
      <w:sz w:val="20"/>
      <w:szCs w:val="20"/>
      <w:u w:val="none"/>
    </w:rPr>
  </w:style>
  <w:style w:type="character" w:customStyle="1" w:styleId="77">
    <w:name w:val="font112"/>
    <w:basedOn w:val="31"/>
    <w:qFormat/>
    <w:uiPriority w:val="0"/>
    <w:rPr>
      <w:rFonts w:hint="eastAsia" w:ascii="宋体" w:hAnsi="宋体" w:eastAsia="宋体" w:cs="宋体"/>
      <w:color w:val="FF0000"/>
      <w:sz w:val="20"/>
      <w:szCs w:val="20"/>
      <w:u w:val="none"/>
    </w:rPr>
  </w:style>
  <w:style w:type="character" w:customStyle="1" w:styleId="78">
    <w:name w:val="font101"/>
    <w:basedOn w:val="31"/>
    <w:qFormat/>
    <w:uiPriority w:val="0"/>
    <w:rPr>
      <w:rFonts w:ascii="Arial" w:hAnsi="Arial" w:cs="Arial"/>
      <w:color w:val="000000"/>
      <w:sz w:val="20"/>
      <w:szCs w:val="20"/>
      <w:u w:val="none"/>
    </w:rPr>
  </w:style>
  <w:style w:type="character" w:customStyle="1" w:styleId="79">
    <w:name w:val="font11"/>
    <w:basedOn w:val="31"/>
    <w:qFormat/>
    <w:uiPriority w:val="0"/>
    <w:rPr>
      <w:rFonts w:hint="eastAsia" w:ascii="宋体" w:hAnsi="宋体" w:eastAsia="宋体" w:cs="宋体"/>
      <w:color w:val="000000"/>
      <w:sz w:val="22"/>
      <w:szCs w:val="22"/>
      <w:u w:val="none"/>
    </w:rPr>
  </w:style>
  <w:style w:type="paragraph" w:customStyle="1" w:styleId="80">
    <w:name w:val="样式 首行缩进:  2 字符"/>
    <w:basedOn w:val="1"/>
    <w:qFormat/>
    <w:uiPriority w:val="99"/>
    <w:pPr>
      <w:spacing w:line="400" w:lineRule="exact"/>
      <w:ind w:firstLine="200" w:firstLineChars="200"/>
    </w:pPr>
    <w:rPr>
      <w:rFonts w:cs="宋体"/>
      <w:szCs w:val="24"/>
    </w:rPr>
  </w:style>
  <w:style w:type="paragraph" w:customStyle="1" w:styleId="81">
    <w:name w:val="title13"/>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82">
    <w:name w:val="标题 2 Char"/>
    <w:link w:val="5"/>
    <w:qFormat/>
    <w:uiPriority w:val="0"/>
    <w:rPr>
      <w:rFonts w:ascii="Arial" w:hAnsi="Arial" w:eastAsia="黑体"/>
      <w:b/>
      <w:bCs/>
      <w:sz w:val="32"/>
      <w:szCs w:val="32"/>
    </w:rPr>
  </w:style>
  <w:style w:type="paragraph" w:customStyle="1" w:styleId="83">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8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5">
    <w:name w:val="p0"/>
    <w:basedOn w:val="1"/>
    <w:qFormat/>
    <w:uiPriority w:val="0"/>
    <w:pPr>
      <w:widowControl/>
    </w:pPr>
    <w:rPr>
      <w:kern w:val="0"/>
      <w:szCs w:val="21"/>
    </w:rPr>
  </w:style>
  <w:style w:type="paragraph" w:customStyle="1" w:styleId="86">
    <w:name w:val="Normal Indent1"/>
    <w:qFormat/>
    <w:uiPriority w:val="0"/>
    <w:pPr>
      <w:widowControl w:val="0"/>
      <w:spacing w:line="660" w:lineRule="exact"/>
      <w:ind w:firstLine="720" w:firstLineChars="200"/>
      <w:jc w:val="both"/>
    </w:pPr>
    <w:rPr>
      <w:rFonts w:ascii="Calibri" w:hAnsi="Calibri" w:eastAsia="楷体_GB2312" w:cs="Times New Roman"/>
      <w:kern w:val="2"/>
      <w:sz w:val="21"/>
      <w:szCs w:val="24"/>
      <w:lang w:val="en-US" w:eastAsia="zh-CN" w:bidi="ar-SA"/>
    </w:rPr>
  </w:style>
  <w:style w:type="paragraph" w:customStyle="1" w:styleId="87">
    <w:name w:val="WPSOffice手动目录 1"/>
    <w:qFormat/>
    <w:uiPriority w:val="0"/>
    <w:pPr>
      <w:ind w:leftChars="0"/>
    </w:pPr>
    <w:rPr>
      <w:rFonts w:ascii="Times New Roman" w:hAnsi="Times New Roman" w:eastAsia="宋体" w:cs="Times New Roman"/>
      <w:sz w:val="20"/>
      <w:szCs w:val="20"/>
    </w:rPr>
  </w:style>
  <w:style w:type="character" w:customStyle="1" w:styleId="88">
    <w:name w:val="font31"/>
    <w:basedOn w:val="31"/>
    <w:qFormat/>
    <w:uiPriority w:val="0"/>
    <w:rPr>
      <w:rFonts w:hint="eastAsia" w:ascii="宋体" w:hAnsi="宋体" w:eastAsia="宋体" w:cs="宋体"/>
      <w:color w:val="000000"/>
      <w:sz w:val="20"/>
      <w:szCs w:val="20"/>
      <w:u w:val="none"/>
    </w:rPr>
  </w:style>
  <w:style w:type="paragraph" w:customStyle="1" w:styleId="89">
    <w:name w:val="Char"/>
    <w:autoRedefine/>
    <w:qFormat/>
    <w:uiPriority w:val="99"/>
    <w:pPr>
      <w:widowControl w:val="0"/>
      <w:jc w:val="both"/>
    </w:pPr>
    <w:rPr>
      <w:rFonts w:ascii="宋体" w:hAnsi="宋体" w:cs="宋体" w:eastAsiaTheme="minorEastAsia"/>
      <w:kern w:val="2"/>
      <w:sz w:val="28"/>
      <w:szCs w:val="28"/>
      <w:lang w:val="en-US" w:eastAsia="zh-CN" w:bidi="ar-SA"/>
    </w:rPr>
  </w:style>
  <w:style w:type="paragraph" w:customStyle="1" w:styleId="9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DC9C5C-8C55-4F11-A6E2-98E177649487}">
  <ds:schemaRefs/>
</ds:datastoreItem>
</file>

<file path=docProps/app.xml><?xml version="1.0" encoding="utf-8"?>
<Properties xmlns="http://schemas.openxmlformats.org/officeDocument/2006/extended-properties" xmlns:vt="http://schemas.openxmlformats.org/officeDocument/2006/docPropsVTypes">
  <Template>Normal</Template>
  <Pages>91</Pages>
  <Words>3952</Words>
  <Characters>4521</Characters>
  <Lines>205</Lines>
  <Paragraphs>57</Paragraphs>
  <TotalTime>15</TotalTime>
  <ScaleCrop>false</ScaleCrop>
  <LinksUpToDate>false</LinksUpToDate>
  <CharactersWithSpaces>4695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2019-06-27T08:32:00Z</dcterms:created>
  <dc:creator>Z.</dc:creator>
  <cp:lastModifiedBy>hyl</cp:lastModifiedBy>
  <cp:lastPrinted>2024-09-25T07:36:00Z</cp:lastPrinted>
  <dcterms:modified xsi:type="dcterms:W3CDTF">2026-09-01T02:43:59Z</dcterms:modified>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5C260620C543432AB8D60AF5CD38C722_13</vt:lpwstr>
  </property>
  <property fmtid="{D5CDD505-2E9C-101B-9397-08002B2CF9AE}" pid="4" name="KSOTemplateDocerSaveRecord">
    <vt:lpwstr>eyJoZGlkIjoiOTRlYjY3ZGEzODIzMWFmZjgwMjc1N2I0NWVhNjNlMDIiLCJ1c2VySWQiOiIzMTc3NzU1MDEifQ==</vt:lpwstr>
  </property>
</Properties>
</file>