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版本号：SXGLZFCG2026-027号20260821002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铜川市新区地下综合管廊整体打包PPP项目管理咨询服务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SXGLZFCG2026-027号</w:t>
      </w:r>
      <w:r>
        <w:br/>
      </w:r>
      <w:r>
        <w:br/>
      </w:r>
      <w:r>
        <w:br/>
      </w:r>
    </w:p>
    <w:p>
      <w:pPr>
        <w:pStyle w:val="null3"/>
        <w:jc w:val="center"/>
        <w:outlineLvl w:val="2"/>
      </w:pPr>
      <w:r>
        <w:rPr>
          <w:rFonts w:ascii="仿宋_GB2312" w:hAnsi="仿宋_GB2312" w:cs="仿宋_GB2312" w:eastAsia="仿宋_GB2312"/>
          <w:sz w:val="28"/>
          <w:b/>
        </w:rPr>
        <w:t>铜川市新区住房建设和交通运输局</w:t>
      </w:r>
    </w:p>
    <w:p>
      <w:pPr>
        <w:pStyle w:val="null3"/>
        <w:jc w:val="center"/>
        <w:outlineLvl w:val="2"/>
      </w:pPr>
      <w:r>
        <w:rPr>
          <w:rFonts w:ascii="仿宋_GB2312" w:hAnsi="仿宋_GB2312" w:cs="仿宋_GB2312" w:eastAsia="仿宋_GB2312"/>
          <w:sz w:val="28"/>
          <w:b/>
        </w:rPr>
        <w:t>陕西公立工程项目管理咨询有限公司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陕西公立工程项目管理咨询有限公司</w:t>
      </w:r>
      <w:r>
        <w:rPr>
          <w:rFonts w:ascii="仿宋_GB2312" w:hAnsi="仿宋_GB2312" w:cs="仿宋_GB2312" w:eastAsia="仿宋_GB2312"/>
        </w:rPr>
        <w:t>（以下简称“代理机构”）受</w:t>
      </w:r>
      <w:r>
        <w:rPr>
          <w:rFonts w:ascii="仿宋_GB2312" w:hAnsi="仿宋_GB2312" w:cs="仿宋_GB2312" w:eastAsia="仿宋_GB2312"/>
        </w:rPr>
        <w:t>铜川市新区住房建设和交通运输局</w:t>
      </w:r>
      <w:r>
        <w:rPr>
          <w:rFonts w:ascii="仿宋_GB2312" w:hAnsi="仿宋_GB2312" w:cs="仿宋_GB2312" w:eastAsia="仿宋_GB2312"/>
        </w:rPr>
        <w:t>委托，拟对</w:t>
      </w:r>
      <w:r>
        <w:rPr>
          <w:rFonts w:ascii="仿宋_GB2312" w:hAnsi="仿宋_GB2312" w:cs="仿宋_GB2312" w:eastAsia="仿宋_GB2312"/>
        </w:rPr>
        <w:t>铜川市新区地下综合管廊整体打包PPP项目管理咨询服务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SXGLZFCG2026-027号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铜川市新区地下综合管廊整体打包PPP项目管理咨询服务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协助项目管理方完成铜川市新区地下综合管廊整体打包PPP项目的相关业务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采购包1（铜川市新区地下综合管廊整体打包PPP项目管理咨询服务）：属于专门面向中小企业采购。</w:t>
      </w:r>
    </w:p>
    <w:p>
      <w:pPr>
        <w:pStyle w:val="null3"/>
      </w:pPr>
      <w:r>
        <w:rPr>
          <w:rFonts w:ascii="仿宋_GB2312" w:hAnsi="仿宋_GB2312" w:cs="仿宋_GB2312" w:eastAsia="仿宋_GB2312"/>
        </w:rPr>
        <w:t>供应商以联合体形式参加本采购包的，联合体各方应当为中小企业。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承担⺠事责任能⼒的法⼈、其他组织或⾃然⼈并出具合法有效的营业执照或事业单位法⼈证书等国家规定的相关证明，⾃然⼈参与的提供其⾝份证明。供应商需在项⽬电⼦化交易系统中按要求上传相应证明⽂件并进⾏电⼦签章；</w:t>
      </w:r>
    </w:p>
    <w:p>
      <w:pPr>
        <w:pStyle w:val="null3"/>
      </w:pPr>
      <w:r>
        <w:rPr>
          <w:rFonts w:ascii="仿宋_GB2312" w:hAnsi="仿宋_GB2312" w:cs="仿宋_GB2312" w:eastAsia="仿宋_GB2312"/>
        </w:rPr>
        <w:t>2、授权委托书：法定代表⼈直接参加投标的，须出具法⼈⾝份证，并与营业执照上信息⼀致；法定代表⼈授权代表参加投标的，须出具法定代表⼈授权书及授权代表⾝份证；</w:t>
      </w:r>
    </w:p>
    <w:p>
      <w:pPr>
        <w:pStyle w:val="null3"/>
      </w:pPr>
      <w:r>
        <w:rPr>
          <w:rFonts w:ascii="仿宋_GB2312" w:hAnsi="仿宋_GB2312" w:cs="仿宋_GB2312" w:eastAsia="仿宋_GB2312"/>
        </w:rPr>
        <w:t>3、财务状况报告：提供（1）或提供（2）：（1）提供2024年度⾄2025年度任意⼀年财务报告复印件，应满⾜以下要求：①供应商是企业的，财务报告是指经会计师事务所审计的上述指定年度整个会计年度财务报表（须提供会计师事务所出具的审计报告复印件）,复印件⾄少须包括报告正⽂、资产负债表、现⾦流量表、利润表、附注和会计师事务所营业执照。②供应商适⽤《事业单位会计准则》的，财务报告是指上述指定年度整个会计年度财务报表（不要求必须是经审计的），复印件⾄少须包括资产负债表、收⼊⽀出表（或收⼊费⽤表）、财政补助收⼊⽀出表。③供应商适⽤《政府会计准则》的，财务报告是指上述指定年度整个会计年度财务报表（不要求必须是经审计的），复印件⾄少须包括资产负债表、收⼊费⽤表。④供应商适⽤《⺠间⾮营利组织会计制度》的，财务报告是指上述指定年度整个会计年度财务报表（不要求必须是经审计的），复印件⾄少须包括资产负债表、业务活动表、现⾦流量表。⑤供应商是上述四种情况以外情况的，按照其依法适⽤的会计制度、财务规则或会计准则提供财务报表复印件（不要求必须是经审计的）。（2）提供资信证明原件或复印件，应满⾜以下要求：①资信证明须为递交响应⽂件截⽌时间前三个⽉内由供应商基本账⼾开⼾银⾏出具。②⽆论开具银⾏是否标明“复印⽆效”，供应商提供的复印件在本次投标中予以认可（即不因“复印⽆效”字样⽽认定资信证明复印件⽆效）。③银⾏出具的存款证明不能替代银⾏资信证明；</w:t>
      </w:r>
    </w:p>
    <w:p>
      <w:pPr>
        <w:pStyle w:val="null3"/>
      </w:pPr>
      <w:r>
        <w:rPr>
          <w:rFonts w:ascii="仿宋_GB2312" w:hAnsi="仿宋_GB2312" w:cs="仿宋_GB2312" w:eastAsia="仿宋_GB2312"/>
        </w:rPr>
        <w:t>4、税收缴纳证明：提供2026年1⽉⾄今任意⼀个⽉的依法缴纳税收的相关凭据（时间以税款所属⽇期为准），凭据应有税务机关或代收机关的公章或业务专⽤章。依法免税或⽆须缴纳税收的供应商，应提供相应证明⽂件；</w:t>
      </w:r>
    </w:p>
    <w:p>
      <w:pPr>
        <w:pStyle w:val="null3"/>
      </w:pPr>
      <w:r>
        <w:rPr>
          <w:rFonts w:ascii="仿宋_GB2312" w:hAnsi="仿宋_GB2312" w:cs="仿宋_GB2312" w:eastAsia="仿宋_GB2312"/>
        </w:rPr>
        <w:t>5、社保缴纳证明：提供2026年1⽉⾄今任意⼀个⽉的社会保障资⾦缴存单据或社保机构开具的社会保险参保缴费情况证明。依法不需要缴纳社会保障资⾦的供应商，应提供相关证明⽂件；</w:t>
      </w:r>
    </w:p>
    <w:p>
      <w:pPr>
        <w:pStyle w:val="null3"/>
      </w:pPr>
      <w:r>
        <w:rPr>
          <w:rFonts w:ascii="仿宋_GB2312" w:hAnsi="仿宋_GB2312" w:cs="仿宋_GB2312" w:eastAsia="仿宋_GB2312"/>
        </w:rPr>
        <w:t>6、供应商信誉：供应商不得为“信⽤中国”⽹站（www.creditchina.gov.cn）中列⼊失信被执⾏⼈和重⼤税收违法失信主体名单的供应商，不得为中国政府采购⽹（www.ccgp.go v.cn）政府采购严重违法失信⾏为记录名单中被财政部⻔禁⽌参加政府采购活动的供应商；</w:t>
      </w:r>
    </w:p>
    <w:p>
      <w:pPr>
        <w:pStyle w:val="null3"/>
      </w:pPr>
      <w:r>
        <w:rPr>
          <w:rFonts w:ascii="仿宋_GB2312" w:hAnsi="仿宋_GB2312" w:cs="仿宋_GB2312" w:eastAsia="仿宋_GB2312"/>
        </w:rPr>
        <w:t>7、设备和专业技术能⼒承诺：具有履⾏合同所必需的设备和专业技术能⼒，提供证明材料或书⾯承诺并加盖公章；</w:t>
      </w:r>
    </w:p>
    <w:p>
      <w:pPr>
        <w:pStyle w:val="null3"/>
      </w:pPr>
      <w:r>
        <w:rPr>
          <w:rFonts w:ascii="仿宋_GB2312" w:hAnsi="仿宋_GB2312" w:cs="仿宋_GB2312" w:eastAsia="仿宋_GB2312"/>
        </w:rPr>
        <w:t>8、⽆重⼤违法记录声明：供应商在近三年经营活动中没有重⼤违法记录的声明；</w:t>
      </w:r>
    </w:p>
    <w:p>
      <w:pPr>
        <w:pStyle w:val="null3"/>
      </w:pPr>
      <w:r>
        <w:rPr>
          <w:rFonts w:ascii="仿宋_GB2312" w:hAnsi="仿宋_GB2312" w:cs="仿宋_GB2312" w:eastAsia="仿宋_GB2312"/>
        </w:rPr>
        <w:t>9、联合体：若供应商为联合体须提供联合体协议书，且联合体各方均应当具备本磋商文件要求的资格条件和能力（分别提供上述资格要求）。联合体各方均应具有承担本项目必备的条件，如相应的人力、物力、资金等。</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铜川市新区住房建设和交通运输局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铜川新区长虹北路9号新区管委会</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0919-3153356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陕西公立工程项目管理咨询有限公司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陕西省铜川市耀州区陕西省铜川市新区朝阳路鸿翔逸境1号楼1-4层商业区三楼304、305室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0919-2182986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0919-3181026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代理服务费收费标准：依据国家发改委发改价格[2011]534号文件及依据国家计委计价格[2002]1980号文件规定计取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铜川市新区住房建设和交通运输局</w:t>
      </w:r>
      <w:r>
        <w:rPr>
          <w:rFonts w:ascii="仿宋_GB2312" w:hAnsi="仿宋_GB2312" w:cs="仿宋_GB2312" w:eastAsia="仿宋_GB2312"/>
        </w:rPr>
        <w:t>和</w:t>
      </w:r>
      <w:r>
        <w:rPr>
          <w:rFonts w:ascii="仿宋_GB2312" w:hAnsi="仿宋_GB2312" w:cs="仿宋_GB2312" w:eastAsia="仿宋_GB2312"/>
        </w:rPr>
        <w:t>陕西公立工程项目管理咨询有限公司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铜川市新区住房建设和交通运输局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陕西公立工程项目管理咨询有限公司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铜川市新区住房建设和交通运输局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陕西公立工程项目管理咨询有限公司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具体内容在合同明确</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以双方最终签订合同条款为准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联系电话：0919-2182986</w:t>
      </w:r>
    </w:p>
    <w:p>
      <w:pPr>
        <w:pStyle w:val="null3"/>
      </w:pPr>
      <w:r>
        <w:rPr>
          <w:rFonts w:ascii="仿宋_GB2312" w:hAnsi="仿宋_GB2312" w:cs="仿宋_GB2312" w:eastAsia="仿宋_GB2312"/>
        </w:rPr>
        <w:t>地址：陕西省铜川市新区朝阳路鸿翔逸境1号楼商业区1-4层3楼304室</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协助项目管理方完成铜川市新区地下综合管廊 整体打包PPP项目的相关业务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900000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标的名称：900000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一、项目基本情况</w:t>
            </w:r>
          </w:p>
          <w:p>
            <w:pPr>
              <w:pStyle w:val="null3"/>
              <w:ind w:firstLine="480"/>
              <w:jc w:val="both"/>
            </w:pPr>
            <w:r>
              <w:rPr>
                <w:rFonts w:ascii="仿宋_GB2312" w:hAnsi="仿宋_GB2312" w:cs="仿宋_GB2312" w:eastAsia="仿宋_GB2312"/>
                <w:sz w:val="24"/>
              </w:rPr>
              <w:t>铜川新区城市道路</w:t>
            </w:r>
            <w:r>
              <w:rPr>
                <w:rFonts w:ascii="仿宋_GB2312" w:hAnsi="仿宋_GB2312" w:cs="仿宋_GB2312" w:eastAsia="仿宋_GB2312"/>
                <w:sz w:val="24"/>
              </w:rPr>
              <w:t>+地下综合管廊整体打包PPP 项目由新区西北环线(华夏北道-华原西道)</w:t>
            </w:r>
            <w:r>
              <w:rPr>
                <w:rFonts w:ascii="仿宋_GB2312" w:hAnsi="仿宋_GB2312" w:cs="仿宋_GB2312" w:eastAsia="仿宋_GB2312"/>
                <w:sz w:val="24"/>
              </w:rPr>
              <w:t>、</w:t>
            </w:r>
            <w:r>
              <w:rPr>
                <w:rFonts w:ascii="仿宋_GB2312" w:hAnsi="仿宋_GB2312" w:cs="仿宋_GB2312" w:eastAsia="仿宋_GB2312"/>
                <w:sz w:val="24"/>
              </w:rPr>
              <w:t>长兴路</w:t>
            </w:r>
            <w:r>
              <w:rPr>
                <w:rFonts w:ascii="仿宋_GB2312" w:hAnsi="仿宋_GB2312" w:cs="仿宋_GB2312" w:eastAsia="仿宋_GB2312"/>
                <w:sz w:val="24"/>
              </w:rPr>
              <w:t>(华原西道-鸿基西路)、金泰路（华夏南道-长虹南路)、开元路(正阳路-鸿基东路) 和恒春东路(规划路-东环路) 五条道路及</w:t>
            </w:r>
            <w:r>
              <w:rPr>
                <w:rFonts w:ascii="仿宋_GB2312" w:hAnsi="仿宋_GB2312" w:cs="仿宋_GB2312" w:eastAsia="仿宋_GB2312"/>
                <w:sz w:val="24"/>
              </w:rPr>
              <w:t>西北环线</w:t>
            </w:r>
            <w:r>
              <w:rPr>
                <w:rFonts w:ascii="仿宋_GB2312" w:hAnsi="仿宋_GB2312" w:cs="仿宋_GB2312" w:eastAsia="仿宋_GB2312"/>
                <w:sz w:val="24"/>
              </w:rPr>
              <w:t>一条地下综合管廊整体打包而成，总投资</w:t>
            </w:r>
            <w:r>
              <w:rPr>
                <w:rFonts w:ascii="仿宋_GB2312" w:hAnsi="仿宋_GB2312" w:cs="仿宋_GB2312" w:eastAsia="仿宋_GB2312"/>
                <w:sz w:val="24"/>
              </w:rPr>
              <w:t>73735.86万元</w:t>
            </w:r>
            <w:r>
              <w:rPr>
                <w:rFonts w:ascii="仿宋_GB2312" w:hAnsi="仿宋_GB2312" w:cs="仿宋_GB2312" w:eastAsia="仿宋_GB2312"/>
                <w:sz w:val="24"/>
              </w:rPr>
              <w:t>，</w:t>
            </w:r>
            <w:r>
              <w:rPr>
                <w:rFonts w:ascii="仿宋_GB2312" w:hAnsi="仿宋_GB2312" w:cs="仿宋_GB2312" w:eastAsia="仿宋_GB2312"/>
                <w:sz w:val="24"/>
              </w:rPr>
              <w:t>主要建设内容有道路、排水、综合管廊</w:t>
            </w:r>
            <w:r>
              <w:rPr>
                <w:rFonts w:ascii="仿宋_GB2312" w:hAnsi="仿宋_GB2312" w:cs="仿宋_GB2312" w:eastAsia="仿宋_GB2312"/>
                <w:sz w:val="24"/>
              </w:rPr>
              <w:t>(</w:t>
            </w:r>
            <w:r>
              <w:rPr>
                <w:rFonts w:ascii="仿宋_GB2312" w:hAnsi="仿宋_GB2312" w:cs="仿宋_GB2312" w:eastAsia="仿宋_GB2312"/>
                <w:sz w:val="24"/>
              </w:rPr>
              <w:t>西北环线以外</w:t>
            </w:r>
            <w:r>
              <w:rPr>
                <w:rFonts w:ascii="仿宋_GB2312" w:hAnsi="仿宋_GB2312" w:cs="仿宋_GB2312" w:eastAsia="仿宋_GB2312"/>
                <w:sz w:val="24"/>
              </w:rPr>
              <w:t>其余道路为电力通讯管沟</w:t>
            </w:r>
            <w:r>
              <w:rPr>
                <w:rFonts w:ascii="仿宋_GB2312" w:hAnsi="仿宋_GB2312" w:cs="仿宋_GB2312" w:eastAsia="仿宋_GB2312"/>
                <w:sz w:val="24"/>
              </w:rPr>
              <w:t>) 、照明、绿化和标志标线及信号灯等。</w:t>
            </w:r>
          </w:p>
          <w:p>
            <w:pPr>
              <w:pStyle w:val="null3"/>
              <w:ind w:firstLine="480"/>
              <w:jc w:val="both"/>
            </w:pP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项目建设</w:t>
            </w:r>
            <w:r>
              <w:rPr>
                <w:rFonts w:ascii="仿宋_GB2312" w:hAnsi="仿宋_GB2312" w:cs="仿宋_GB2312" w:eastAsia="仿宋_GB2312"/>
                <w:sz w:val="24"/>
              </w:rPr>
              <w:t>进展情况</w:t>
            </w:r>
            <w:r>
              <w:rPr>
                <w:rFonts w:ascii="仿宋_GB2312" w:hAnsi="仿宋_GB2312" w:cs="仿宋_GB2312" w:eastAsia="仿宋_GB2312"/>
                <w:sz w:val="24"/>
              </w:rPr>
              <w:t>及运营情况</w:t>
            </w:r>
          </w:p>
          <w:p>
            <w:pPr>
              <w:pStyle w:val="null3"/>
              <w:ind w:firstLine="480"/>
              <w:jc w:val="both"/>
            </w:pPr>
            <w:r>
              <w:rPr>
                <w:rFonts w:ascii="仿宋_GB2312" w:hAnsi="仿宋_GB2312" w:cs="仿宋_GB2312" w:eastAsia="仿宋_GB2312"/>
                <w:sz w:val="24"/>
              </w:rPr>
              <w:t>1、开元路（正阳路-鸿基东路）宽24米，长度627.1米，于2018年建成通车。</w:t>
            </w:r>
          </w:p>
          <w:p>
            <w:pPr>
              <w:pStyle w:val="null3"/>
              <w:ind w:firstLine="480"/>
              <w:jc w:val="both"/>
            </w:pPr>
            <w:r>
              <w:rPr>
                <w:rFonts w:ascii="仿宋_GB2312" w:hAnsi="仿宋_GB2312" w:cs="仿宋_GB2312" w:eastAsia="仿宋_GB2312"/>
                <w:sz w:val="24"/>
              </w:rPr>
              <w:t>2、恒春东路（东环路-规划路）宽30米，长度395米，于2019年建成通车。</w:t>
            </w:r>
          </w:p>
          <w:p>
            <w:pPr>
              <w:pStyle w:val="null3"/>
              <w:ind w:firstLine="480"/>
              <w:jc w:val="both"/>
            </w:pPr>
            <w:r>
              <w:rPr>
                <w:rFonts w:ascii="仿宋_GB2312" w:hAnsi="仿宋_GB2312" w:cs="仿宋_GB2312" w:eastAsia="仿宋_GB2312"/>
                <w:sz w:val="24"/>
              </w:rPr>
              <w:t>3、长兴路北段（华原西道-朝阳路）宽24米，长度685米，于2019年建成通车；长兴路南段（朝阳路-鸿基西路）宽24米，长度667.71米，于2022年建成通车。</w:t>
            </w:r>
          </w:p>
          <w:p>
            <w:pPr>
              <w:pStyle w:val="null3"/>
              <w:ind w:firstLine="480"/>
              <w:jc w:val="both"/>
            </w:pPr>
            <w:r>
              <w:rPr>
                <w:rFonts w:ascii="仿宋_GB2312" w:hAnsi="仿宋_GB2312" w:cs="仿宋_GB2312" w:eastAsia="仿宋_GB2312"/>
                <w:sz w:val="24"/>
              </w:rPr>
              <w:t>4、金泰路（长虹南路-华夏南道）宽24米，长964.36米，按照上级规划调整要求，在完成地下排水管网、电力通讯管沟、路床建设后进行了甩项验收。</w:t>
            </w:r>
          </w:p>
          <w:p>
            <w:pPr>
              <w:pStyle w:val="null3"/>
              <w:ind w:firstLine="480"/>
              <w:jc w:val="both"/>
            </w:pPr>
            <w:r>
              <w:rPr>
                <w:rFonts w:ascii="仿宋_GB2312" w:hAnsi="仿宋_GB2312" w:cs="仿宋_GB2312" w:eastAsia="仿宋_GB2312"/>
                <w:sz w:val="24"/>
              </w:rPr>
              <w:t>5、西北环线（华原西道-华夏南道）道路宽63米，长4918.06米，其中华原西道至平新村约2583米道路已建成；平新至上高埝段正在进行雨污水管网施工，上高埝至华夏北道段由于征迁问题双方签订补充协议约定甩项。</w:t>
            </w:r>
          </w:p>
          <w:p>
            <w:pPr>
              <w:pStyle w:val="null3"/>
              <w:ind w:firstLine="480"/>
              <w:jc w:val="both"/>
            </w:pPr>
            <w:r>
              <w:rPr>
                <w:rFonts w:ascii="仿宋_GB2312" w:hAnsi="仿宋_GB2312" w:cs="仿宋_GB2312" w:eastAsia="仿宋_GB2312"/>
                <w:sz w:val="24"/>
              </w:rPr>
              <w:t>6、西北环线（华原西道-华夏南道）</w:t>
            </w:r>
            <w:r>
              <w:rPr>
                <w:rFonts w:ascii="仿宋_GB2312" w:hAnsi="仿宋_GB2312" w:cs="仿宋_GB2312" w:eastAsia="仿宋_GB2312"/>
                <w:sz w:val="24"/>
              </w:rPr>
              <w:t>管廊长</w:t>
            </w:r>
            <w:r>
              <w:rPr>
                <w:rFonts w:ascii="仿宋_GB2312" w:hAnsi="仿宋_GB2312" w:cs="仿宋_GB2312" w:eastAsia="仿宋_GB2312"/>
                <w:sz w:val="24"/>
              </w:rPr>
              <w:t>5098.61米，</w:t>
            </w:r>
            <w:r>
              <w:rPr>
                <w:rFonts w:ascii="仿宋_GB2312" w:hAnsi="仿宋_GB2312" w:cs="仿宋_GB2312" w:eastAsia="仿宋_GB2312"/>
                <w:sz w:val="24"/>
              </w:rPr>
              <w:t>建成后电力、通讯、给水、中水、热力管线可入廊</w:t>
            </w:r>
            <w:r>
              <w:rPr>
                <w:rFonts w:ascii="仿宋_GB2312" w:hAnsi="仿宋_GB2312" w:cs="仿宋_GB2312" w:eastAsia="仿宋_GB2312"/>
                <w:sz w:val="24"/>
              </w:rPr>
              <w:t>。</w:t>
            </w:r>
            <w:r>
              <w:rPr>
                <w:rFonts w:ascii="仿宋_GB2312" w:hAnsi="仿宋_GB2312" w:cs="仿宋_GB2312" w:eastAsia="仿宋_GB2312"/>
                <w:sz w:val="24"/>
              </w:rPr>
              <w:t>其中</w:t>
            </w:r>
            <w:r>
              <w:rPr>
                <w:rFonts w:ascii="仿宋_GB2312" w:hAnsi="仿宋_GB2312" w:cs="仿宋_GB2312" w:eastAsia="仿宋_GB2312"/>
                <w:sz w:val="24"/>
              </w:rPr>
              <w:t>华原西道至平新村约</w:t>
            </w:r>
            <w:r>
              <w:rPr>
                <w:rFonts w:ascii="仿宋_GB2312" w:hAnsi="仿宋_GB2312" w:cs="仿宋_GB2312" w:eastAsia="仿宋_GB2312"/>
                <w:sz w:val="24"/>
              </w:rPr>
              <w:t>2.5456公里地下综合管廊已主体建成，平新至上高埝段处于主体结构施工中（目前处于停工状态）。</w:t>
            </w:r>
          </w:p>
          <w:p>
            <w:pPr>
              <w:pStyle w:val="null3"/>
              <w:ind w:firstLine="480"/>
              <w:jc w:val="both"/>
            </w:pPr>
            <w:r>
              <w:rPr>
                <w:rFonts w:ascii="仿宋_GB2312" w:hAnsi="仿宋_GB2312" w:cs="仿宋_GB2312" w:eastAsia="仿宋_GB2312"/>
                <w:sz w:val="24"/>
              </w:rPr>
              <w:t>二、服务内容</w:t>
            </w:r>
          </w:p>
          <w:p>
            <w:pPr>
              <w:pStyle w:val="null3"/>
              <w:ind w:firstLine="480"/>
              <w:jc w:val="both"/>
            </w:pPr>
            <w:r>
              <w:rPr>
                <w:rFonts w:ascii="仿宋_GB2312" w:hAnsi="仿宋_GB2312" w:cs="仿宋_GB2312" w:eastAsia="仿宋_GB2312"/>
                <w:sz w:val="24"/>
              </w:rPr>
              <w:t>1、分析项目建设运营的困难和问题，提出调整项目投资和运营内容的建议，确定新的PPP 项目边界。</w:t>
            </w:r>
          </w:p>
          <w:p>
            <w:pPr>
              <w:pStyle w:val="null3"/>
              <w:ind w:firstLine="480"/>
              <w:jc w:val="both"/>
            </w:pPr>
            <w:r>
              <w:rPr>
                <w:rFonts w:ascii="仿宋_GB2312" w:hAnsi="仿宋_GB2312" w:cs="仿宋_GB2312" w:eastAsia="仿宋_GB2312"/>
                <w:sz w:val="24"/>
              </w:rPr>
              <w:t>2、协助实施机构按照PPP项目合同约定的调价机制及新的PPP项目边界，对政府付费额度进行系统调整，并配合实施机构做好项目付费审核工作，出具审核意见。</w:t>
            </w:r>
          </w:p>
          <w:p>
            <w:pPr>
              <w:pStyle w:val="null3"/>
              <w:ind w:firstLine="480"/>
              <w:jc w:val="both"/>
            </w:pPr>
            <w:r>
              <w:rPr>
                <w:rFonts w:ascii="仿宋_GB2312" w:hAnsi="仿宋_GB2312" w:cs="仿宋_GB2312" w:eastAsia="仿宋_GB2312"/>
                <w:sz w:val="24"/>
              </w:rPr>
              <w:t>3、协助开展PPP合同履约存在问题相关事项谈判、解决方案出具及补充协议审核、拟定、谈判等监管咨询服务，并出具咨询建议书。</w:t>
            </w:r>
          </w:p>
          <w:p>
            <w:pPr>
              <w:pStyle w:val="null3"/>
              <w:ind w:firstLine="480"/>
              <w:jc w:val="both"/>
            </w:pPr>
            <w:r>
              <w:rPr>
                <w:rFonts w:ascii="仿宋_GB2312" w:hAnsi="仿宋_GB2312" w:cs="仿宋_GB2312" w:eastAsia="仿宋_GB2312"/>
                <w:sz w:val="24"/>
              </w:rPr>
              <w:t>4、根据委托方要求，对项目公司和社会资本等来函文件提供咨询意见。</w:t>
            </w:r>
          </w:p>
          <w:p>
            <w:pPr>
              <w:pStyle w:val="null3"/>
              <w:ind w:firstLine="480"/>
              <w:jc w:val="both"/>
            </w:pPr>
            <w:r>
              <w:rPr>
                <w:rFonts w:ascii="仿宋_GB2312" w:hAnsi="仿宋_GB2312" w:cs="仿宋_GB2312" w:eastAsia="仿宋_GB2312"/>
                <w:sz w:val="24"/>
              </w:rPr>
              <w:t>5、协助实施机构管理、监控项目建设运营中的风险，适时提出风险防控的建议。</w:t>
            </w:r>
          </w:p>
          <w:p>
            <w:pPr>
              <w:pStyle w:val="null3"/>
              <w:ind w:firstLine="480"/>
              <w:jc w:val="both"/>
            </w:pPr>
            <w:r>
              <w:rPr>
                <w:rFonts w:ascii="仿宋_GB2312" w:hAnsi="仿宋_GB2312" w:cs="仿宋_GB2312" w:eastAsia="仿宋_GB2312"/>
                <w:sz w:val="24"/>
              </w:rPr>
              <w:t>6、协助实施机构应对中省市各级PPP主管部门就项目实施情况组织的各项调研、检查工作及整改工作。</w:t>
            </w:r>
          </w:p>
          <w:p>
            <w:pPr>
              <w:pStyle w:val="null3"/>
              <w:ind w:firstLine="480"/>
              <w:jc w:val="both"/>
            </w:pPr>
            <w:r>
              <w:rPr>
                <w:rFonts w:ascii="仿宋_GB2312" w:hAnsi="仿宋_GB2312" w:cs="仿宋_GB2312" w:eastAsia="仿宋_GB2312"/>
                <w:sz w:val="24"/>
              </w:rPr>
              <w:t>7、协助处理与PPP项目实施有关的日常事务、就相关事务的处理提出咨询意见。</w:t>
            </w:r>
          </w:p>
          <w:p>
            <w:pPr>
              <w:pStyle w:val="null3"/>
              <w:ind w:firstLine="480"/>
              <w:jc w:val="both"/>
            </w:pPr>
            <w:r>
              <w:rPr>
                <w:rFonts w:ascii="仿宋_GB2312" w:hAnsi="仿宋_GB2312" w:cs="仿宋_GB2312" w:eastAsia="仿宋_GB2312"/>
                <w:sz w:val="24"/>
              </w:rPr>
              <w:t>8、按照实施机构要求，协助开展运营项目的绩效管理、付费审核等按效付费相关工作。</w:t>
            </w:r>
          </w:p>
          <w:p>
            <w:pPr>
              <w:pStyle w:val="null3"/>
              <w:ind w:firstLine="480"/>
              <w:jc w:val="both"/>
            </w:pPr>
            <w:r>
              <w:rPr>
                <w:rFonts w:ascii="仿宋_GB2312" w:hAnsi="仿宋_GB2312" w:cs="仿宋_GB2312" w:eastAsia="仿宋_GB2312"/>
                <w:sz w:val="24"/>
              </w:rPr>
              <w:t>三、项目预期目标</w:t>
            </w:r>
          </w:p>
          <w:p>
            <w:pPr>
              <w:pStyle w:val="null3"/>
              <w:ind w:firstLine="480"/>
            </w:pPr>
            <w:r>
              <w:rPr>
                <w:rFonts w:ascii="仿宋_GB2312" w:hAnsi="仿宋_GB2312" w:cs="仿宋_GB2312" w:eastAsia="仿宋_GB2312"/>
                <w:sz w:val="24"/>
              </w:rPr>
              <w:t>调整项目建设运营内容，明确项目边界；完善考核付费机制，消除履约纠纷风险，依据政策文件有效降低财政付费金额。</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至少包括：项目总负责人、一名财务、一名法务</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按需配备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完成项目咨询服务内容</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验收标准：参照《财政部关于进一步加强政府采购需求和履约验收管理的指导意见》(财库(2016) 205号)。 验收方法：自行组织项目验收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进度款，签署合同后10个工作日内，达到付款条件起10个工作日内，支付合同总金额的20.0%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进度款，提交优化调整实施方案后，达到付款条件起10个工作日内，支付合同总金额的40.0%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进度款，签订项目补充协议后，达到付款条件起10个工作日内，支付合同总金额的40.0%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以双方最终签订合同条款为准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为顺利推进政府采购电子化交易平台应用工作，供应商需要在线提交所有通过电子化交易平台实施的政府采购项目的竞争性磋商响应文件，同时，于开标前线下提交生成带电子签章的竞争性磋商响应文件纸质版至 陕西省铜川市耀州区陕西省铜川市新区朝阳路鸿翔逸境1号楼1-4层商业区三楼304室，响应文件正本一份，副本一份。竞争性磋商响应文件纸质版正本、副本一同密封，且在封袋正面标明“竞争性磋商响应文件纸质版”字样。封袋应加贴封条，并在封线处加盖供应商公章，封袋正面要粘贴供应商全称、项目名称、编号等标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承担⺠事责任能⼒的法⼈、其他组织或⾃然⼈并出具合法有效的营业执照或事业单位法⼈证书等国家规定的相关证明，⾃然⼈参与的提供其⾝份证明。供应商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法定代表⼈直接参加投标的，须出具法⼈⾝份证，并与营业执照上信息⼀致；法定代表⼈授权代表参加投标的，须出具法定代表⼈授权书及授权代表⾝份证；</w:t>
            </w:r>
          </w:p>
        </w:tc>
        <w:tc>
          <w:tcPr>
            <w:tcW w:type="dxa" w:w="1661"/>
          </w:tcPr>
          <w:p>
            <w:pPr>
              <w:pStyle w:val="null3"/>
            </w:pPr>
            <w:r>
              <w:rPr>
                <w:rFonts w:ascii="仿宋_GB2312" w:hAnsi="仿宋_GB2312" w:cs="仿宋_GB2312" w:eastAsia="仿宋_GB2312"/>
              </w:rPr>
              <w:t>法定代表人身份证明书.docx 供应商应提交的相关资格证明材料 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1）或提供（2）：（1）提供2024年度⾄2025年度任意⼀年财务报告复印件，应满⾜以下要求：①供应商是企业的，财务报告是指经会计师事务所审计的上述指定年度整个会计年度财务报表（须提供会计师事务所出具的审计报告复印件）,复印件⾄少须包括报告正⽂、资产负债表、现⾦流量表、利润表、附注和会计师事务所营业执照。②供应商适⽤《事业单位会计准则》的，财务报告是指上述指定年度整个会计年度财务报表（不要求必须是经审计的），复印件⾄少须包括资产负债表、收⼊⽀出表（或收⼊费⽤表）、财政补助收⼊⽀出表。③供应商适⽤《政府会计准则》的，财务报告是指上述指定年度整个会计年度财务报表（不要求必须是经审计的），复印件⾄少须包括资产负债表、收⼊费⽤表。④供应商适⽤《⺠间⾮营利组织会计制度》的，财务报告是指上述指定年度整个会计年度财务报表（不要求必须是经审计的），复印件⾄少须包括资产负债表、业务活动表、现⾦流量表。⑤供应商是上述四种情况以外情况的，按照其依法适⽤的会计制度、财务规则或会计准则提供财务报表复印件（不要求必须是经审计的）。（2）提供资信证明原件或复印件，应满⾜以下要求：①资信证明须为递交响应⽂件截⽌时间前三个⽉内由供应商基本账⼾开⼾银⾏出具。②⽆论开具银⾏是否标明“复印⽆效”，供应商提供的复印件在本次投标中予以认可（即不因“复印⽆效”字样⽽认定资信证明复印件⽆效）。③银⾏出具的存款证明不能替代银⾏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提供2026年1⽉⾄今任意⼀个⽉的依法缴纳税收的相关凭据（时间以税款所属⽇期为准），凭据应有税务机关或代收机关的公章或业务专⽤章。依法免税或⽆须缴纳税收的供应商，应提供相应证明⽂件；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提供2026年1⽉⾄今任意⼀个⽉的社会保障资⾦缴存单据或社保机构开具的社会保险参保缴费情况证明。依法不需要缴纳社会保障资⾦的供应商，应提供相关证明⽂件；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供应商不得为“信⽤中国”⽹站（www.creditchina.gov.cn）中列⼊失信被执⾏⼈和重⼤税收违法失信主体名单的供应商，不得为中国政府采购⽹（www.ccgp.go 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设备和专业技术能⼒承诺</w:t>
            </w:r>
          </w:p>
        </w:tc>
        <w:tc>
          <w:tcPr>
            <w:tcW w:type="dxa" w:w="3322"/>
          </w:tcPr>
          <w:p>
            <w:pPr>
              <w:pStyle w:val="null3"/>
            </w:pPr>
            <w:r>
              <w:rPr>
                <w:rFonts w:ascii="仿宋_GB2312" w:hAnsi="仿宋_GB2312" w:cs="仿宋_GB2312" w:eastAsia="仿宋_GB2312"/>
              </w:rPr>
              <w:t>具有履⾏合同所必需的设备和专业技术能⼒，提供证明材料或书⾯承诺并加盖公章；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⽆重⼤违法记录声明</w:t>
            </w:r>
          </w:p>
        </w:tc>
        <w:tc>
          <w:tcPr>
            <w:tcW w:type="dxa" w:w="3322"/>
          </w:tcPr>
          <w:p>
            <w:pPr>
              <w:pStyle w:val="null3"/>
            </w:pPr>
            <w:r>
              <w:rPr>
                <w:rFonts w:ascii="仿宋_GB2312" w:hAnsi="仿宋_GB2312" w:cs="仿宋_GB2312" w:eastAsia="仿宋_GB2312"/>
              </w:rPr>
              <w:t>供应商在近三年经营活动中没有重⼤违法记录的声明；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若供应商为联合体须提供联合体协议书，且联合体各方均应当具备本磋商文件要求的资格条件和能力（分别提供上述资格要求）。联合体各方均应具有承担本项目必备的条件，如相应的人力、物力、资金等。</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响应文件格式及签字盖章</w:t>
            </w:r>
          </w:p>
        </w:tc>
        <w:tc>
          <w:tcPr>
            <w:tcW w:type="dxa" w:w="3322"/>
          </w:tcPr>
          <w:p>
            <w:pPr>
              <w:pStyle w:val="null3"/>
            </w:pPr>
            <w:r>
              <w:rPr>
                <w:rFonts w:ascii="仿宋_GB2312" w:hAnsi="仿宋_GB2312" w:cs="仿宋_GB2312" w:eastAsia="仿宋_GB2312"/>
              </w:rPr>
              <w:t>完全满足磋商文件签字盖章格式要求</w:t>
            </w:r>
          </w:p>
        </w:tc>
        <w:tc>
          <w:tcPr>
            <w:tcW w:type="dxa" w:w="1661"/>
          </w:tcPr>
          <w:p>
            <w:pPr>
              <w:pStyle w:val="null3"/>
            </w:pPr>
            <w:r>
              <w:rPr>
                <w:rFonts w:ascii="仿宋_GB2312" w:hAnsi="仿宋_GB2312" w:cs="仿宋_GB2312" w:eastAsia="仿宋_GB2312"/>
              </w:rPr>
              <w:t>业绩一览表.docx 中小企业声明函 商务应答表 供应商应提交的相关资格证明材料 服务内容及服务要求应答表 报价表 响应文件封面 法定代表人身份证明书.docx 残疾人福利性单位声明函 服务方案 标的清单 响应函 法定代表人授权委托书.docx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不论其大写或小写金额均只能有一个有效报价，且未超过最高限价。</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项目难点与需求的理解</w:t>
            </w:r>
          </w:p>
        </w:tc>
        <w:tc>
          <w:tcPr>
            <w:tcW w:type="dxa" w:w="2492"/>
          </w:tcPr>
          <w:p>
            <w:pPr>
              <w:pStyle w:val="null3"/>
            </w:pPr>
            <w:r>
              <w:rPr>
                <w:rFonts w:ascii="仿宋_GB2312" w:hAnsi="仿宋_GB2312" w:cs="仿宋_GB2312" w:eastAsia="仿宋_GB2312"/>
              </w:rPr>
              <w:t>结合本项目基本情况，分析本项目执行阶段咨询服务的重点、难点以及存在的问题。 具体从①项目背景②政策法规依据③重点难点问题④解决思路等方面进行分析。 以上内容专门针对本项目，且符合本项目实际需求的得20分，每缺一项扣5分，若上述内容存在瑕疵，每出现1项瑕疵扣1分，扣完为止。注：“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咨询工作方案</w:t>
            </w:r>
          </w:p>
        </w:tc>
        <w:tc>
          <w:tcPr>
            <w:tcW w:type="dxa" w:w="2492"/>
          </w:tcPr>
          <w:p>
            <w:pPr>
              <w:pStyle w:val="null3"/>
            </w:pPr>
            <w:r>
              <w:rPr>
                <w:rFonts w:ascii="仿宋_GB2312" w:hAnsi="仿宋_GB2312" w:cs="仿宋_GB2312" w:eastAsia="仿宋_GB2312"/>
              </w:rPr>
              <w:t>针对磋商文件所列服务内容提出的①具体工作方法②技术路线③初步方案④补充协议核心要点。 以上内容专门针对本项目，且符合本项目实际需求的得14分，每缺一项扣3.5分，若上述内容存在瑕疵，每出现1项瑕疵扣1分，扣完为止。注：“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咨询工作进度</w:t>
            </w:r>
          </w:p>
        </w:tc>
        <w:tc>
          <w:tcPr>
            <w:tcW w:type="dxa" w:w="2492"/>
          </w:tcPr>
          <w:p>
            <w:pPr>
              <w:pStyle w:val="null3"/>
            </w:pPr>
            <w:r>
              <w:rPr>
                <w:rFonts w:ascii="仿宋_GB2312" w:hAnsi="仿宋_GB2312" w:cs="仿宋_GB2312" w:eastAsia="仿宋_GB2312"/>
              </w:rPr>
              <w:t>有清晰的进度计划表，重点考察①计划编排的科学性②关键节点控制的严谨性③应对风险的弹性④保障计划落实的资源与机制有效性⑤满足项目进度要求。以上进度计划应适用本项目实际要求得5分；每缺一项扣1分，若上述内容存在瑕疵，每出现1项瑕疵扣0.5分，扣完为止。注：“瑕疵”指内容明显错误，或内容不完整或缺少关键节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1、团队配置情况（10分）：提供财务人员1名得2分、法律核心专业人员1名得2分，其他专业人员等根据项目情况酌情配备每提供1人加2分，最多加6分。（提供人员身份证，学历证、从业证或资格证等相关证明资料） 2、项目总负责人咨询工作经验（6分）：为资深专业人员，拥有丰富的PPP项目咨询经验，主持过PPP项目全流程咨询，每提供一项得1分，最高得3分；主持PPP项目监管考核（含政府监管或绩效评价或费用测算或中期评估或专项整改优化等）咨询，每提供一项得1.5分，最高得3分。（提供项目总负责人身份证、学历证、从业证或资格证等，证明材料能体现主持人姓名的服务合同或合法有效的成果文件原件扫描件加盖公章。</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服务质量与进度保障：①有具体、可行的质量控制流程②内部审核机制③进度保障措施④对成果汇报及按时交付⑤职业操守承诺。每提供1条得1分，最高得5分。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PPP类或特许经营项目咨询业绩</w:t>
            </w:r>
          </w:p>
        </w:tc>
        <w:tc>
          <w:tcPr>
            <w:tcW w:type="dxa" w:w="2492"/>
          </w:tcPr>
          <w:p>
            <w:pPr>
              <w:pStyle w:val="null3"/>
            </w:pPr>
            <w:r>
              <w:rPr>
                <w:rFonts w:ascii="仿宋_GB2312" w:hAnsi="仿宋_GB2312" w:cs="仿宋_GB2312" w:eastAsia="仿宋_GB2312"/>
              </w:rPr>
              <w:t>近五年承担的PPP类或特许经营项目咨询服务业绩，每提供一项得 2分，最高得10 分。证明材料须提供服务合同或中标通知书原件扫描件加盖公章。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PPP类或特许经营项目监管考核类咨询服务业绩</w:t>
            </w:r>
          </w:p>
        </w:tc>
        <w:tc>
          <w:tcPr>
            <w:tcW w:type="dxa" w:w="2492"/>
          </w:tcPr>
          <w:p>
            <w:pPr>
              <w:pStyle w:val="null3"/>
            </w:pPr>
            <w:r>
              <w:rPr>
                <w:rFonts w:ascii="仿宋_GB2312" w:hAnsi="仿宋_GB2312" w:cs="仿宋_GB2312" w:eastAsia="仿宋_GB2312"/>
              </w:rPr>
              <w:t>近五年承担的PPP类或特许经营项目的监管考核（含PPP项目中期评估、政府监管或绩效评价或费用测算或中期评估或专项整改优化等）业绩，每提供一项得 2 分，最高得 10 分。证明材料须提供服务合同或中标通知书原件扫描件加盖公章。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价格分采用低价优先法计算，即满足磋商文件要求且响应报价最低的响应报价为评标基准价，其价格分为满分。其他投标单位的价格分统一按照下列公式计算：磋商报价=（评标基准价/响应报价）×价格权值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