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585E0">
      <w:pPr>
        <w:keepNext w:val="0"/>
        <w:keepLines w:val="0"/>
        <w:pageBreakBefore w:val="0"/>
        <w:widowControl w:val="0"/>
        <w:kinsoku/>
        <w:wordWrap/>
        <w:overflowPunct/>
        <w:topLinePunct w:val="0"/>
        <w:autoSpaceDE/>
        <w:autoSpaceDN/>
        <w:bidi w:val="0"/>
        <w:adjustRightInd/>
        <w:snapToGrid/>
        <w:spacing w:before="1093" w:beforeLines="350" w:line="240" w:lineRule="auto"/>
        <w:ind w:left="0" w:leftChars="0" w:firstLine="0" w:firstLineChars="0"/>
        <w:jc w:val="center"/>
        <w:textAlignment w:val="auto"/>
        <w:rPr>
          <w:rFonts w:hint="eastAsia" w:ascii="宋体" w:hAnsi="宋体" w:eastAsia="宋体" w:cs="宋体"/>
          <w:b/>
          <w:bCs/>
          <w:sz w:val="52"/>
          <w:szCs w:val="52"/>
        </w:rPr>
      </w:pPr>
      <w:r>
        <w:rPr>
          <w:rFonts w:hint="eastAsia" w:ascii="宋体" w:hAnsi="宋体" w:eastAsia="宋体" w:cs="宋体"/>
          <w:b/>
          <w:bCs/>
          <w:sz w:val="52"/>
          <w:szCs w:val="52"/>
        </w:rPr>
        <w:t>铜川市新区地下综合管廊整体打包PPP项目管理咨询服务</w:t>
      </w:r>
    </w:p>
    <w:p w14:paraId="08A39F22">
      <w:pPr>
        <w:pStyle w:val="2"/>
        <w:rPr>
          <w:rFonts w:hint="eastAsia"/>
          <w:lang w:val="en-US" w:eastAsia="zh-CN"/>
        </w:rPr>
      </w:pPr>
    </w:p>
    <w:p w14:paraId="0A7A4474">
      <w:pPr>
        <w:keepNext w:val="0"/>
        <w:keepLines w:val="0"/>
        <w:pageBreakBefore w:val="0"/>
        <w:widowControl w:val="0"/>
        <w:kinsoku/>
        <w:wordWrap/>
        <w:overflowPunct/>
        <w:topLinePunct w:val="0"/>
        <w:autoSpaceDE/>
        <w:autoSpaceDN/>
        <w:bidi w:val="0"/>
        <w:adjustRightInd/>
        <w:snapToGrid/>
        <w:spacing w:line="240" w:lineRule="auto"/>
        <w:ind w:left="3101" w:leftChars="100" w:hanging="2891" w:hangingChars="400"/>
        <w:jc w:val="center"/>
        <w:textAlignment w:val="auto"/>
        <w:rPr>
          <w:rFonts w:hint="eastAsia" w:ascii="宋体" w:hAnsi="宋体" w:eastAsia="宋体" w:cs="宋体"/>
          <w:b/>
          <w:bCs/>
          <w:color w:val="000000"/>
          <w:sz w:val="72"/>
          <w:szCs w:val="72"/>
        </w:rPr>
      </w:pPr>
    </w:p>
    <w:p w14:paraId="78EAFC44">
      <w:pPr>
        <w:keepNext w:val="0"/>
        <w:keepLines w:val="0"/>
        <w:pageBreakBefore w:val="0"/>
        <w:widowControl w:val="0"/>
        <w:kinsoku/>
        <w:wordWrap/>
        <w:overflowPunct/>
        <w:topLinePunct w:val="0"/>
        <w:autoSpaceDE/>
        <w:autoSpaceDN/>
        <w:bidi w:val="0"/>
        <w:adjustRightInd/>
        <w:snapToGrid/>
        <w:spacing w:line="240" w:lineRule="auto"/>
        <w:ind w:left="3101" w:leftChars="100" w:hanging="2891" w:hangingChars="400"/>
        <w:jc w:val="center"/>
        <w:textAlignment w:val="auto"/>
        <w:rPr>
          <w:rFonts w:hint="eastAsia" w:ascii="宋体" w:hAnsi="宋体" w:eastAsia="宋体" w:cs="宋体"/>
          <w:b/>
          <w:bCs/>
          <w:color w:val="000000"/>
          <w:sz w:val="72"/>
          <w:szCs w:val="72"/>
        </w:rPr>
      </w:pPr>
      <w:r>
        <w:rPr>
          <w:rFonts w:hint="eastAsia" w:ascii="宋体" w:hAnsi="宋体" w:eastAsia="宋体" w:cs="宋体"/>
          <w:b/>
          <w:bCs/>
          <w:color w:val="000000"/>
          <w:sz w:val="72"/>
          <w:szCs w:val="72"/>
        </w:rPr>
        <w:t>咨询服务协议</w:t>
      </w:r>
    </w:p>
    <w:p w14:paraId="5503AC53">
      <w:pPr>
        <w:pStyle w:val="2"/>
        <w:rPr>
          <w:rFonts w:hint="eastAsia" w:ascii="宋体" w:hAnsi="宋体" w:eastAsia="宋体" w:cs="宋体"/>
          <w:b/>
          <w:bCs/>
          <w:color w:val="000000"/>
          <w:sz w:val="40"/>
          <w:szCs w:val="40"/>
        </w:rPr>
      </w:pPr>
    </w:p>
    <w:p w14:paraId="2324D945">
      <w:pPr>
        <w:rPr>
          <w:rFonts w:hint="eastAsia" w:ascii="宋体" w:hAnsi="宋体" w:eastAsia="宋体" w:cs="宋体"/>
          <w:b/>
          <w:bCs/>
          <w:color w:val="000000"/>
          <w:sz w:val="40"/>
          <w:szCs w:val="40"/>
        </w:rPr>
      </w:pPr>
    </w:p>
    <w:p w14:paraId="3E5C9480">
      <w:pPr>
        <w:pStyle w:val="2"/>
        <w:rPr>
          <w:rFonts w:hint="eastAsia" w:ascii="宋体" w:hAnsi="宋体" w:eastAsia="宋体" w:cs="宋体"/>
          <w:b/>
          <w:bCs/>
          <w:color w:val="000000"/>
          <w:sz w:val="40"/>
          <w:szCs w:val="40"/>
        </w:rPr>
      </w:pPr>
    </w:p>
    <w:p w14:paraId="0E598EC5">
      <w:pPr>
        <w:rPr>
          <w:rFonts w:hint="eastAsia" w:ascii="宋体" w:hAnsi="宋体" w:eastAsia="宋体" w:cs="宋体"/>
          <w:b/>
          <w:bCs/>
          <w:color w:val="000000"/>
          <w:sz w:val="40"/>
          <w:szCs w:val="40"/>
        </w:rPr>
      </w:pPr>
    </w:p>
    <w:p w14:paraId="21D06E46">
      <w:pPr>
        <w:pStyle w:val="2"/>
        <w:rPr>
          <w:rFonts w:hint="eastAsia" w:ascii="宋体" w:hAnsi="宋体" w:eastAsia="宋体" w:cs="宋体"/>
          <w:b/>
          <w:bCs/>
          <w:color w:val="000000"/>
          <w:sz w:val="40"/>
          <w:szCs w:val="40"/>
        </w:rPr>
      </w:pPr>
    </w:p>
    <w:p w14:paraId="72334B57">
      <w:pPr>
        <w:rPr>
          <w:rFonts w:hint="eastAsia"/>
        </w:rPr>
      </w:pPr>
    </w:p>
    <w:p w14:paraId="5384AC5D">
      <w:pPr>
        <w:pStyle w:val="2"/>
        <w:rPr>
          <w:rFonts w:hint="eastAsia"/>
        </w:rPr>
      </w:pPr>
    </w:p>
    <w:p w14:paraId="7A947F14">
      <w:pPr>
        <w:rPr>
          <w:rFonts w:hint="eastAsia"/>
        </w:rPr>
      </w:pPr>
    </w:p>
    <w:p w14:paraId="414272C7">
      <w:pPr>
        <w:pStyle w:val="2"/>
        <w:rPr>
          <w:rFonts w:hint="eastAsia"/>
        </w:rPr>
      </w:pPr>
    </w:p>
    <w:p w14:paraId="2059A2E0">
      <w:pPr>
        <w:pStyle w:val="2"/>
        <w:rPr>
          <w:rFonts w:hint="eastAsia" w:ascii="宋体" w:hAnsi="宋体" w:eastAsia="宋体" w:cs="宋体"/>
          <w:b/>
          <w:color w:val="auto"/>
          <w:kern w:val="0"/>
          <w:sz w:val="24"/>
          <w:szCs w:val="24"/>
          <w:lang w:val="en-US" w:eastAsia="zh-CN" w:bidi="ar-SA"/>
        </w:rPr>
      </w:pPr>
    </w:p>
    <w:p w14:paraId="324F15B3">
      <w:pPr>
        <w:keepNext w:val="0"/>
        <w:keepLines w:val="0"/>
        <w:pageBreakBefore w:val="0"/>
        <w:widowControl w:val="0"/>
        <w:kinsoku/>
        <w:wordWrap/>
        <w:overflowPunct/>
        <w:topLinePunct w:val="0"/>
        <w:autoSpaceDE/>
        <w:autoSpaceDN/>
        <w:bidi w:val="0"/>
        <w:adjustRightInd w:val="0"/>
        <w:snapToGrid w:val="0"/>
        <w:spacing w:line="240" w:lineRule="auto"/>
        <w:ind w:firstLine="1084" w:firstLineChars="300"/>
        <w:textAlignment w:val="auto"/>
        <w:rPr>
          <w:rFonts w:hint="eastAsia" w:ascii="宋体" w:hAnsi="宋体" w:eastAsia="宋体" w:cs="宋体"/>
          <w:b/>
          <w:color w:val="auto"/>
          <w:kern w:val="0"/>
          <w:sz w:val="36"/>
          <w:szCs w:val="36"/>
          <w:lang w:val="en-US" w:eastAsia="zh-CN" w:bidi="ar-SA"/>
        </w:rPr>
      </w:pPr>
      <w:r>
        <w:rPr>
          <w:rFonts w:hint="eastAsia" w:ascii="宋体" w:hAnsi="宋体" w:eastAsia="宋体" w:cs="宋体"/>
          <w:b/>
          <w:color w:val="auto"/>
          <w:kern w:val="0"/>
          <w:sz w:val="36"/>
          <w:szCs w:val="36"/>
          <w:lang w:val="en-US" w:eastAsia="zh-CN" w:bidi="ar-SA"/>
        </w:rPr>
        <w:t>委托方：</w:t>
      </w:r>
      <w:r>
        <w:rPr>
          <w:rFonts w:hint="eastAsia" w:ascii="宋体" w:hAnsi="宋体" w:eastAsia="宋体" w:cs="宋体"/>
          <w:b/>
          <w:color w:val="auto"/>
          <w:spacing w:val="-6"/>
          <w:w w:val="95"/>
          <w:kern w:val="0"/>
          <w:sz w:val="36"/>
          <w:szCs w:val="36"/>
          <w:lang w:val="en-US" w:eastAsia="zh-CN" w:bidi="ar-SA"/>
        </w:rPr>
        <w:t>铜川市新区住房建设和交通运输局</w:t>
      </w:r>
    </w:p>
    <w:p w14:paraId="7E14312F">
      <w:pPr>
        <w:keepNext w:val="0"/>
        <w:keepLines w:val="0"/>
        <w:pageBreakBefore w:val="0"/>
        <w:widowControl w:val="0"/>
        <w:kinsoku/>
        <w:wordWrap/>
        <w:overflowPunct/>
        <w:topLinePunct w:val="0"/>
        <w:autoSpaceDE/>
        <w:autoSpaceDN/>
        <w:bidi w:val="0"/>
        <w:spacing w:line="240" w:lineRule="auto"/>
        <w:ind w:firstLine="1084" w:firstLineChars="300"/>
        <w:textAlignment w:val="auto"/>
        <w:rPr>
          <w:rFonts w:hint="default" w:ascii="宋体" w:hAnsi="宋体" w:eastAsia="宋体" w:cs="宋体"/>
          <w:b/>
          <w:color w:val="auto"/>
          <w:kern w:val="0"/>
          <w:sz w:val="36"/>
          <w:szCs w:val="36"/>
          <w:lang w:val="en-US" w:eastAsia="zh-CN" w:bidi="ar-SA"/>
        </w:rPr>
      </w:pPr>
      <w:r>
        <w:rPr>
          <w:rFonts w:hint="eastAsia" w:ascii="宋体" w:hAnsi="宋体" w:eastAsia="宋体" w:cs="宋体"/>
          <w:b/>
          <w:color w:val="auto"/>
          <w:kern w:val="0"/>
          <w:sz w:val="36"/>
          <w:szCs w:val="36"/>
          <w:lang w:val="en-US" w:eastAsia="zh-CN" w:bidi="ar-SA"/>
        </w:rPr>
        <w:t>受托方：</w:t>
      </w:r>
      <w:r>
        <w:rPr>
          <w:rFonts w:hint="eastAsia" w:ascii="宋体" w:hAnsi="宋体" w:cs="宋体"/>
          <w:b/>
          <w:color w:val="auto"/>
          <w:spacing w:val="11"/>
          <w:w w:val="100"/>
          <w:kern w:val="0"/>
          <w:sz w:val="36"/>
          <w:szCs w:val="36"/>
          <w:lang w:val="en-US" w:eastAsia="zh-CN" w:bidi="ar-SA"/>
        </w:rPr>
        <w:t xml:space="preserve">  </w:t>
      </w:r>
    </w:p>
    <w:p w14:paraId="355EFD61">
      <w:pPr>
        <w:pStyle w:val="2"/>
        <w:keepNext w:val="0"/>
        <w:keepLines w:val="0"/>
        <w:pageBreakBefore w:val="0"/>
        <w:widowControl w:val="0"/>
        <w:kinsoku/>
        <w:wordWrap/>
        <w:overflowPunct/>
        <w:topLinePunct w:val="0"/>
        <w:autoSpaceDE/>
        <w:autoSpaceDN/>
        <w:bidi w:val="0"/>
        <w:spacing w:after="0" w:line="240" w:lineRule="auto"/>
        <w:ind w:firstLine="1807" w:firstLineChars="500"/>
        <w:textAlignment w:val="auto"/>
        <w:rPr>
          <w:rFonts w:hint="default"/>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
          <w:color w:val="auto"/>
          <w:kern w:val="0"/>
          <w:sz w:val="36"/>
          <w:szCs w:val="36"/>
          <w:lang w:val="en-US" w:eastAsia="zh-CN" w:bidi="ar-SA"/>
        </w:rPr>
        <w:t>日  期：   年 月  日</w:t>
      </w:r>
    </w:p>
    <w:p w14:paraId="7E4CC1B3">
      <w:pPr>
        <w:pStyle w:val="2"/>
        <w:keepNext w:val="0"/>
        <w:keepLines w:val="0"/>
        <w:pageBreakBefore w:val="0"/>
        <w:kinsoku/>
        <w:wordWrap/>
        <w:overflowPunct/>
        <w:topLinePunct w:val="0"/>
        <w:autoSpaceDE/>
        <w:autoSpaceDN/>
        <w:bidi w:val="0"/>
        <w:spacing w:after="0" w:line="360" w:lineRule="auto"/>
        <w:textAlignment w:val="auto"/>
        <w:rPr>
          <w:rFonts w:hint="eastAsia"/>
        </w:rPr>
      </w:pPr>
    </w:p>
    <w:p w14:paraId="44547222">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委托方：铜川市新区住房建设和交通运输局</w:t>
      </w:r>
    </w:p>
    <w:p w14:paraId="70F3A366">
      <w:pPr>
        <w:keepNext w:val="0"/>
        <w:keepLines w:val="0"/>
        <w:pageBreakBefore w:val="0"/>
        <w:kinsoku/>
        <w:wordWrap/>
        <w:overflowPunct/>
        <w:topLinePunct w:val="0"/>
        <w:autoSpaceDE/>
        <w:autoSpaceDN/>
        <w:bidi w:val="0"/>
        <w:adjustRightInd w:val="0"/>
        <w:snapToGrid w:val="0"/>
        <w:spacing w:line="360" w:lineRule="auto"/>
        <w:textAlignment w:val="auto"/>
        <w:rPr>
          <w:rFonts w:hint="default" w:ascii="宋体" w:hAnsi="宋体" w:eastAsia="宋体" w:cs="宋体"/>
          <w:b/>
          <w:color w:val="auto"/>
          <w:kern w:val="0"/>
          <w:sz w:val="28"/>
          <w:szCs w:val="28"/>
          <w:lang w:val="en-US" w:eastAsia="zh-CN"/>
        </w:rPr>
      </w:pPr>
      <w:r>
        <w:rPr>
          <w:rFonts w:hint="eastAsia" w:ascii="宋体" w:hAnsi="宋体" w:eastAsia="宋体" w:cs="宋体"/>
          <w:b/>
          <w:color w:val="auto"/>
          <w:kern w:val="0"/>
          <w:sz w:val="28"/>
          <w:szCs w:val="28"/>
        </w:rPr>
        <w:t>受托方：</w:t>
      </w:r>
    </w:p>
    <w:p w14:paraId="1A559297">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outlineLvl w:val="0"/>
        <w:rPr>
          <w:rFonts w:hint="eastAsia" w:ascii="宋体" w:hAnsi="宋体" w:eastAsia="宋体" w:cs="宋体"/>
          <w:color w:val="auto"/>
          <w:sz w:val="28"/>
          <w:szCs w:val="28"/>
        </w:rPr>
      </w:pPr>
      <w:bookmarkStart w:id="0" w:name="_Toc5702"/>
      <w:r>
        <w:rPr>
          <w:rFonts w:hint="eastAsia" w:ascii="宋体" w:hAnsi="宋体" w:eastAsia="宋体" w:cs="宋体"/>
          <w:color w:val="auto"/>
          <w:sz w:val="28"/>
          <w:szCs w:val="28"/>
        </w:rPr>
        <w:t>根据《中华人民共和国</w:t>
      </w:r>
      <w:r>
        <w:rPr>
          <w:rFonts w:hint="eastAsia" w:ascii="宋体" w:hAnsi="宋体" w:cs="宋体"/>
          <w:color w:val="auto"/>
          <w:sz w:val="28"/>
          <w:szCs w:val="28"/>
          <w:lang w:val="en-US" w:eastAsia="zh-CN"/>
        </w:rPr>
        <w:t>民法典</w:t>
      </w:r>
      <w:r>
        <w:rPr>
          <w:rFonts w:hint="eastAsia" w:ascii="宋体" w:hAnsi="宋体" w:eastAsia="宋体" w:cs="宋体"/>
          <w:color w:val="auto"/>
          <w:sz w:val="28"/>
          <w:szCs w:val="28"/>
        </w:rPr>
        <w:t>》及其他有关法律、行政法规，并结合本项目具体情况，为明确双方的权利、义务和经济责任，经双方协商签订本合同。</w:t>
      </w:r>
      <w:bookmarkEnd w:id="0"/>
    </w:p>
    <w:p w14:paraId="2564E5F5">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2" w:firstLineChars="200"/>
        <w:textAlignment w:val="auto"/>
        <w:outlineLvl w:val="0"/>
        <w:rPr>
          <w:rFonts w:hint="eastAsia" w:ascii="宋体" w:hAnsi="宋体" w:eastAsia="宋体" w:cs="宋体"/>
          <w:b/>
          <w:color w:val="auto"/>
          <w:sz w:val="28"/>
          <w:szCs w:val="28"/>
        </w:rPr>
      </w:pPr>
      <w:bookmarkStart w:id="1" w:name="_Toc20243"/>
      <w:r>
        <w:rPr>
          <w:rFonts w:hint="eastAsia" w:ascii="宋体" w:hAnsi="宋体" w:eastAsia="宋体" w:cs="宋体"/>
          <w:b/>
          <w:color w:val="auto"/>
          <w:sz w:val="28"/>
          <w:szCs w:val="28"/>
        </w:rPr>
        <w:t>一、委托咨询服务内容</w:t>
      </w:r>
      <w:bookmarkEnd w:id="1"/>
    </w:p>
    <w:p w14:paraId="54099100">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outlineLvl w:val="9"/>
        <w:rPr>
          <w:rFonts w:hint="eastAsia" w:ascii="宋体" w:hAnsi="宋体" w:cs="宋体"/>
          <w:color w:val="auto"/>
          <w:sz w:val="28"/>
          <w:szCs w:val="28"/>
          <w:lang w:eastAsia="zh-CN"/>
        </w:rPr>
      </w:pPr>
      <w:r>
        <w:rPr>
          <w:rFonts w:hint="eastAsia" w:ascii="宋体" w:hAnsi="宋体" w:cs="宋体"/>
          <w:color w:val="auto"/>
          <w:sz w:val="28"/>
          <w:szCs w:val="28"/>
          <w:lang w:eastAsia="zh-CN"/>
        </w:rPr>
        <w:t>1、分析项目建设运营的困难和问题，提出调整项目投资和运营内容的建议，确定新的 PPP 项目边界。</w:t>
      </w:r>
    </w:p>
    <w:p w14:paraId="0F4A0FCC">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outlineLvl w:val="9"/>
        <w:rPr>
          <w:rFonts w:hint="eastAsia" w:ascii="宋体" w:hAnsi="宋体" w:cs="宋体"/>
          <w:color w:val="auto"/>
          <w:sz w:val="28"/>
          <w:szCs w:val="28"/>
          <w:lang w:eastAsia="zh-CN"/>
        </w:rPr>
      </w:pPr>
      <w:r>
        <w:rPr>
          <w:rFonts w:hint="eastAsia" w:ascii="宋体" w:hAnsi="宋体" w:cs="宋体"/>
          <w:color w:val="auto"/>
          <w:sz w:val="28"/>
          <w:szCs w:val="28"/>
          <w:lang w:eastAsia="zh-CN"/>
        </w:rPr>
        <w:t>2、协助实施机构按照PPP项目合同约定的调价机制及新的PPP项目边界，对政府付费额度进行系统调整，并配合实施机构做好项目付费审核工作，出具审核意见。</w:t>
      </w:r>
    </w:p>
    <w:p w14:paraId="1CC7C0F9">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outlineLvl w:val="9"/>
        <w:rPr>
          <w:rFonts w:hint="eastAsia" w:ascii="宋体" w:hAnsi="宋体" w:cs="宋体"/>
          <w:color w:val="auto"/>
          <w:sz w:val="28"/>
          <w:szCs w:val="28"/>
          <w:lang w:eastAsia="zh-CN"/>
        </w:rPr>
      </w:pPr>
      <w:r>
        <w:rPr>
          <w:rFonts w:hint="eastAsia" w:ascii="宋体" w:hAnsi="宋体" w:cs="宋体"/>
          <w:color w:val="auto"/>
          <w:sz w:val="28"/>
          <w:szCs w:val="28"/>
          <w:lang w:eastAsia="zh-CN"/>
        </w:rPr>
        <w:t>3.协助开展PPP合同履约存在问题相关事项谈判、解决方案出具及补充协议审核、拟定、谈判等监管咨询服务，并出具咨询建议书。</w:t>
      </w:r>
    </w:p>
    <w:p w14:paraId="1369C40D">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outlineLvl w:val="9"/>
        <w:rPr>
          <w:rFonts w:hint="eastAsia" w:ascii="宋体" w:hAnsi="宋体" w:cs="宋体"/>
          <w:color w:val="auto"/>
          <w:sz w:val="28"/>
          <w:szCs w:val="28"/>
          <w:lang w:eastAsia="zh-CN"/>
        </w:rPr>
      </w:pPr>
      <w:r>
        <w:rPr>
          <w:rFonts w:hint="eastAsia" w:ascii="宋体" w:hAnsi="宋体" w:cs="宋体"/>
          <w:color w:val="auto"/>
          <w:sz w:val="28"/>
          <w:szCs w:val="28"/>
          <w:lang w:eastAsia="zh-CN"/>
        </w:rPr>
        <w:t>3.根据委托方要求，对项目公司和社会资本等来函文件提供咨询意见。</w:t>
      </w:r>
    </w:p>
    <w:p w14:paraId="213DBDFB">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outlineLvl w:val="9"/>
        <w:rPr>
          <w:rFonts w:hint="eastAsia" w:ascii="宋体" w:hAnsi="宋体" w:cs="宋体"/>
          <w:color w:val="auto"/>
          <w:sz w:val="28"/>
          <w:szCs w:val="28"/>
          <w:lang w:eastAsia="zh-CN"/>
        </w:rPr>
      </w:pPr>
      <w:r>
        <w:rPr>
          <w:rFonts w:hint="eastAsia" w:ascii="宋体" w:hAnsi="宋体" w:cs="宋体"/>
          <w:color w:val="auto"/>
          <w:sz w:val="28"/>
          <w:szCs w:val="28"/>
          <w:lang w:eastAsia="zh-CN"/>
        </w:rPr>
        <w:t>5.协助实施机构管理、监控项目建设运营中的风险，适时提出风险防控的建议。</w:t>
      </w:r>
    </w:p>
    <w:p w14:paraId="25F8068C">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outlineLvl w:val="9"/>
        <w:rPr>
          <w:rFonts w:hint="eastAsia" w:ascii="宋体" w:hAnsi="宋体" w:cs="宋体"/>
          <w:color w:val="auto"/>
          <w:sz w:val="28"/>
          <w:szCs w:val="28"/>
          <w:lang w:eastAsia="zh-CN"/>
        </w:rPr>
      </w:pPr>
      <w:r>
        <w:rPr>
          <w:rFonts w:hint="eastAsia" w:ascii="宋体" w:hAnsi="宋体" w:cs="宋体"/>
          <w:color w:val="auto"/>
          <w:sz w:val="28"/>
          <w:szCs w:val="28"/>
          <w:lang w:eastAsia="zh-CN"/>
        </w:rPr>
        <w:t>6.协助实施机构应对中省市各级PPP主管部门就项目实施情况组织的各项调研、检查工作及整改工作。</w:t>
      </w:r>
    </w:p>
    <w:p w14:paraId="62A4C8A8">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outlineLvl w:val="9"/>
        <w:rPr>
          <w:rFonts w:hint="eastAsia" w:ascii="宋体" w:hAnsi="宋体" w:cs="宋体"/>
          <w:color w:val="auto"/>
          <w:sz w:val="28"/>
          <w:szCs w:val="28"/>
          <w:lang w:eastAsia="zh-CN"/>
        </w:rPr>
      </w:pPr>
      <w:r>
        <w:rPr>
          <w:rFonts w:hint="eastAsia" w:ascii="宋体" w:hAnsi="宋体" w:cs="宋体"/>
          <w:color w:val="auto"/>
          <w:sz w:val="28"/>
          <w:szCs w:val="28"/>
          <w:lang w:eastAsia="zh-CN"/>
        </w:rPr>
        <w:t>7.协助处理与PPP项目实施有关的日常事务、就相关事务的处理提出咨询意见。</w:t>
      </w:r>
    </w:p>
    <w:p w14:paraId="1EAFA4DF">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outlineLvl w:val="9"/>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8.按照实施机构要求，协助开展</w:t>
      </w:r>
      <w:bookmarkStart w:id="11" w:name="_GoBack"/>
      <w:bookmarkEnd w:id="11"/>
      <w:r>
        <w:rPr>
          <w:rFonts w:hint="eastAsia" w:ascii="宋体" w:hAnsi="宋体" w:cs="宋体"/>
          <w:color w:val="auto"/>
          <w:sz w:val="28"/>
          <w:szCs w:val="28"/>
          <w:lang w:eastAsia="zh-CN"/>
        </w:rPr>
        <w:t>运营项目的绩效管理、付费审核等按效付费相关工作。</w:t>
      </w:r>
    </w:p>
    <w:p w14:paraId="1FCDAD8C">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2" w:firstLineChars="200"/>
        <w:textAlignment w:val="auto"/>
        <w:outlineLvl w:val="0"/>
        <w:rPr>
          <w:rFonts w:hint="eastAsia" w:ascii="宋体" w:hAnsi="宋体" w:eastAsia="宋体" w:cs="宋体"/>
          <w:b/>
          <w:color w:val="auto"/>
          <w:sz w:val="28"/>
          <w:szCs w:val="28"/>
        </w:rPr>
      </w:pPr>
      <w:bookmarkStart w:id="2" w:name="_Toc4152"/>
      <w:r>
        <w:rPr>
          <w:rFonts w:hint="eastAsia" w:ascii="宋体" w:hAnsi="宋体" w:eastAsia="宋体" w:cs="宋体"/>
          <w:b/>
          <w:color w:val="auto"/>
          <w:sz w:val="28"/>
          <w:szCs w:val="28"/>
        </w:rPr>
        <w:t>二、项目工作期间</w:t>
      </w:r>
      <w:bookmarkEnd w:id="2"/>
    </w:p>
    <w:p w14:paraId="3E8465B9">
      <w:pPr>
        <w:keepNext w:val="0"/>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rPr>
        <w:t>本项目服务期</w:t>
      </w:r>
      <w:r>
        <w:rPr>
          <w:rFonts w:hint="eastAsia" w:ascii="宋体" w:hAnsi="宋体" w:eastAsia="宋体" w:cs="宋体"/>
          <w:color w:val="auto"/>
          <w:kern w:val="0"/>
          <w:sz w:val="28"/>
          <w:szCs w:val="28"/>
          <w:highlight w:val="none"/>
        </w:rPr>
        <w:t>限</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rPr>
        <w:t>年</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rPr>
        <w:t>日至</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rPr>
        <w:t>年</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rPr>
        <w:t>日视为本项目完成，除另有约定外。</w:t>
      </w:r>
    </w:p>
    <w:p w14:paraId="7BB2E7D5">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2" w:firstLineChars="200"/>
        <w:textAlignment w:val="auto"/>
        <w:outlineLvl w:val="0"/>
        <w:rPr>
          <w:rFonts w:hint="eastAsia" w:ascii="宋体" w:hAnsi="宋体" w:eastAsia="宋体" w:cs="宋体"/>
          <w:b/>
          <w:color w:val="auto"/>
          <w:sz w:val="28"/>
          <w:szCs w:val="28"/>
          <w:highlight w:val="none"/>
        </w:rPr>
      </w:pPr>
      <w:bookmarkStart w:id="3" w:name="_Toc19477"/>
      <w:r>
        <w:rPr>
          <w:rFonts w:hint="eastAsia" w:ascii="宋体" w:hAnsi="宋体" w:eastAsia="宋体" w:cs="宋体"/>
          <w:b/>
          <w:color w:val="auto"/>
          <w:sz w:val="28"/>
          <w:szCs w:val="28"/>
          <w:highlight w:val="none"/>
        </w:rPr>
        <w:t>三、项目工作组</w:t>
      </w:r>
      <w:bookmarkEnd w:id="3"/>
    </w:p>
    <w:p w14:paraId="38E01235">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highlight w:val="none"/>
        </w:rPr>
        <w:t>乙方出任本项目</w:t>
      </w:r>
      <w:r>
        <w:rPr>
          <w:rFonts w:hint="eastAsia" w:ascii="宋体" w:hAnsi="宋体" w:eastAsia="宋体" w:cs="宋体"/>
          <w:color w:val="auto"/>
          <w:sz w:val="28"/>
          <w:szCs w:val="28"/>
          <w:highlight w:val="none"/>
          <w:lang w:val="en-US" w:eastAsia="zh-CN"/>
        </w:rPr>
        <w:t>咨询</w:t>
      </w:r>
      <w:r>
        <w:rPr>
          <w:rFonts w:hint="eastAsia" w:ascii="宋体" w:hAnsi="宋体" w:eastAsia="宋体" w:cs="宋体"/>
          <w:color w:val="auto"/>
          <w:sz w:val="28"/>
          <w:szCs w:val="28"/>
          <w:highlight w:val="none"/>
        </w:rPr>
        <w:t>顾问，由</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牵</w:t>
      </w:r>
      <w:r>
        <w:rPr>
          <w:rFonts w:hint="eastAsia" w:ascii="宋体" w:hAnsi="宋体" w:eastAsia="宋体" w:cs="宋体"/>
          <w:color w:val="auto"/>
          <w:sz w:val="28"/>
          <w:szCs w:val="28"/>
        </w:rPr>
        <w:t>头，组建项目工作组。项目工作组成员不少于</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rPr>
        <w:t>人，且至少包括商务、财务和法务等类型专业人员。</w:t>
      </w:r>
    </w:p>
    <w:p w14:paraId="43B827E7">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2" w:firstLineChars="200"/>
        <w:textAlignment w:val="auto"/>
        <w:outlineLvl w:val="0"/>
        <w:rPr>
          <w:rFonts w:hint="eastAsia" w:ascii="宋体" w:hAnsi="宋体" w:eastAsia="宋体" w:cs="宋体"/>
          <w:b/>
          <w:color w:val="auto"/>
          <w:sz w:val="28"/>
          <w:szCs w:val="28"/>
        </w:rPr>
      </w:pPr>
      <w:bookmarkStart w:id="4" w:name="_Toc4703"/>
      <w:r>
        <w:rPr>
          <w:rFonts w:hint="eastAsia" w:ascii="宋体" w:hAnsi="宋体" w:eastAsia="宋体" w:cs="宋体"/>
          <w:b/>
          <w:color w:val="auto"/>
          <w:sz w:val="28"/>
          <w:szCs w:val="28"/>
        </w:rPr>
        <w:t>四、甲方的权利和义务</w:t>
      </w:r>
      <w:bookmarkEnd w:id="4"/>
    </w:p>
    <w:p w14:paraId="520838D3">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1．甲方应保证对本协议所委托事务的合法性，保证已取得本级政府批准及授权，且需承诺本协议存续期间不再委托乙方以外的任何第三方办理协议委托服务事项。</w:t>
      </w:r>
    </w:p>
    <w:p w14:paraId="77FD3306">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2．甲方有权就乙方的工作进度和质量提出明确、合理的要求，包括但不限于：要求乙方提供工作计划并监督执行；要求乙方及时提交项目的实施方案、项目合同等相关法律文件；要求乙方按照甲方意愿合理地对相关法律文件的内容、条款进行修改或增减。</w:t>
      </w:r>
    </w:p>
    <w:p w14:paraId="7F74C69E">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3．成立项目工作小组协助乙方开展工作，并对乙方提出的质询或疑问作出及时的解释和说明。</w:t>
      </w:r>
    </w:p>
    <w:p w14:paraId="1047FC3A">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4．及时向乙方提供相关资料和信息，并对资料的真实、合法、完整和有效性负责，如项目建议书、工程可行性研究报告及其批复。 </w:t>
      </w:r>
    </w:p>
    <w:p w14:paraId="22E629C8">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5．按照本协议的约定及时支付咨询服务费，具体见“咨询服务费支付方式”。</w:t>
      </w:r>
    </w:p>
    <w:p w14:paraId="4FC6755F">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2" w:firstLineChars="200"/>
        <w:textAlignment w:val="auto"/>
        <w:outlineLvl w:val="0"/>
        <w:rPr>
          <w:rFonts w:hint="eastAsia" w:ascii="宋体" w:hAnsi="宋体" w:eastAsia="宋体" w:cs="宋体"/>
          <w:b/>
          <w:color w:val="auto"/>
          <w:sz w:val="28"/>
          <w:szCs w:val="28"/>
        </w:rPr>
      </w:pPr>
      <w:bookmarkStart w:id="5" w:name="_Toc17617"/>
      <w:r>
        <w:rPr>
          <w:rFonts w:hint="eastAsia" w:ascii="宋体" w:hAnsi="宋体" w:eastAsia="宋体" w:cs="宋体"/>
          <w:b/>
          <w:color w:val="auto"/>
          <w:sz w:val="28"/>
          <w:szCs w:val="28"/>
        </w:rPr>
        <w:t>五、乙方的权利和义务</w:t>
      </w:r>
      <w:bookmarkEnd w:id="5"/>
    </w:p>
    <w:p w14:paraId="66ADF7BE">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1．乙方应充分发挥专业水平，并依据</w:t>
      </w:r>
      <w:r>
        <w:rPr>
          <w:rFonts w:hint="eastAsia" w:ascii="宋体" w:hAnsi="宋体" w:cs="宋体"/>
          <w:color w:val="auto"/>
          <w:sz w:val="28"/>
          <w:szCs w:val="28"/>
          <w:lang w:val="en-US" w:eastAsia="zh-CN"/>
        </w:rPr>
        <w:t>相关</w:t>
      </w:r>
      <w:r>
        <w:rPr>
          <w:rFonts w:hint="eastAsia" w:ascii="宋体" w:hAnsi="宋体" w:eastAsia="宋体" w:cs="宋体"/>
          <w:color w:val="auto"/>
          <w:sz w:val="28"/>
          <w:szCs w:val="28"/>
        </w:rPr>
        <w:t>法律、法规和规章的规定，及时向甲方提供咨询意见和建议，及时提交相关工作建议，包括但不限于咨询建议书案等。</w:t>
      </w:r>
    </w:p>
    <w:p w14:paraId="1B463993">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2．乙方应指定项目联系人，确保工作组成员能按照项目需要，及时赴</w:t>
      </w:r>
      <w:r>
        <w:rPr>
          <w:rFonts w:hint="eastAsia" w:ascii="宋体" w:hAnsi="宋体" w:eastAsia="宋体" w:cs="宋体"/>
          <w:color w:val="auto"/>
          <w:sz w:val="28"/>
          <w:szCs w:val="28"/>
          <w:lang w:val="en-US" w:eastAsia="zh-CN"/>
        </w:rPr>
        <w:t>项目所在地</w:t>
      </w:r>
      <w:r>
        <w:rPr>
          <w:rFonts w:hint="eastAsia" w:ascii="宋体" w:hAnsi="宋体" w:eastAsia="宋体" w:cs="宋体"/>
          <w:color w:val="auto"/>
          <w:sz w:val="28"/>
          <w:szCs w:val="28"/>
        </w:rPr>
        <w:t>完成必须在现场完成的专业工作。</w:t>
      </w:r>
    </w:p>
    <w:p w14:paraId="7A28BE7D">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3．乙方完成了相应咨询工作，有权按照本协议约定获得咨询服务费，具体见“咨询服务费支付方式”。</w:t>
      </w:r>
    </w:p>
    <w:p w14:paraId="2A99C506">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2" w:firstLineChars="200"/>
        <w:textAlignment w:val="auto"/>
        <w:outlineLvl w:val="0"/>
        <w:rPr>
          <w:rFonts w:hint="eastAsia" w:ascii="宋体" w:hAnsi="宋体" w:eastAsia="宋体" w:cs="宋体"/>
          <w:b/>
          <w:color w:val="auto"/>
          <w:sz w:val="28"/>
          <w:szCs w:val="28"/>
        </w:rPr>
      </w:pPr>
      <w:bookmarkStart w:id="6" w:name="_Toc1211"/>
      <w:r>
        <w:rPr>
          <w:rFonts w:hint="eastAsia" w:ascii="宋体" w:hAnsi="宋体" w:eastAsia="宋体" w:cs="宋体"/>
          <w:b/>
          <w:color w:val="auto"/>
          <w:sz w:val="28"/>
          <w:szCs w:val="28"/>
        </w:rPr>
        <w:t>六、甲方对乙方工作的协助</w:t>
      </w:r>
      <w:bookmarkEnd w:id="6"/>
    </w:p>
    <w:p w14:paraId="3F8BCD4F">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1. 指定专责联络人与乙方联系人开展日常工作联络，及时告知乙方各种工作信息，以便乙方及时跟进。</w:t>
      </w:r>
    </w:p>
    <w:p w14:paraId="7E82467C">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2. 及时向乙方提供为完成本协议调查工作所需的各种文件、数据等资料和信息。</w:t>
      </w:r>
    </w:p>
    <w:p w14:paraId="4B052432">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3. 及时就乙方提出的文件初稿进行讨论并提出修改意见，协助乙方对文件进行修改、完善。</w:t>
      </w:r>
    </w:p>
    <w:p w14:paraId="422D4BE6">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2" w:firstLineChars="200"/>
        <w:textAlignment w:val="auto"/>
        <w:outlineLvl w:val="0"/>
        <w:rPr>
          <w:rFonts w:hint="eastAsia" w:ascii="宋体" w:hAnsi="宋体" w:eastAsia="宋体" w:cs="宋体"/>
          <w:color w:val="auto"/>
          <w:sz w:val="28"/>
          <w:szCs w:val="28"/>
        </w:rPr>
      </w:pPr>
      <w:bookmarkStart w:id="7" w:name="_Toc18860"/>
      <w:r>
        <w:rPr>
          <w:rFonts w:hint="eastAsia" w:ascii="宋体" w:hAnsi="宋体" w:eastAsia="宋体" w:cs="宋体"/>
          <w:b/>
          <w:color w:val="auto"/>
          <w:sz w:val="28"/>
          <w:szCs w:val="28"/>
        </w:rPr>
        <w:t>七、咨询服务费及支付方式</w:t>
      </w:r>
      <w:bookmarkEnd w:id="7"/>
    </w:p>
    <w:p w14:paraId="4756AB73">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1．乙方承担本协议约定的项目监管</w:t>
      </w:r>
      <w:r>
        <w:rPr>
          <w:rFonts w:hint="eastAsia" w:ascii="宋体" w:hAnsi="宋体" w:eastAsia="宋体" w:cs="宋体"/>
          <w:color w:val="auto"/>
          <w:sz w:val="28"/>
          <w:szCs w:val="28"/>
          <w:lang w:val="en-US" w:eastAsia="zh-CN"/>
        </w:rPr>
        <w:t>咨询</w:t>
      </w:r>
      <w:r>
        <w:rPr>
          <w:rFonts w:hint="eastAsia" w:ascii="宋体" w:hAnsi="宋体" w:eastAsia="宋体" w:cs="宋体"/>
          <w:color w:val="auto"/>
          <w:sz w:val="28"/>
          <w:szCs w:val="28"/>
        </w:rPr>
        <w:t>顾问工作，提供专业咨询服务，甲方须向乙方支付咨询服务费。咨询服务费合同</w:t>
      </w:r>
      <w:r>
        <w:rPr>
          <w:rFonts w:hint="eastAsia" w:ascii="宋体" w:hAnsi="宋体" w:eastAsia="宋体" w:cs="宋体"/>
          <w:color w:val="auto"/>
          <w:sz w:val="28"/>
          <w:szCs w:val="28"/>
          <w:lang w:val="en-US" w:eastAsia="zh-CN"/>
        </w:rPr>
        <w:t>总</w:t>
      </w:r>
      <w:r>
        <w:rPr>
          <w:rFonts w:hint="eastAsia" w:ascii="宋体" w:hAnsi="宋体" w:eastAsia="宋体" w:cs="宋体"/>
          <w:color w:val="auto"/>
          <w:sz w:val="28"/>
          <w:szCs w:val="28"/>
        </w:rPr>
        <w:t>金额为人民币</w:t>
      </w:r>
      <w:r>
        <w:rPr>
          <w:rFonts w:hint="eastAsia" w:ascii="宋体" w:hAnsi="宋体" w:eastAsia="宋体" w:cs="宋体"/>
          <w:color w:val="auto"/>
          <w:sz w:val="28"/>
          <w:szCs w:val="28"/>
          <w:u w:val="single"/>
          <w:lang w:val="en-US" w:eastAsia="zh-CN"/>
        </w:rPr>
        <w:t xml:space="preserve"> </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rPr>
        <w:t>元（￥：</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rPr>
        <w:t>元），服务周期内</w:t>
      </w:r>
      <w:r>
        <w:rPr>
          <w:rFonts w:hint="eastAsia" w:ascii="宋体" w:hAnsi="宋体" w:eastAsia="宋体" w:cs="宋体"/>
          <w:color w:val="auto"/>
          <w:sz w:val="28"/>
          <w:szCs w:val="28"/>
          <w:lang w:val="en-US" w:eastAsia="zh-CN"/>
        </w:rPr>
        <w:t>共支付</w:t>
      </w:r>
      <w:r>
        <w:rPr>
          <w:rFonts w:hint="eastAsia" w:ascii="宋体" w:hAnsi="宋体" w:cs="宋体"/>
          <w:color w:val="auto"/>
          <w:sz w:val="28"/>
          <w:szCs w:val="28"/>
          <w:lang w:val="en-US" w:eastAsia="zh-CN"/>
        </w:rPr>
        <w:t>三</w:t>
      </w:r>
      <w:r>
        <w:rPr>
          <w:rFonts w:hint="eastAsia" w:ascii="宋体" w:hAnsi="宋体" w:eastAsia="宋体" w:cs="宋体"/>
          <w:color w:val="auto"/>
          <w:sz w:val="28"/>
          <w:szCs w:val="28"/>
          <w:lang w:val="en-US" w:eastAsia="zh-CN"/>
        </w:rPr>
        <w:t>期，</w:t>
      </w:r>
      <w:r>
        <w:rPr>
          <w:rFonts w:hint="eastAsia" w:ascii="宋体" w:hAnsi="宋体" w:eastAsia="宋体" w:cs="宋体"/>
          <w:color w:val="auto"/>
          <w:sz w:val="28"/>
          <w:szCs w:val="28"/>
        </w:rPr>
        <w:t>按以下方式支付，具体付款方式如下：</w:t>
      </w:r>
    </w:p>
    <w:p w14:paraId="5C715B40">
      <w:pPr>
        <w:pStyle w:val="5"/>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（1）</w:t>
      </w:r>
      <w:r>
        <w:rPr>
          <w:rFonts w:hint="eastAsia" w:ascii="宋体" w:hAnsi="宋体" w:eastAsia="宋体" w:cs="宋体"/>
          <w:color w:val="auto"/>
          <w:sz w:val="28"/>
          <w:szCs w:val="28"/>
          <w:lang w:val="en-US" w:eastAsia="zh-CN"/>
        </w:rPr>
        <w:t>进度款，签署合同后10个工作日内，达到付款条件起10个工作日内，支付合同总金额的20.0%</w:t>
      </w:r>
    </w:p>
    <w:p w14:paraId="6D6FECA7">
      <w:pPr>
        <w:pStyle w:val="5"/>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（2）</w:t>
      </w:r>
      <w:r>
        <w:rPr>
          <w:rFonts w:hint="eastAsia" w:ascii="宋体" w:hAnsi="宋体" w:eastAsia="宋体" w:cs="宋体"/>
          <w:color w:val="auto"/>
          <w:sz w:val="28"/>
          <w:szCs w:val="28"/>
          <w:lang w:val="en-US" w:eastAsia="zh-CN"/>
        </w:rPr>
        <w:t>进度款，提交优化调整实施方案后，达到付款条件起10个工作日内，支付合同总金额的40.0%</w:t>
      </w:r>
    </w:p>
    <w:p w14:paraId="0768C067">
      <w:pPr>
        <w:pStyle w:val="5"/>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（3）</w:t>
      </w:r>
      <w:r>
        <w:rPr>
          <w:rFonts w:hint="eastAsia" w:ascii="宋体" w:hAnsi="宋体" w:eastAsia="宋体" w:cs="宋体"/>
          <w:color w:val="auto"/>
          <w:sz w:val="28"/>
          <w:szCs w:val="28"/>
          <w:lang w:val="en-US" w:eastAsia="zh-CN"/>
        </w:rPr>
        <w:t>进度款，签订项目补充协议后，达到付款条件起10个工作日内，支付合同总金额的40.0%</w:t>
      </w:r>
    </w:p>
    <w:p w14:paraId="23A81AA7">
      <w:pPr>
        <w:pStyle w:val="5"/>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ind w:left="0" w:lef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．甲方应按上述约定的时限将咨询服务用银行转账的方式支付至乙方指定银行账户：</w:t>
      </w:r>
    </w:p>
    <w:p w14:paraId="0EE3F395">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Theme="minorEastAsia" w:hAnsiTheme="minorEastAsia" w:eastAsiaTheme="minorEastAsia" w:cstheme="minorEastAsia"/>
          <w:color w:val="auto"/>
          <w:sz w:val="28"/>
          <w:szCs w:val="28"/>
          <w:lang w:eastAsia="zh-CN"/>
        </w:rPr>
      </w:pPr>
      <w:r>
        <w:rPr>
          <w:rFonts w:hint="eastAsia" w:ascii="宋体" w:hAnsi="宋体" w:eastAsia="宋体" w:cs="宋体"/>
          <w:color w:val="auto"/>
          <w:sz w:val="28"/>
          <w:szCs w:val="28"/>
        </w:rPr>
        <w:t>账户名：</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sz w:val="28"/>
          <w:szCs w:val="28"/>
          <w:lang w:val="en-US" w:eastAsia="zh-CN"/>
        </w:rPr>
        <w:t xml:space="preserve"> </w:t>
      </w:r>
    </w:p>
    <w:p w14:paraId="060AC4AC">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账号：</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sz w:val="28"/>
          <w:szCs w:val="28"/>
          <w:lang w:val="en-US" w:eastAsia="zh-CN"/>
        </w:rPr>
        <w:t xml:space="preserve"> </w:t>
      </w:r>
    </w:p>
    <w:p w14:paraId="06503659">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lang w:eastAsia="zh-CN"/>
        </w:rPr>
      </w:pPr>
      <w:r>
        <w:rPr>
          <w:rFonts w:hint="eastAsia" w:asciiTheme="minorEastAsia" w:hAnsiTheme="minorEastAsia" w:eastAsiaTheme="minorEastAsia" w:cstheme="minorEastAsia"/>
          <w:color w:val="auto"/>
          <w:sz w:val="28"/>
          <w:szCs w:val="28"/>
        </w:rPr>
        <w:t>开户行：</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sz w:val="28"/>
          <w:szCs w:val="28"/>
          <w:lang w:val="en-US" w:eastAsia="zh-CN"/>
        </w:rPr>
        <w:t xml:space="preserve"> </w:t>
      </w:r>
    </w:p>
    <w:p w14:paraId="17120E8C">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．以上咨询服务费的约定已包含乙方开展本项目咨询服务的全部成本费用、税金和利润，除非双方另有约定，甲方无需另行支付任何其他费用。</w:t>
      </w:r>
    </w:p>
    <w:p w14:paraId="05E4F7AD">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4．甲方每次付款前，乙方须向甲方开具符合税务部门规定的足额发票，否则甲方有权拒绝付款，由此造成的责任及后果由乙方承担。</w:t>
      </w:r>
    </w:p>
    <w:p w14:paraId="7A9BB86F">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2" w:firstLineChars="200"/>
        <w:textAlignment w:val="auto"/>
        <w:outlineLvl w:val="0"/>
        <w:rPr>
          <w:rFonts w:hint="eastAsia" w:ascii="宋体" w:hAnsi="宋体" w:eastAsia="宋体" w:cs="宋体"/>
          <w:color w:val="auto"/>
          <w:sz w:val="28"/>
          <w:szCs w:val="28"/>
        </w:rPr>
      </w:pPr>
      <w:bookmarkStart w:id="8" w:name="_Toc3450"/>
      <w:r>
        <w:rPr>
          <w:rFonts w:hint="eastAsia" w:ascii="宋体" w:hAnsi="宋体" w:eastAsia="宋体" w:cs="宋体"/>
          <w:b/>
          <w:color w:val="auto"/>
          <w:sz w:val="28"/>
          <w:szCs w:val="28"/>
        </w:rPr>
        <w:t>八、知识产权和保密</w:t>
      </w:r>
      <w:bookmarkEnd w:id="8"/>
    </w:p>
    <w:p w14:paraId="54641F5C">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1．甲方提供的所有资料和信息，仅为乙方履行协议约定服务内容参考之用，除法律另有规定外，未经甲方书面同意，乙方不得以任何方式提供、许可、泄露给第三方。</w:t>
      </w:r>
    </w:p>
    <w:p w14:paraId="1BB6D9C4">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2．因本次顾问服务产生的最终顾问成果的知识产权专属于甲方。除法律另有规定外，未经甲方书面同意，乙方不得将顾问成果向第三方披露，也不得以任何方式用于商业用途。</w:t>
      </w:r>
    </w:p>
    <w:p w14:paraId="305BDF36">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b/>
          <w:color w:val="auto"/>
          <w:sz w:val="28"/>
          <w:szCs w:val="28"/>
        </w:rPr>
      </w:pPr>
      <w:r>
        <w:rPr>
          <w:rFonts w:hint="eastAsia" w:ascii="宋体" w:hAnsi="宋体" w:eastAsia="宋体" w:cs="宋体"/>
          <w:color w:val="auto"/>
          <w:sz w:val="28"/>
          <w:szCs w:val="28"/>
        </w:rPr>
        <w:t>3．甲乙双方须对本协议内容保密，不得因商业性目的向第三方透露本协议内容。</w:t>
      </w:r>
    </w:p>
    <w:p w14:paraId="4A63AD33">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2" w:firstLineChars="200"/>
        <w:textAlignment w:val="auto"/>
        <w:outlineLvl w:val="0"/>
        <w:rPr>
          <w:rFonts w:hint="eastAsia" w:ascii="宋体" w:hAnsi="宋体" w:eastAsia="宋体" w:cs="宋体"/>
          <w:b/>
          <w:color w:val="auto"/>
          <w:sz w:val="28"/>
          <w:szCs w:val="28"/>
        </w:rPr>
      </w:pPr>
      <w:bookmarkStart w:id="9" w:name="_Toc26660"/>
      <w:r>
        <w:rPr>
          <w:rFonts w:hint="eastAsia" w:ascii="宋体" w:hAnsi="宋体" w:eastAsia="宋体" w:cs="宋体"/>
          <w:b/>
          <w:color w:val="auto"/>
          <w:sz w:val="28"/>
          <w:szCs w:val="28"/>
        </w:rPr>
        <w:t>九、违约责任</w:t>
      </w:r>
      <w:bookmarkEnd w:id="9"/>
    </w:p>
    <w:p w14:paraId="3C6DCC1E">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1．本协议的全部或任何部分因可归责于一方的任何原因而未能履行，则应视为该方违约，除本协议另有约定外，违约方应承担《中华人民共和国合同法》规定的违约责任。</w:t>
      </w:r>
    </w:p>
    <w:p w14:paraId="304DDCFF">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2．因不可抗力或其他双方认可的原因导致本协议无法继续履行或本项目无故终止，任何一方可提前解除本协议，且甲方应当按照咨询工作进展相应阶段应付但未付咨询服务费的80%向乙方支付补偿金。</w:t>
      </w:r>
    </w:p>
    <w:p w14:paraId="5FC2D111">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3．在本协议签署之日后的约定工作期间，若乙方没有按照甲方要求及时提交咨询文件或及时派员出席甲方组织的汇报会、讨论会等会议，则视为乙方违约，甲方有权按每延误一日肆佰元（￥400 元）的标准要求乙方支付违约金；但非因乙方原因导致项目工作延迟的，不视为乙方违约。</w:t>
      </w:r>
    </w:p>
    <w:p w14:paraId="1183B3FA">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4．甲方不按本协议约定时间支付咨询服务费的，乙方有权要求甲方立即支付，并可以立即暂停提供后续的咨询服务。此种情况导致工作延误，不视为乙方违约。甲方延迟支付咨询服务费的，每逾期一日，乙方有权按照每延迟一日肆佰元（￥400 元）的标准要求甲方或甲方支付违约金，延迟支付达十五日以上的，乙方有权不再提供后续服务。</w:t>
      </w:r>
    </w:p>
    <w:p w14:paraId="437C89B8">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2" w:firstLineChars="200"/>
        <w:textAlignment w:val="auto"/>
        <w:outlineLvl w:val="0"/>
        <w:rPr>
          <w:rFonts w:hint="eastAsia" w:ascii="宋体" w:hAnsi="宋体" w:eastAsia="宋体" w:cs="宋体"/>
          <w:b/>
          <w:color w:val="auto"/>
          <w:sz w:val="28"/>
          <w:szCs w:val="28"/>
        </w:rPr>
      </w:pPr>
      <w:bookmarkStart w:id="10" w:name="_Toc3099"/>
      <w:r>
        <w:rPr>
          <w:rFonts w:hint="eastAsia" w:ascii="宋体" w:hAnsi="宋体" w:eastAsia="宋体" w:cs="宋体"/>
          <w:b/>
          <w:color w:val="auto"/>
          <w:sz w:val="28"/>
          <w:szCs w:val="28"/>
        </w:rPr>
        <w:t>十、争议解决及其它</w:t>
      </w:r>
      <w:bookmarkEnd w:id="10"/>
    </w:p>
    <w:p w14:paraId="3272E5E6">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1．甲乙双方应本着诚实信用的原则履行本协议。</w:t>
      </w:r>
    </w:p>
    <w:p w14:paraId="26744A1F">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2．在本协议履行的过程中发生的争议，双方应友好协商解决，协商不成的，双方同意提交铜川</w:t>
      </w:r>
      <w:r>
        <w:rPr>
          <w:rFonts w:hint="eastAsia" w:ascii="宋体" w:hAnsi="宋体" w:cs="宋体"/>
          <w:color w:val="auto"/>
          <w:sz w:val="28"/>
          <w:szCs w:val="28"/>
          <w:lang w:val="en-US" w:eastAsia="zh-CN"/>
        </w:rPr>
        <w:t>市</w:t>
      </w:r>
      <w:r>
        <w:rPr>
          <w:rFonts w:hint="eastAsia" w:ascii="宋体" w:hAnsi="宋体" w:eastAsia="宋体" w:cs="宋体"/>
          <w:color w:val="auto"/>
          <w:sz w:val="28"/>
          <w:szCs w:val="28"/>
        </w:rPr>
        <w:t>仲裁委员会仲裁。</w:t>
      </w:r>
    </w:p>
    <w:p w14:paraId="19DED1B2">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3．本协议一式肆份，甲乙双方各执贰份，具有同等法律效力。</w:t>
      </w:r>
    </w:p>
    <w:p w14:paraId="19EBB6E6">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4．本协议自双方盖章及授权代表签字之日起生效。</w:t>
      </w:r>
    </w:p>
    <w:p w14:paraId="180D364C">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5. 本协议由双方在铜川市签署。</w:t>
      </w:r>
    </w:p>
    <w:p w14:paraId="23936615">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420" w:firstLineChars="150"/>
        <w:textAlignment w:val="auto"/>
        <w:rPr>
          <w:rFonts w:hint="eastAsia" w:ascii="宋体" w:hAnsi="宋体" w:cs="宋体"/>
          <w:color w:val="auto"/>
          <w:sz w:val="28"/>
          <w:szCs w:val="28"/>
          <w:lang w:eastAsia="zh-CN"/>
        </w:rPr>
      </w:pPr>
      <w:r>
        <w:rPr>
          <w:rFonts w:hint="eastAsia" w:ascii="宋体" w:hAnsi="宋体" w:cs="宋体"/>
          <w:color w:val="auto"/>
          <w:sz w:val="28"/>
          <w:szCs w:val="28"/>
          <w:lang w:eastAsia="zh-CN"/>
        </w:rPr>
        <w:t>（</w:t>
      </w:r>
      <w:r>
        <w:rPr>
          <w:rFonts w:hint="eastAsia" w:ascii="宋体" w:hAnsi="宋体" w:eastAsia="宋体" w:cs="宋体"/>
          <w:color w:val="auto"/>
          <w:sz w:val="28"/>
          <w:szCs w:val="28"/>
        </w:rPr>
        <w:t>以下无正文</w:t>
      </w:r>
      <w:r>
        <w:rPr>
          <w:rFonts w:hint="eastAsia" w:ascii="宋体" w:hAnsi="宋体" w:cs="宋体"/>
          <w:color w:val="auto"/>
          <w:sz w:val="28"/>
          <w:szCs w:val="28"/>
          <w:lang w:eastAsia="zh-CN"/>
        </w:rPr>
        <w:t>）</w:t>
      </w:r>
    </w:p>
    <w:p w14:paraId="1052A5BC">
      <w:pPr>
        <w:keepNext w:val="0"/>
        <w:keepLines w:val="0"/>
        <w:pageBreakBefore w:val="0"/>
        <w:kinsoku/>
        <w:wordWrap/>
        <w:overflowPunct/>
        <w:topLinePunct w:val="0"/>
        <w:autoSpaceDE/>
        <w:autoSpaceDN/>
        <w:bidi w:val="0"/>
        <w:spacing w:line="360" w:lineRule="auto"/>
        <w:textAlignment w:val="auto"/>
        <w:rPr>
          <w:rFonts w:hint="eastAsia" w:ascii="宋体" w:hAnsi="宋体" w:cs="宋体"/>
          <w:color w:val="auto"/>
          <w:sz w:val="28"/>
          <w:szCs w:val="28"/>
          <w:lang w:eastAsia="zh-CN"/>
        </w:rPr>
      </w:pPr>
      <w:r>
        <w:rPr>
          <w:rFonts w:hint="eastAsia" w:ascii="宋体" w:hAnsi="宋体" w:cs="宋体"/>
          <w:color w:val="auto"/>
          <w:sz w:val="28"/>
          <w:szCs w:val="28"/>
          <w:lang w:eastAsia="zh-CN"/>
        </w:rPr>
        <w:br w:type="page"/>
      </w:r>
    </w:p>
    <w:p w14:paraId="176EEBE9">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420" w:firstLineChars="15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此页无正文，为签署页</w:t>
      </w:r>
      <w:r>
        <w:rPr>
          <w:rFonts w:hint="eastAsia" w:ascii="宋体" w:hAnsi="宋体" w:cs="宋体"/>
          <w:color w:val="auto"/>
          <w:sz w:val="28"/>
          <w:szCs w:val="28"/>
          <w:lang w:eastAsia="zh-CN"/>
        </w:rPr>
        <w:t>）</w:t>
      </w:r>
    </w:p>
    <w:p w14:paraId="592B861E">
      <w:pPr>
        <w:pStyle w:val="5"/>
        <w:keepNext w:val="0"/>
        <w:keepLines w:val="0"/>
        <w:pageBreakBefore w:val="0"/>
        <w:kinsoku/>
        <w:wordWrap/>
        <w:overflowPunct/>
        <w:topLinePunct w:val="0"/>
        <w:autoSpaceDE/>
        <w:autoSpaceDN/>
        <w:bidi w:val="0"/>
        <w:snapToGrid w:val="0"/>
        <w:spacing w:before="0" w:beforeAutospacing="0" w:after="0" w:afterAutospacing="0" w:line="360" w:lineRule="auto"/>
        <w:ind w:firstLine="420" w:firstLineChars="150"/>
        <w:textAlignment w:val="auto"/>
        <w:rPr>
          <w:rFonts w:hint="eastAsia" w:ascii="宋体" w:hAnsi="宋体" w:eastAsia="宋体" w:cs="宋体"/>
          <w:color w:val="auto"/>
          <w:sz w:val="28"/>
          <w:szCs w:val="28"/>
          <w:lang w:eastAsia="zh-CN"/>
        </w:rPr>
      </w:pPr>
    </w:p>
    <w:p w14:paraId="36205408">
      <w:pPr>
        <w:pStyle w:val="5"/>
        <w:keepNext w:val="0"/>
        <w:keepLines w:val="0"/>
        <w:pageBreakBefore w:val="0"/>
        <w:widowControl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b w:val="0"/>
          <w:bCs w:val="0"/>
          <w:color w:val="auto"/>
          <w:sz w:val="28"/>
          <w:szCs w:val="28"/>
          <w:lang w:eastAsia="zh-CN"/>
        </w:rPr>
      </w:pPr>
    </w:p>
    <w:p w14:paraId="2E25B5C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auto"/>
          <w:sz w:val="28"/>
          <w:szCs w:val="28"/>
        </w:rPr>
      </w:pPr>
      <w:r>
        <w:rPr>
          <w:rFonts w:hint="eastAsia" w:ascii="宋体" w:hAnsi="宋体" w:cs="宋体"/>
          <w:b w:val="0"/>
          <w:bCs w:val="0"/>
          <w:color w:val="auto"/>
          <w:sz w:val="28"/>
          <w:szCs w:val="28"/>
          <w:lang w:val="en-US" w:eastAsia="zh-CN"/>
        </w:rPr>
        <w:t>委托方</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kern w:val="0"/>
          <w:sz w:val="28"/>
          <w:szCs w:val="28"/>
        </w:rPr>
        <w:t>铜川市新区住房建设和交通运输局</w:t>
      </w:r>
      <w:r>
        <w:rPr>
          <w:rFonts w:hint="eastAsia" w:ascii="宋体" w:hAnsi="宋体" w:eastAsia="宋体" w:cs="宋体"/>
          <w:b w:val="0"/>
          <w:bCs w:val="0"/>
          <w:color w:val="auto"/>
          <w:sz w:val="28"/>
          <w:szCs w:val="28"/>
        </w:rPr>
        <w:t>（公章）</w:t>
      </w:r>
    </w:p>
    <w:p w14:paraId="3D5F2874">
      <w:pPr>
        <w:pStyle w:val="5"/>
        <w:keepNext w:val="0"/>
        <w:keepLines w:val="0"/>
        <w:pageBreakBefore w:val="0"/>
        <w:widowControl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授权代表：                 </w:t>
      </w:r>
    </w:p>
    <w:p w14:paraId="5CF129AF">
      <w:pPr>
        <w:pStyle w:val="5"/>
        <w:keepNext w:val="0"/>
        <w:keepLines w:val="0"/>
        <w:pageBreakBefore w:val="0"/>
        <w:widowControl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b w:val="0"/>
          <w:bCs w:val="0"/>
          <w:color w:val="auto"/>
          <w:sz w:val="28"/>
          <w:szCs w:val="28"/>
        </w:rPr>
      </w:pPr>
      <w:r>
        <w:rPr>
          <w:rFonts w:hint="eastAsia" w:ascii="宋体" w:hAnsi="宋体" w:cs="宋体"/>
          <w:b w:val="0"/>
          <w:bCs w:val="0"/>
          <w:color w:val="auto"/>
          <w:sz w:val="28"/>
          <w:szCs w:val="28"/>
          <w:lang w:val="en-US" w:eastAsia="zh-CN"/>
        </w:rPr>
        <w:t>日 期：</w:t>
      </w:r>
      <w:r>
        <w:rPr>
          <w:rFonts w:hint="eastAsia" w:ascii="宋体" w:hAnsi="宋体" w:eastAsia="宋体" w:cs="宋体"/>
          <w:b w:val="0"/>
          <w:bCs w:val="0"/>
          <w:color w:val="auto"/>
          <w:sz w:val="28"/>
          <w:szCs w:val="28"/>
        </w:rPr>
        <w:t xml:space="preserve">        年     月    日     </w:t>
      </w:r>
    </w:p>
    <w:p w14:paraId="368A263A">
      <w:pPr>
        <w:pStyle w:val="5"/>
        <w:keepNext w:val="0"/>
        <w:keepLines w:val="0"/>
        <w:pageBreakBefore w:val="0"/>
        <w:widowControl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b w:val="0"/>
          <w:bCs w:val="0"/>
          <w:color w:val="auto"/>
          <w:sz w:val="28"/>
          <w:szCs w:val="28"/>
        </w:rPr>
      </w:pPr>
    </w:p>
    <w:p w14:paraId="66ABAD63">
      <w:pPr>
        <w:pStyle w:val="5"/>
        <w:keepNext w:val="0"/>
        <w:keepLines w:val="0"/>
        <w:pageBreakBefore w:val="0"/>
        <w:widowControl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b w:val="0"/>
          <w:bCs w:val="0"/>
          <w:color w:val="auto"/>
          <w:sz w:val="28"/>
          <w:szCs w:val="28"/>
        </w:rPr>
      </w:pPr>
    </w:p>
    <w:p w14:paraId="5CFB359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auto"/>
          <w:sz w:val="28"/>
          <w:szCs w:val="28"/>
        </w:rPr>
      </w:pPr>
      <w:r>
        <w:rPr>
          <w:rFonts w:hint="eastAsia" w:ascii="宋体" w:hAnsi="宋体" w:cs="宋体"/>
          <w:b w:val="0"/>
          <w:bCs w:val="0"/>
          <w:color w:val="auto"/>
          <w:sz w:val="28"/>
          <w:szCs w:val="28"/>
          <w:lang w:val="en-US" w:eastAsia="zh-CN"/>
        </w:rPr>
        <w:t>受托</w:t>
      </w:r>
      <w:r>
        <w:rPr>
          <w:rFonts w:hint="eastAsia" w:ascii="宋体" w:hAnsi="宋体" w:eastAsia="宋体" w:cs="宋体"/>
          <w:b w:val="0"/>
          <w:bCs w:val="0"/>
          <w:color w:val="auto"/>
          <w:sz w:val="28"/>
          <w:szCs w:val="28"/>
        </w:rPr>
        <w:t>方：</w:t>
      </w:r>
      <w:r>
        <w:rPr>
          <w:rFonts w:hint="eastAsia" w:ascii="宋体" w:hAnsi="宋体" w:cs="宋体"/>
          <w:b w:val="0"/>
          <w:bCs w:val="0"/>
          <w:color w:val="auto"/>
          <w:kern w:val="0"/>
          <w:sz w:val="28"/>
          <w:szCs w:val="28"/>
          <w:lang w:val="en-US" w:eastAsia="zh-CN"/>
        </w:rPr>
        <w:t xml:space="preserve"> </w:t>
      </w:r>
      <w:r>
        <w:rPr>
          <w:rFonts w:hint="eastAsia" w:ascii="宋体" w:hAnsi="宋体" w:eastAsia="宋体" w:cs="宋体"/>
          <w:b w:val="0"/>
          <w:bCs w:val="0"/>
          <w:color w:val="auto"/>
          <w:sz w:val="28"/>
          <w:szCs w:val="28"/>
        </w:rPr>
        <w:t>（公章）</w:t>
      </w:r>
    </w:p>
    <w:p w14:paraId="1CB7FA01">
      <w:pPr>
        <w:pStyle w:val="5"/>
        <w:keepNext w:val="0"/>
        <w:keepLines w:val="0"/>
        <w:pageBreakBefore w:val="0"/>
        <w:widowControl w:val="0"/>
        <w:kinsoku/>
        <w:wordWrap/>
        <w:overflowPunct/>
        <w:topLinePunct w:val="0"/>
        <w:autoSpaceDE/>
        <w:autoSpaceDN/>
        <w:bidi w:val="0"/>
        <w:snapToGrid w:val="0"/>
        <w:spacing w:before="0" w:beforeAutospacing="0" w:after="0" w:afterAutospacing="0" w:line="360" w:lineRule="auto"/>
        <w:ind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授权代表：            </w:t>
      </w:r>
    </w:p>
    <w:p w14:paraId="07AA7E6E">
      <w:pPr>
        <w:keepNext w:val="0"/>
        <w:keepLines w:val="0"/>
        <w:pageBreakBefore w:val="0"/>
        <w:widowControl w:val="0"/>
        <w:kinsoku/>
        <w:wordWrap/>
        <w:overflowPunct/>
        <w:topLinePunct w:val="0"/>
        <w:autoSpaceDE/>
        <w:autoSpaceDN/>
        <w:bidi w:val="0"/>
        <w:spacing w:line="360" w:lineRule="auto"/>
        <w:ind w:firstLine="560" w:firstLineChars="200"/>
        <w:textAlignment w:val="auto"/>
        <w:rPr>
          <w:b w:val="0"/>
          <w:bCs w:val="0"/>
          <w:sz w:val="28"/>
          <w:szCs w:val="28"/>
        </w:rPr>
      </w:pPr>
      <w:r>
        <w:rPr>
          <w:rFonts w:hint="eastAsia" w:ascii="宋体" w:hAnsi="宋体" w:cs="宋体"/>
          <w:b w:val="0"/>
          <w:bCs w:val="0"/>
          <w:color w:val="auto"/>
          <w:sz w:val="28"/>
          <w:szCs w:val="28"/>
          <w:lang w:val="en-US" w:eastAsia="zh-CN"/>
        </w:rPr>
        <w:t>日 期：</w:t>
      </w:r>
      <w:r>
        <w:rPr>
          <w:rFonts w:hint="eastAsia" w:ascii="宋体" w:hAnsi="宋体" w:eastAsia="宋体" w:cs="宋体"/>
          <w:b w:val="0"/>
          <w:bCs w:val="0"/>
          <w:color w:val="auto"/>
          <w:sz w:val="28"/>
          <w:szCs w:val="28"/>
        </w:rPr>
        <w:t xml:space="preserve">        年     月    日</w:t>
      </w:r>
    </w:p>
    <w:p w14:paraId="0D61D589">
      <w:pPr>
        <w:keepNext w:val="0"/>
        <w:keepLines w:val="0"/>
        <w:pageBreakBefore w:val="0"/>
        <w:kinsoku/>
        <w:wordWrap/>
        <w:overflowPunct/>
        <w:topLinePunct w:val="0"/>
        <w:autoSpaceDE/>
        <w:autoSpaceDN/>
        <w:bidi w:val="0"/>
        <w:spacing w:line="360" w:lineRule="auto"/>
        <w:textAlignment w:val="auto"/>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7B07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BE64F4">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5BE64F4">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6222A2"/>
    <w:rsid w:val="0E586ADA"/>
    <w:rsid w:val="104E6EB6"/>
    <w:rsid w:val="10D95C52"/>
    <w:rsid w:val="1250484C"/>
    <w:rsid w:val="212E4011"/>
    <w:rsid w:val="24254EA5"/>
    <w:rsid w:val="270739D4"/>
    <w:rsid w:val="2AE71FA1"/>
    <w:rsid w:val="334A28B5"/>
    <w:rsid w:val="366853B2"/>
    <w:rsid w:val="3B13794D"/>
    <w:rsid w:val="4D6222A2"/>
    <w:rsid w:val="525403A4"/>
    <w:rsid w:val="5B531872"/>
    <w:rsid w:val="70A16226"/>
    <w:rsid w:val="7C444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spacing w:before="0" w:beforeAutospacing="0" w:after="0" w:afterAutospacing="0"/>
      <w:ind w:left="0" w:right="0"/>
      <w:jc w:val="left"/>
    </w:pPr>
    <w:rPr>
      <w:kern w:val="0"/>
      <w:sz w:val="24"/>
      <w:lang w:val="en-US" w:eastAsia="zh-CN" w:bidi="ar"/>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2520</Words>
  <Characters>2569</Characters>
  <Lines>0</Lines>
  <Paragraphs>0</Paragraphs>
  <TotalTime>2</TotalTime>
  <ScaleCrop>false</ScaleCrop>
  <LinksUpToDate>false</LinksUpToDate>
  <CharactersWithSpaces>2716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2020-08-25T06:07:00Z</dcterms:created>
  <dc:creator>柳帆</dc:creator>
  <cp:lastModifiedBy> </cp:lastModifiedBy>
  <dcterms:modified xsi:type="dcterms:W3CDTF">2026-08-20T08:39:18Z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eyJoZGlkIjoiZGRhNjJiMjMxZDc3NTBmNDI3OTljZmRhOTViYTNkMmUiLCJ1c2VySWQiOiI0NDI4MTA1MjgifQ==</vt:lpwstr>
  </property>
  <property fmtid="{D5CDD505-2E9C-101B-9397-08002B2CF9AE}" pid="4" name="ICV">
    <vt:lpwstr>4F1D5EFEE9D14947A8E58859D0F5A1DC_13</vt:lpwstr>
  </property>
</Properties>
</file>