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97655">
      <w:pPr>
        <w:pStyle w:val="4"/>
        <w:jc w:val="center"/>
        <w:outlineLvl w:val="1"/>
      </w:pPr>
      <w:bookmarkStart w:id="0" w:name="_GoBack"/>
      <w:bookmarkEnd w:id="0"/>
      <w:r>
        <w:rPr>
          <w:rFonts w:ascii="仿宋_GB2312" w:hAnsi="仿宋_GB2312" w:eastAsia="仿宋_GB2312" w:cs="仿宋_GB2312"/>
          <w:b/>
          <w:sz w:val="36"/>
        </w:rPr>
        <w:t>磋商项目技术、服务、商务及其他要求</w:t>
      </w:r>
    </w:p>
    <w:p w14:paraId="02119166">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BA34A32">
      <w:pPr>
        <w:pStyle w:val="4"/>
        <w:outlineLvl w:val="2"/>
      </w:pPr>
      <w:r>
        <w:rPr>
          <w:rFonts w:ascii="仿宋_GB2312" w:hAnsi="仿宋_GB2312" w:eastAsia="仿宋_GB2312" w:cs="仿宋_GB2312"/>
          <w:b/>
          <w:sz w:val="28"/>
        </w:rPr>
        <w:t>3.1采购项目概况</w:t>
      </w:r>
    </w:p>
    <w:p w14:paraId="563B1A3D">
      <w:pPr>
        <w:pStyle w:val="4"/>
        <w:ind w:firstLine="480"/>
        <w:rPr>
          <w:rFonts w:hint="eastAsia" w:eastAsiaTheme="minorEastAsia"/>
          <w:lang w:eastAsia="zh-CN"/>
        </w:rPr>
      </w:pPr>
      <w:r>
        <w:rPr>
          <w:rFonts w:hint="eastAsia" w:ascii="仿宋_GB2312" w:hAnsi="仿宋_GB2312" w:eastAsia="仿宋_GB2312" w:cs="仿宋_GB2312"/>
          <w:lang w:val="en-US" w:eastAsia="zh-CN"/>
        </w:rPr>
        <w:t>本</w:t>
      </w:r>
      <w:r>
        <w:rPr>
          <w:rFonts w:hint="eastAsia" w:ascii="仿宋_GB2312" w:hAnsi="仿宋_GB2312" w:eastAsia="仿宋_GB2312" w:cs="仿宋_GB2312"/>
          <w:lang w:eastAsia="zh-CN"/>
        </w:rPr>
        <w:t>项目</w:t>
      </w:r>
      <w:r>
        <w:rPr>
          <w:rFonts w:hint="eastAsia" w:ascii="仿宋_GB2312" w:hAnsi="仿宋_GB2312" w:eastAsia="仿宋_GB2312" w:cs="仿宋_GB2312"/>
        </w:rPr>
        <w:t>通过上门服务、实施转介等方式，为残疾人提供或帮助残疾人获得康复医疗、训练、护理等基本康复服务，提升残疾人就业能力。采购包1</w:t>
      </w:r>
      <w:r>
        <w:rPr>
          <w:rFonts w:hint="eastAsia" w:ascii="仿宋_GB2312" w:hAnsi="仿宋_GB2312" w:eastAsia="仿宋_GB2312" w:cs="仿宋_GB2312"/>
          <w:lang w:val="en-US" w:eastAsia="zh-CN"/>
        </w:rPr>
        <w:t>：5382人</w:t>
      </w: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hint="eastAsia" w:ascii="仿宋_GB2312" w:hAnsi="仿宋_GB2312" w:eastAsia="仿宋_GB2312" w:cs="仿宋_GB2312"/>
        </w:rPr>
        <w:t>：</w:t>
      </w:r>
      <w:r>
        <w:rPr>
          <w:rFonts w:hint="eastAsia" w:ascii="仿宋_GB2312" w:hAnsi="仿宋_GB2312" w:eastAsia="仿宋_GB2312" w:cs="仿宋_GB2312"/>
          <w:lang w:val="en-US" w:eastAsia="zh-CN"/>
        </w:rPr>
        <w:t>4600</w:t>
      </w:r>
      <w:r>
        <w:rPr>
          <w:rFonts w:hint="eastAsia" w:ascii="仿宋_GB2312" w:hAnsi="仿宋_GB2312" w:eastAsia="仿宋_GB2312" w:cs="仿宋_GB2312"/>
        </w:rPr>
        <w:t>人</w:t>
      </w:r>
      <w:r>
        <w:rPr>
          <w:rFonts w:hint="eastAsia" w:ascii="仿宋_GB2312" w:hAnsi="仿宋_GB2312" w:eastAsia="仿宋_GB2312" w:cs="仿宋_GB2312"/>
          <w:lang w:eastAsia="zh-CN"/>
        </w:rPr>
        <w:t>；</w:t>
      </w: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hint="eastAsia" w:ascii="仿宋_GB2312" w:hAnsi="仿宋_GB2312" w:eastAsia="仿宋_GB2312" w:cs="仿宋_GB2312"/>
        </w:rPr>
        <w:t>：3000人</w:t>
      </w:r>
      <w:r>
        <w:rPr>
          <w:rFonts w:hint="eastAsia" w:ascii="仿宋_GB2312" w:hAnsi="仿宋_GB2312" w:eastAsia="仿宋_GB2312" w:cs="仿宋_GB2312"/>
          <w:lang w:eastAsia="zh-CN"/>
        </w:rPr>
        <w:t>；</w:t>
      </w: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hint="eastAsia" w:ascii="仿宋_GB2312" w:hAnsi="仿宋_GB2312" w:eastAsia="仿宋_GB2312" w:cs="仿宋_GB2312"/>
        </w:rPr>
        <w:t>：2000人</w:t>
      </w:r>
      <w:r>
        <w:rPr>
          <w:rFonts w:hint="eastAsia" w:ascii="仿宋_GB2312" w:hAnsi="仿宋_GB2312" w:eastAsia="仿宋_GB2312" w:cs="仿宋_GB2312"/>
          <w:lang w:eastAsia="zh-CN"/>
        </w:rPr>
        <w:t>。</w:t>
      </w:r>
    </w:p>
    <w:p w14:paraId="40B53C50">
      <w:pPr>
        <w:pStyle w:val="4"/>
        <w:outlineLvl w:val="2"/>
      </w:pPr>
      <w:r>
        <w:rPr>
          <w:rFonts w:ascii="仿宋_GB2312" w:hAnsi="仿宋_GB2312" w:eastAsia="仿宋_GB2312" w:cs="仿宋_GB2312"/>
          <w:b/>
          <w:sz w:val="28"/>
        </w:rPr>
        <w:t>3.2服务内容及服务要求</w:t>
      </w:r>
    </w:p>
    <w:p w14:paraId="131E2E0D">
      <w:pPr>
        <w:pStyle w:val="4"/>
        <w:outlineLvl w:val="3"/>
      </w:pPr>
      <w:r>
        <w:rPr>
          <w:rFonts w:ascii="仿宋_GB2312" w:hAnsi="仿宋_GB2312" w:eastAsia="仿宋_GB2312" w:cs="仿宋_GB2312"/>
          <w:b/>
          <w:sz w:val="24"/>
        </w:rPr>
        <w:t>3.2.1服务内容</w:t>
      </w:r>
    </w:p>
    <w:p w14:paraId="76A3BCD0">
      <w:pPr>
        <w:pStyle w:val="4"/>
      </w:pPr>
      <w:r>
        <w:rPr>
          <w:rFonts w:ascii="仿宋_GB2312" w:hAnsi="仿宋_GB2312" w:eastAsia="仿宋_GB2312" w:cs="仿宋_GB2312"/>
        </w:rPr>
        <w:t>采购包1：</w:t>
      </w:r>
    </w:p>
    <w:p w14:paraId="41567C3F">
      <w:pPr>
        <w:pStyle w:val="4"/>
      </w:pPr>
      <w:r>
        <w:rPr>
          <w:rFonts w:ascii="仿宋_GB2312" w:hAnsi="仿宋_GB2312" w:eastAsia="仿宋_GB2312" w:cs="仿宋_GB2312"/>
        </w:rPr>
        <w:t xml:space="preserve">采购包预算金额（元）: </w:t>
      </w:r>
      <w:r>
        <w:rPr>
          <w:rFonts w:hint="eastAsia" w:ascii="宋体" w:hAnsi="宋体" w:eastAsia="宋体" w:cs="宋体"/>
          <w:i w:val="0"/>
          <w:iCs w:val="0"/>
          <w:color w:val="000000"/>
          <w:kern w:val="0"/>
          <w:sz w:val="21"/>
          <w:szCs w:val="21"/>
          <w:u w:val="none"/>
          <w:lang w:val="en-US" w:eastAsia="zh-CN" w:bidi="ar"/>
        </w:rPr>
        <w:t>322,920.00</w:t>
      </w:r>
    </w:p>
    <w:p w14:paraId="67F0B1C3">
      <w:pPr>
        <w:pStyle w:val="4"/>
      </w:pPr>
      <w:r>
        <w:rPr>
          <w:rFonts w:ascii="仿宋_GB2312" w:hAnsi="仿宋_GB2312" w:eastAsia="仿宋_GB2312" w:cs="仿宋_GB2312"/>
        </w:rPr>
        <w:t xml:space="preserve">采购包最高限价（元）: </w:t>
      </w:r>
      <w:r>
        <w:rPr>
          <w:rFonts w:hint="eastAsia" w:ascii="宋体" w:hAnsi="宋体" w:eastAsia="宋体" w:cs="宋体"/>
          <w:i w:val="0"/>
          <w:iCs w:val="0"/>
          <w:color w:val="000000"/>
          <w:kern w:val="0"/>
          <w:sz w:val="21"/>
          <w:szCs w:val="21"/>
          <w:u w:val="none"/>
          <w:lang w:val="en-US" w:eastAsia="zh-CN" w:bidi="ar"/>
        </w:rPr>
        <w:t>322,920.00</w:t>
      </w:r>
    </w:p>
    <w:p w14:paraId="4894D5C5">
      <w:pPr>
        <w:pStyle w:val="4"/>
      </w:pPr>
      <w:r>
        <w:rPr>
          <w:rFonts w:ascii="仿宋_GB2312" w:hAnsi="仿宋_GB2312" w:eastAsia="仿宋_GB2312" w:cs="仿宋_GB2312"/>
        </w:rPr>
        <w:t>供应商报价不允许超过标的金额</w:t>
      </w:r>
    </w:p>
    <w:p w14:paraId="0C7EB562">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3"/>
        <w:gridCol w:w="817"/>
        <w:gridCol w:w="817"/>
        <w:gridCol w:w="1266"/>
        <w:gridCol w:w="803"/>
        <w:gridCol w:w="803"/>
        <w:gridCol w:w="803"/>
        <w:gridCol w:w="803"/>
        <w:gridCol w:w="803"/>
        <w:gridCol w:w="804"/>
      </w:tblGrid>
      <w:tr w14:paraId="5C5689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9E718C">
            <w:pPr>
              <w:pStyle w:val="4"/>
            </w:pPr>
            <w:r>
              <w:rPr>
                <w:rFonts w:ascii="仿宋_GB2312" w:hAnsi="仿宋_GB2312" w:eastAsia="仿宋_GB2312" w:cs="仿宋_GB2312"/>
              </w:rPr>
              <w:t>序号</w:t>
            </w:r>
          </w:p>
        </w:tc>
        <w:tc>
          <w:tcPr>
            <w:tcW w:w="831" w:type="dxa"/>
          </w:tcPr>
          <w:p w14:paraId="08B6D733">
            <w:pPr>
              <w:pStyle w:val="4"/>
            </w:pPr>
            <w:r>
              <w:rPr>
                <w:rFonts w:ascii="仿宋_GB2312" w:hAnsi="仿宋_GB2312" w:eastAsia="仿宋_GB2312" w:cs="仿宋_GB2312"/>
              </w:rPr>
              <w:t>标的名称</w:t>
            </w:r>
          </w:p>
        </w:tc>
        <w:tc>
          <w:tcPr>
            <w:tcW w:w="831" w:type="dxa"/>
          </w:tcPr>
          <w:p w14:paraId="41CB856A">
            <w:pPr>
              <w:pStyle w:val="4"/>
            </w:pPr>
            <w:r>
              <w:rPr>
                <w:rFonts w:ascii="仿宋_GB2312" w:hAnsi="仿宋_GB2312" w:eastAsia="仿宋_GB2312" w:cs="仿宋_GB2312"/>
              </w:rPr>
              <w:t>数量</w:t>
            </w:r>
          </w:p>
        </w:tc>
        <w:tc>
          <w:tcPr>
            <w:tcW w:w="831" w:type="dxa"/>
          </w:tcPr>
          <w:p w14:paraId="65801BA7">
            <w:pPr>
              <w:pStyle w:val="4"/>
            </w:pPr>
            <w:r>
              <w:rPr>
                <w:rFonts w:ascii="仿宋_GB2312" w:hAnsi="仿宋_GB2312" w:eastAsia="仿宋_GB2312" w:cs="仿宋_GB2312"/>
              </w:rPr>
              <w:t>标的金额 （元）</w:t>
            </w:r>
          </w:p>
        </w:tc>
        <w:tc>
          <w:tcPr>
            <w:tcW w:w="831" w:type="dxa"/>
          </w:tcPr>
          <w:p w14:paraId="4A2D51F8">
            <w:pPr>
              <w:pStyle w:val="4"/>
            </w:pPr>
            <w:r>
              <w:rPr>
                <w:rFonts w:ascii="仿宋_GB2312" w:hAnsi="仿宋_GB2312" w:eastAsia="仿宋_GB2312" w:cs="仿宋_GB2312"/>
              </w:rPr>
              <w:t>计量单位</w:t>
            </w:r>
          </w:p>
        </w:tc>
        <w:tc>
          <w:tcPr>
            <w:tcW w:w="831" w:type="dxa"/>
          </w:tcPr>
          <w:p w14:paraId="4CB460C6">
            <w:pPr>
              <w:pStyle w:val="4"/>
            </w:pPr>
            <w:r>
              <w:rPr>
                <w:rFonts w:ascii="仿宋_GB2312" w:hAnsi="仿宋_GB2312" w:eastAsia="仿宋_GB2312" w:cs="仿宋_GB2312"/>
              </w:rPr>
              <w:t>所属行业</w:t>
            </w:r>
          </w:p>
        </w:tc>
        <w:tc>
          <w:tcPr>
            <w:tcW w:w="831" w:type="dxa"/>
          </w:tcPr>
          <w:p w14:paraId="0AA9B14E">
            <w:pPr>
              <w:pStyle w:val="4"/>
            </w:pPr>
            <w:r>
              <w:rPr>
                <w:rFonts w:ascii="仿宋_GB2312" w:hAnsi="仿宋_GB2312" w:eastAsia="仿宋_GB2312" w:cs="仿宋_GB2312"/>
              </w:rPr>
              <w:t>是否核心产品</w:t>
            </w:r>
          </w:p>
        </w:tc>
        <w:tc>
          <w:tcPr>
            <w:tcW w:w="831" w:type="dxa"/>
          </w:tcPr>
          <w:p w14:paraId="08F9D6A0">
            <w:pPr>
              <w:pStyle w:val="4"/>
            </w:pPr>
            <w:r>
              <w:rPr>
                <w:rFonts w:ascii="仿宋_GB2312" w:hAnsi="仿宋_GB2312" w:eastAsia="仿宋_GB2312" w:cs="仿宋_GB2312"/>
              </w:rPr>
              <w:t>是否允许进口产品</w:t>
            </w:r>
          </w:p>
        </w:tc>
        <w:tc>
          <w:tcPr>
            <w:tcW w:w="831" w:type="dxa"/>
          </w:tcPr>
          <w:p w14:paraId="6FDC7D6A">
            <w:pPr>
              <w:pStyle w:val="4"/>
            </w:pPr>
            <w:r>
              <w:rPr>
                <w:rFonts w:ascii="仿宋_GB2312" w:hAnsi="仿宋_GB2312" w:eastAsia="仿宋_GB2312" w:cs="仿宋_GB2312"/>
              </w:rPr>
              <w:t>是否属于节能产品</w:t>
            </w:r>
          </w:p>
        </w:tc>
        <w:tc>
          <w:tcPr>
            <w:tcW w:w="831" w:type="dxa"/>
          </w:tcPr>
          <w:p w14:paraId="472C3B88">
            <w:pPr>
              <w:pStyle w:val="4"/>
            </w:pPr>
            <w:r>
              <w:rPr>
                <w:rFonts w:ascii="仿宋_GB2312" w:hAnsi="仿宋_GB2312" w:eastAsia="仿宋_GB2312" w:cs="仿宋_GB2312"/>
              </w:rPr>
              <w:t>是否属于环境标志产品</w:t>
            </w:r>
          </w:p>
        </w:tc>
      </w:tr>
      <w:tr w14:paraId="690EC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265F1C">
            <w:pPr>
              <w:pStyle w:val="4"/>
            </w:pPr>
            <w:r>
              <w:rPr>
                <w:rFonts w:ascii="仿宋_GB2312" w:hAnsi="仿宋_GB2312" w:eastAsia="仿宋_GB2312" w:cs="仿宋_GB2312"/>
              </w:rPr>
              <w:t>1</w:t>
            </w:r>
          </w:p>
        </w:tc>
        <w:tc>
          <w:tcPr>
            <w:tcW w:w="831" w:type="dxa"/>
          </w:tcPr>
          <w:p w14:paraId="62103538">
            <w:pPr>
              <w:pStyle w:val="4"/>
              <w:rPr>
                <w:rFonts w:hint="eastAsia" w:eastAsiaTheme="minorEastAsia"/>
                <w:lang w:eastAsia="zh-CN"/>
              </w:rPr>
            </w:pPr>
            <w:r>
              <w:rPr>
                <w:rFonts w:hint="eastAsia" w:ascii="仿宋_GB2312" w:hAnsi="仿宋_GB2312" w:eastAsia="仿宋_GB2312" w:cs="仿宋_GB2312"/>
                <w:lang w:eastAsia="zh-CN"/>
              </w:rPr>
              <w:t>大荔县2026年残疾人家庭医生签约服务采购项目</w:t>
            </w:r>
          </w:p>
        </w:tc>
        <w:tc>
          <w:tcPr>
            <w:tcW w:w="831" w:type="dxa"/>
          </w:tcPr>
          <w:p w14:paraId="5752599D">
            <w:pPr>
              <w:pStyle w:val="4"/>
              <w:jc w:val="right"/>
            </w:pPr>
            <w:r>
              <w:rPr>
                <w:rFonts w:ascii="仿宋_GB2312" w:hAnsi="仿宋_GB2312" w:eastAsia="仿宋_GB2312" w:cs="仿宋_GB2312"/>
              </w:rPr>
              <w:t>1.00</w:t>
            </w:r>
          </w:p>
        </w:tc>
        <w:tc>
          <w:tcPr>
            <w:tcW w:w="831" w:type="dxa"/>
          </w:tcPr>
          <w:p w14:paraId="48AF02AE">
            <w:pPr>
              <w:pStyle w:val="4"/>
              <w:jc w:val="right"/>
            </w:pPr>
            <w:r>
              <w:rPr>
                <w:rFonts w:hint="eastAsia" w:ascii="宋体" w:hAnsi="宋体" w:eastAsia="宋体" w:cs="宋体"/>
                <w:i w:val="0"/>
                <w:iCs w:val="0"/>
                <w:color w:val="000000"/>
                <w:kern w:val="0"/>
                <w:sz w:val="21"/>
                <w:szCs w:val="21"/>
                <w:u w:val="none"/>
                <w:lang w:val="en-US" w:eastAsia="zh-CN" w:bidi="ar"/>
              </w:rPr>
              <w:t>322,920.00</w:t>
            </w:r>
          </w:p>
        </w:tc>
        <w:tc>
          <w:tcPr>
            <w:tcW w:w="831" w:type="dxa"/>
          </w:tcPr>
          <w:p w14:paraId="3BD9970C">
            <w:pPr>
              <w:pStyle w:val="4"/>
            </w:pPr>
            <w:r>
              <w:rPr>
                <w:rFonts w:ascii="仿宋_GB2312" w:hAnsi="仿宋_GB2312" w:eastAsia="仿宋_GB2312" w:cs="仿宋_GB2312"/>
              </w:rPr>
              <w:t>项</w:t>
            </w:r>
          </w:p>
        </w:tc>
        <w:tc>
          <w:tcPr>
            <w:tcW w:w="831" w:type="dxa"/>
          </w:tcPr>
          <w:p w14:paraId="3DD57121">
            <w:pPr>
              <w:pStyle w:val="4"/>
            </w:pPr>
            <w:r>
              <w:rPr>
                <w:rFonts w:hint="eastAsia" w:ascii="仿宋_GB2312" w:hAnsi="仿宋_GB2312" w:eastAsia="仿宋_GB2312" w:cs="仿宋_GB2312"/>
              </w:rPr>
              <w:t>其他未列明行业</w:t>
            </w:r>
          </w:p>
        </w:tc>
        <w:tc>
          <w:tcPr>
            <w:tcW w:w="831" w:type="dxa"/>
          </w:tcPr>
          <w:p w14:paraId="5B3915CA">
            <w:pPr>
              <w:pStyle w:val="4"/>
            </w:pPr>
            <w:r>
              <w:rPr>
                <w:rFonts w:ascii="仿宋_GB2312" w:hAnsi="仿宋_GB2312" w:eastAsia="仿宋_GB2312" w:cs="仿宋_GB2312"/>
              </w:rPr>
              <w:t>否</w:t>
            </w:r>
          </w:p>
        </w:tc>
        <w:tc>
          <w:tcPr>
            <w:tcW w:w="831" w:type="dxa"/>
          </w:tcPr>
          <w:p w14:paraId="57FEFE3B">
            <w:pPr>
              <w:pStyle w:val="4"/>
            </w:pPr>
            <w:r>
              <w:rPr>
                <w:rFonts w:ascii="仿宋_GB2312" w:hAnsi="仿宋_GB2312" w:eastAsia="仿宋_GB2312" w:cs="仿宋_GB2312"/>
              </w:rPr>
              <w:t>否</w:t>
            </w:r>
          </w:p>
        </w:tc>
        <w:tc>
          <w:tcPr>
            <w:tcW w:w="831" w:type="dxa"/>
          </w:tcPr>
          <w:p w14:paraId="54718062">
            <w:pPr>
              <w:pStyle w:val="4"/>
            </w:pPr>
            <w:r>
              <w:rPr>
                <w:rFonts w:ascii="仿宋_GB2312" w:hAnsi="仿宋_GB2312" w:eastAsia="仿宋_GB2312" w:cs="仿宋_GB2312"/>
              </w:rPr>
              <w:t>否</w:t>
            </w:r>
          </w:p>
        </w:tc>
        <w:tc>
          <w:tcPr>
            <w:tcW w:w="831" w:type="dxa"/>
          </w:tcPr>
          <w:p w14:paraId="754BF374">
            <w:pPr>
              <w:pStyle w:val="4"/>
            </w:pPr>
            <w:r>
              <w:rPr>
                <w:rFonts w:ascii="仿宋_GB2312" w:hAnsi="仿宋_GB2312" w:eastAsia="仿宋_GB2312" w:cs="仿宋_GB2312"/>
              </w:rPr>
              <w:t>否</w:t>
            </w:r>
          </w:p>
        </w:tc>
      </w:tr>
    </w:tbl>
    <w:p w14:paraId="55B46FDD">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6A2226E4">
      <w:pPr>
        <w:pStyle w:val="4"/>
      </w:pPr>
      <w:r>
        <w:rPr>
          <w:rFonts w:ascii="仿宋_GB2312" w:hAnsi="仿宋_GB2312" w:eastAsia="仿宋_GB2312" w:cs="仿宋_GB2312"/>
        </w:rPr>
        <w:t xml:space="preserve">采购包预算金额（元）: </w:t>
      </w:r>
      <w:r>
        <w:rPr>
          <w:rFonts w:hint="eastAsia" w:ascii="宋体" w:hAnsi="宋体" w:eastAsia="宋体" w:cs="宋体"/>
          <w:i w:val="0"/>
          <w:iCs w:val="0"/>
          <w:color w:val="000000"/>
          <w:kern w:val="0"/>
          <w:sz w:val="21"/>
          <w:szCs w:val="21"/>
          <w:u w:val="none"/>
          <w:lang w:val="en-US" w:eastAsia="zh-CN" w:bidi="ar"/>
        </w:rPr>
        <w:t>276,000.</w:t>
      </w:r>
      <w:r>
        <w:rPr>
          <w:rFonts w:ascii="仿宋_GB2312" w:hAnsi="仿宋_GB2312" w:eastAsia="仿宋_GB2312" w:cs="仿宋_GB2312"/>
        </w:rPr>
        <w:t>00</w:t>
      </w:r>
    </w:p>
    <w:p w14:paraId="6CCC4F87">
      <w:pPr>
        <w:pStyle w:val="4"/>
      </w:pPr>
      <w:r>
        <w:rPr>
          <w:rFonts w:ascii="仿宋_GB2312" w:hAnsi="仿宋_GB2312" w:eastAsia="仿宋_GB2312" w:cs="仿宋_GB2312"/>
        </w:rPr>
        <w:t xml:space="preserve">采购包最高限价（元）: </w:t>
      </w:r>
      <w:r>
        <w:rPr>
          <w:rFonts w:hint="eastAsia" w:ascii="宋体" w:hAnsi="宋体" w:eastAsia="宋体" w:cs="宋体"/>
          <w:i w:val="0"/>
          <w:iCs w:val="0"/>
          <w:color w:val="000000"/>
          <w:kern w:val="0"/>
          <w:sz w:val="21"/>
          <w:szCs w:val="21"/>
          <w:u w:val="none"/>
          <w:lang w:val="en-US" w:eastAsia="zh-CN" w:bidi="ar"/>
        </w:rPr>
        <w:t>276,000.</w:t>
      </w:r>
      <w:r>
        <w:rPr>
          <w:rFonts w:ascii="仿宋_GB2312" w:hAnsi="仿宋_GB2312" w:eastAsia="仿宋_GB2312" w:cs="仿宋_GB2312"/>
        </w:rPr>
        <w:t>00</w:t>
      </w:r>
    </w:p>
    <w:p w14:paraId="6A5D1A00">
      <w:pPr>
        <w:pStyle w:val="4"/>
      </w:pPr>
      <w:r>
        <w:rPr>
          <w:rFonts w:ascii="仿宋_GB2312" w:hAnsi="仿宋_GB2312" w:eastAsia="仿宋_GB2312" w:cs="仿宋_GB2312"/>
        </w:rPr>
        <w:t>供应商报价不允许超过标的金额</w:t>
      </w:r>
    </w:p>
    <w:p w14:paraId="4A754F67">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4"/>
        <w:gridCol w:w="817"/>
        <w:gridCol w:w="817"/>
        <w:gridCol w:w="1256"/>
        <w:gridCol w:w="804"/>
        <w:gridCol w:w="804"/>
        <w:gridCol w:w="805"/>
        <w:gridCol w:w="805"/>
        <w:gridCol w:w="805"/>
        <w:gridCol w:w="805"/>
      </w:tblGrid>
      <w:tr w14:paraId="67D077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735DD3">
            <w:pPr>
              <w:pStyle w:val="4"/>
            </w:pPr>
            <w:r>
              <w:rPr>
                <w:rFonts w:ascii="仿宋_GB2312" w:hAnsi="仿宋_GB2312" w:eastAsia="仿宋_GB2312" w:cs="仿宋_GB2312"/>
              </w:rPr>
              <w:t>序号</w:t>
            </w:r>
          </w:p>
        </w:tc>
        <w:tc>
          <w:tcPr>
            <w:tcW w:w="831" w:type="dxa"/>
          </w:tcPr>
          <w:p w14:paraId="00105907">
            <w:pPr>
              <w:pStyle w:val="4"/>
            </w:pPr>
            <w:r>
              <w:rPr>
                <w:rFonts w:ascii="仿宋_GB2312" w:hAnsi="仿宋_GB2312" w:eastAsia="仿宋_GB2312" w:cs="仿宋_GB2312"/>
              </w:rPr>
              <w:t>标的名称</w:t>
            </w:r>
          </w:p>
        </w:tc>
        <w:tc>
          <w:tcPr>
            <w:tcW w:w="831" w:type="dxa"/>
          </w:tcPr>
          <w:p w14:paraId="4D49AC68">
            <w:pPr>
              <w:pStyle w:val="4"/>
            </w:pPr>
            <w:r>
              <w:rPr>
                <w:rFonts w:ascii="仿宋_GB2312" w:hAnsi="仿宋_GB2312" w:eastAsia="仿宋_GB2312" w:cs="仿宋_GB2312"/>
              </w:rPr>
              <w:t>数量</w:t>
            </w:r>
          </w:p>
        </w:tc>
        <w:tc>
          <w:tcPr>
            <w:tcW w:w="831" w:type="dxa"/>
          </w:tcPr>
          <w:p w14:paraId="24B62120">
            <w:pPr>
              <w:pStyle w:val="4"/>
            </w:pPr>
            <w:r>
              <w:rPr>
                <w:rFonts w:ascii="仿宋_GB2312" w:hAnsi="仿宋_GB2312" w:eastAsia="仿宋_GB2312" w:cs="仿宋_GB2312"/>
              </w:rPr>
              <w:t>标的金额 （元）</w:t>
            </w:r>
          </w:p>
        </w:tc>
        <w:tc>
          <w:tcPr>
            <w:tcW w:w="831" w:type="dxa"/>
          </w:tcPr>
          <w:p w14:paraId="001C0CEA">
            <w:pPr>
              <w:pStyle w:val="4"/>
            </w:pPr>
            <w:r>
              <w:rPr>
                <w:rFonts w:ascii="仿宋_GB2312" w:hAnsi="仿宋_GB2312" w:eastAsia="仿宋_GB2312" w:cs="仿宋_GB2312"/>
              </w:rPr>
              <w:t>计量单位</w:t>
            </w:r>
          </w:p>
        </w:tc>
        <w:tc>
          <w:tcPr>
            <w:tcW w:w="831" w:type="dxa"/>
          </w:tcPr>
          <w:p w14:paraId="2E7D8024">
            <w:pPr>
              <w:pStyle w:val="4"/>
            </w:pPr>
            <w:r>
              <w:rPr>
                <w:rFonts w:ascii="仿宋_GB2312" w:hAnsi="仿宋_GB2312" w:eastAsia="仿宋_GB2312" w:cs="仿宋_GB2312"/>
              </w:rPr>
              <w:t>所属行业</w:t>
            </w:r>
          </w:p>
        </w:tc>
        <w:tc>
          <w:tcPr>
            <w:tcW w:w="831" w:type="dxa"/>
          </w:tcPr>
          <w:p w14:paraId="6CA6272F">
            <w:pPr>
              <w:pStyle w:val="4"/>
            </w:pPr>
            <w:r>
              <w:rPr>
                <w:rFonts w:ascii="仿宋_GB2312" w:hAnsi="仿宋_GB2312" w:eastAsia="仿宋_GB2312" w:cs="仿宋_GB2312"/>
              </w:rPr>
              <w:t>是否核心产品</w:t>
            </w:r>
          </w:p>
        </w:tc>
        <w:tc>
          <w:tcPr>
            <w:tcW w:w="831" w:type="dxa"/>
          </w:tcPr>
          <w:p w14:paraId="19BE5C5E">
            <w:pPr>
              <w:pStyle w:val="4"/>
            </w:pPr>
            <w:r>
              <w:rPr>
                <w:rFonts w:ascii="仿宋_GB2312" w:hAnsi="仿宋_GB2312" w:eastAsia="仿宋_GB2312" w:cs="仿宋_GB2312"/>
              </w:rPr>
              <w:t>是否允许进口产品</w:t>
            </w:r>
          </w:p>
        </w:tc>
        <w:tc>
          <w:tcPr>
            <w:tcW w:w="831" w:type="dxa"/>
          </w:tcPr>
          <w:p w14:paraId="0CCB38F2">
            <w:pPr>
              <w:pStyle w:val="4"/>
            </w:pPr>
            <w:r>
              <w:rPr>
                <w:rFonts w:ascii="仿宋_GB2312" w:hAnsi="仿宋_GB2312" w:eastAsia="仿宋_GB2312" w:cs="仿宋_GB2312"/>
              </w:rPr>
              <w:t>是否属于节能产品</w:t>
            </w:r>
          </w:p>
        </w:tc>
        <w:tc>
          <w:tcPr>
            <w:tcW w:w="831" w:type="dxa"/>
          </w:tcPr>
          <w:p w14:paraId="3171580F">
            <w:pPr>
              <w:pStyle w:val="4"/>
            </w:pPr>
            <w:r>
              <w:rPr>
                <w:rFonts w:ascii="仿宋_GB2312" w:hAnsi="仿宋_GB2312" w:eastAsia="仿宋_GB2312" w:cs="仿宋_GB2312"/>
              </w:rPr>
              <w:t>是否属于环境标志产品</w:t>
            </w:r>
          </w:p>
        </w:tc>
      </w:tr>
      <w:tr w14:paraId="3222C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DC8198">
            <w:pPr>
              <w:pStyle w:val="4"/>
            </w:pPr>
            <w:r>
              <w:rPr>
                <w:rFonts w:ascii="仿宋_GB2312" w:hAnsi="仿宋_GB2312" w:eastAsia="仿宋_GB2312" w:cs="仿宋_GB2312"/>
              </w:rPr>
              <w:t>1</w:t>
            </w:r>
          </w:p>
        </w:tc>
        <w:tc>
          <w:tcPr>
            <w:tcW w:w="831" w:type="dxa"/>
          </w:tcPr>
          <w:p w14:paraId="41A047B0">
            <w:pPr>
              <w:pStyle w:val="4"/>
              <w:rPr>
                <w:rFonts w:hint="eastAsia" w:eastAsiaTheme="minorEastAsia"/>
                <w:lang w:eastAsia="zh-CN"/>
              </w:rPr>
            </w:pPr>
            <w:r>
              <w:rPr>
                <w:rFonts w:hint="eastAsia" w:ascii="仿宋_GB2312" w:hAnsi="仿宋_GB2312" w:eastAsia="仿宋_GB2312" w:cs="仿宋_GB2312"/>
                <w:lang w:eastAsia="zh-CN"/>
              </w:rPr>
              <w:t>大荔县2026年残疾人家庭医生签约服务采购项目</w:t>
            </w:r>
          </w:p>
        </w:tc>
        <w:tc>
          <w:tcPr>
            <w:tcW w:w="831" w:type="dxa"/>
          </w:tcPr>
          <w:p w14:paraId="0372F48C">
            <w:pPr>
              <w:pStyle w:val="4"/>
              <w:jc w:val="right"/>
            </w:pPr>
            <w:r>
              <w:rPr>
                <w:rFonts w:ascii="仿宋_GB2312" w:hAnsi="仿宋_GB2312" w:eastAsia="仿宋_GB2312" w:cs="仿宋_GB2312"/>
              </w:rPr>
              <w:t>1.00</w:t>
            </w:r>
          </w:p>
        </w:tc>
        <w:tc>
          <w:tcPr>
            <w:tcW w:w="831" w:type="dxa"/>
          </w:tcPr>
          <w:p w14:paraId="51F7BDDF">
            <w:pPr>
              <w:pStyle w:val="4"/>
              <w:jc w:val="right"/>
            </w:pPr>
            <w:r>
              <w:rPr>
                <w:rFonts w:hint="eastAsia" w:ascii="宋体" w:hAnsi="宋体" w:eastAsia="宋体" w:cs="宋体"/>
                <w:i w:val="0"/>
                <w:iCs w:val="0"/>
                <w:color w:val="000000"/>
                <w:kern w:val="0"/>
                <w:sz w:val="21"/>
                <w:szCs w:val="21"/>
                <w:u w:val="none"/>
                <w:lang w:val="en-US" w:eastAsia="zh-CN" w:bidi="ar"/>
              </w:rPr>
              <w:t>276,000.</w:t>
            </w:r>
            <w:r>
              <w:rPr>
                <w:rFonts w:ascii="仿宋_GB2312" w:hAnsi="仿宋_GB2312" w:eastAsia="仿宋_GB2312" w:cs="仿宋_GB2312"/>
              </w:rPr>
              <w:t>00</w:t>
            </w:r>
          </w:p>
        </w:tc>
        <w:tc>
          <w:tcPr>
            <w:tcW w:w="831" w:type="dxa"/>
          </w:tcPr>
          <w:p w14:paraId="10F0BED0">
            <w:pPr>
              <w:pStyle w:val="4"/>
            </w:pPr>
            <w:r>
              <w:rPr>
                <w:rFonts w:ascii="仿宋_GB2312" w:hAnsi="仿宋_GB2312" w:eastAsia="仿宋_GB2312" w:cs="仿宋_GB2312"/>
              </w:rPr>
              <w:t>项</w:t>
            </w:r>
          </w:p>
        </w:tc>
        <w:tc>
          <w:tcPr>
            <w:tcW w:w="831" w:type="dxa"/>
          </w:tcPr>
          <w:p w14:paraId="23A200A8">
            <w:pPr>
              <w:pStyle w:val="4"/>
            </w:pPr>
            <w:r>
              <w:rPr>
                <w:rFonts w:hint="eastAsia" w:ascii="仿宋_GB2312" w:hAnsi="仿宋_GB2312" w:eastAsia="仿宋_GB2312" w:cs="仿宋_GB2312"/>
              </w:rPr>
              <w:t>其他未列明行业</w:t>
            </w:r>
          </w:p>
        </w:tc>
        <w:tc>
          <w:tcPr>
            <w:tcW w:w="831" w:type="dxa"/>
          </w:tcPr>
          <w:p w14:paraId="0CBB2734">
            <w:pPr>
              <w:pStyle w:val="4"/>
            </w:pPr>
            <w:r>
              <w:rPr>
                <w:rFonts w:ascii="仿宋_GB2312" w:hAnsi="仿宋_GB2312" w:eastAsia="仿宋_GB2312" w:cs="仿宋_GB2312"/>
              </w:rPr>
              <w:t>否</w:t>
            </w:r>
          </w:p>
        </w:tc>
        <w:tc>
          <w:tcPr>
            <w:tcW w:w="831" w:type="dxa"/>
          </w:tcPr>
          <w:p w14:paraId="353ED97C">
            <w:pPr>
              <w:pStyle w:val="4"/>
            </w:pPr>
            <w:r>
              <w:rPr>
                <w:rFonts w:ascii="仿宋_GB2312" w:hAnsi="仿宋_GB2312" w:eastAsia="仿宋_GB2312" w:cs="仿宋_GB2312"/>
              </w:rPr>
              <w:t>否</w:t>
            </w:r>
          </w:p>
        </w:tc>
        <w:tc>
          <w:tcPr>
            <w:tcW w:w="831" w:type="dxa"/>
          </w:tcPr>
          <w:p w14:paraId="145FABDC">
            <w:pPr>
              <w:pStyle w:val="4"/>
            </w:pPr>
            <w:r>
              <w:rPr>
                <w:rFonts w:ascii="仿宋_GB2312" w:hAnsi="仿宋_GB2312" w:eastAsia="仿宋_GB2312" w:cs="仿宋_GB2312"/>
              </w:rPr>
              <w:t>否</w:t>
            </w:r>
          </w:p>
        </w:tc>
        <w:tc>
          <w:tcPr>
            <w:tcW w:w="831" w:type="dxa"/>
          </w:tcPr>
          <w:p w14:paraId="718A6B2F">
            <w:pPr>
              <w:pStyle w:val="4"/>
            </w:pPr>
            <w:r>
              <w:rPr>
                <w:rFonts w:ascii="仿宋_GB2312" w:hAnsi="仿宋_GB2312" w:eastAsia="仿宋_GB2312" w:cs="仿宋_GB2312"/>
              </w:rPr>
              <w:t>否</w:t>
            </w:r>
          </w:p>
        </w:tc>
      </w:tr>
    </w:tbl>
    <w:p w14:paraId="2868BE6B">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4CD640A4">
      <w:pPr>
        <w:pStyle w:val="4"/>
      </w:pPr>
      <w:r>
        <w:rPr>
          <w:rFonts w:ascii="仿宋_GB2312" w:hAnsi="仿宋_GB2312" w:eastAsia="仿宋_GB2312" w:cs="仿宋_GB2312"/>
        </w:rPr>
        <w:t xml:space="preserve">采购包预算金额（元）: </w:t>
      </w:r>
      <w:r>
        <w:rPr>
          <w:rFonts w:hint="eastAsia" w:ascii="宋体" w:hAnsi="宋体" w:eastAsia="宋体" w:cs="宋体"/>
          <w:i w:val="0"/>
          <w:iCs w:val="0"/>
          <w:color w:val="000000"/>
          <w:kern w:val="0"/>
          <w:sz w:val="21"/>
          <w:szCs w:val="21"/>
          <w:u w:val="none"/>
          <w:lang w:val="en-US" w:eastAsia="zh-CN" w:bidi="ar"/>
        </w:rPr>
        <w:t>180,000</w:t>
      </w:r>
      <w:r>
        <w:rPr>
          <w:rFonts w:ascii="仿宋_GB2312" w:hAnsi="仿宋_GB2312" w:eastAsia="仿宋_GB2312" w:cs="仿宋_GB2312"/>
        </w:rPr>
        <w:t>.00</w:t>
      </w:r>
    </w:p>
    <w:p w14:paraId="77038362">
      <w:pPr>
        <w:pStyle w:val="4"/>
      </w:pPr>
      <w:r>
        <w:rPr>
          <w:rFonts w:ascii="仿宋_GB2312" w:hAnsi="仿宋_GB2312" w:eastAsia="仿宋_GB2312" w:cs="仿宋_GB2312"/>
        </w:rPr>
        <w:t xml:space="preserve">采购包最高限价（元）: </w:t>
      </w:r>
      <w:r>
        <w:rPr>
          <w:rFonts w:hint="eastAsia" w:ascii="宋体" w:hAnsi="宋体" w:eastAsia="宋体" w:cs="宋体"/>
          <w:i w:val="0"/>
          <w:iCs w:val="0"/>
          <w:color w:val="000000"/>
          <w:kern w:val="0"/>
          <w:sz w:val="21"/>
          <w:szCs w:val="21"/>
          <w:u w:val="none"/>
          <w:lang w:val="en-US" w:eastAsia="zh-CN" w:bidi="ar"/>
        </w:rPr>
        <w:t>180,000</w:t>
      </w:r>
      <w:r>
        <w:rPr>
          <w:rFonts w:ascii="仿宋_GB2312" w:hAnsi="仿宋_GB2312" w:eastAsia="仿宋_GB2312" w:cs="仿宋_GB2312"/>
        </w:rPr>
        <w:t>.00</w:t>
      </w:r>
    </w:p>
    <w:p w14:paraId="4B7A713A">
      <w:pPr>
        <w:pStyle w:val="4"/>
      </w:pPr>
      <w:r>
        <w:rPr>
          <w:rFonts w:ascii="仿宋_GB2312" w:hAnsi="仿宋_GB2312" w:eastAsia="仿宋_GB2312" w:cs="仿宋_GB2312"/>
        </w:rPr>
        <w:t>供应商报价不允许超过标的金额</w:t>
      </w:r>
    </w:p>
    <w:p w14:paraId="1D81580A">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5"/>
        <w:gridCol w:w="818"/>
        <w:gridCol w:w="818"/>
        <w:gridCol w:w="1251"/>
        <w:gridCol w:w="805"/>
        <w:gridCol w:w="805"/>
        <w:gridCol w:w="805"/>
        <w:gridCol w:w="805"/>
        <w:gridCol w:w="805"/>
        <w:gridCol w:w="805"/>
      </w:tblGrid>
      <w:tr w14:paraId="634EB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B75673">
            <w:pPr>
              <w:pStyle w:val="4"/>
            </w:pPr>
            <w:r>
              <w:rPr>
                <w:rFonts w:ascii="仿宋_GB2312" w:hAnsi="仿宋_GB2312" w:eastAsia="仿宋_GB2312" w:cs="仿宋_GB2312"/>
              </w:rPr>
              <w:t>序号</w:t>
            </w:r>
          </w:p>
        </w:tc>
        <w:tc>
          <w:tcPr>
            <w:tcW w:w="831" w:type="dxa"/>
          </w:tcPr>
          <w:p w14:paraId="656C982D">
            <w:pPr>
              <w:pStyle w:val="4"/>
            </w:pPr>
            <w:r>
              <w:rPr>
                <w:rFonts w:ascii="仿宋_GB2312" w:hAnsi="仿宋_GB2312" w:eastAsia="仿宋_GB2312" w:cs="仿宋_GB2312"/>
              </w:rPr>
              <w:t>标的名称</w:t>
            </w:r>
          </w:p>
        </w:tc>
        <w:tc>
          <w:tcPr>
            <w:tcW w:w="831" w:type="dxa"/>
          </w:tcPr>
          <w:p w14:paraId="1569E433">
            <w:pPr>
              <w:pStyle w:val="4"/>
            </w:pPr>
            <w:r>
              <w:rPr>
                <w:rFonts w:ascii="仿宋_GB2312" w:hAnsi="仿宋_GB2312" w:eastAsia="仿宋_GB2312" w:cs="仿宋_GB2312"/>
              </w:rPr>
              <w:t>数量</w:t>
            </w:r>
          </w:p>
        </w:tc>
        <w:tc>
          <w:tcPr>
            <w:tcW w:w="831" w:type="dxa"/>
          </w:tcPr>
          <w:p w14:paraId="76835B30">
            <w:pPr>
              <w:pStyle w:val="4"/>
            </w:pPr>
            <w:r>
              <w:rPr>
                <w:rFonts w:ascii="仿宋_GB2312" w:hAnsi="仿宋_GB2312" w:eastAsia="仿宋_GB2312" w:cs="仿宋_GB2312"/>
              </w:rPr>
              <w:t>标的金额 （元）</w:t>
            </w:r>
          </w:p>
        </w:tc>
        <w:tc>
          <w:tcPr>
            <w:tcW w:w="831" w:type="dxa"/>
          </w:tcPr>
          <w:p w14:paraId="781416A4">
            <w:pPr>
              <w:pStyle w:val="4"/>
            </w:pPr>
            <w:r>
              <w:rPr>
                <w:rFonts w:ascii="仿宋_GB2312" w:hAnsi="仿宋_GB2312" w:eastAsia="仿宋_GB2312" w:cs="仿宋_GB2312"/>
              </w:rPr>
              <w:t>计量单位</w:t>
            </w:r>
          </w:p>
        </w:tc>
        <w:tc>
          <w:tcPr>
            <w:tcW w:w="831" w:type="dxa"/>
          </w:tcPr>
          <w:p w14:paraId="07ACA16C">
            <w:pPr>
              <w:pStyle w:val="4"/>
            </w:pPr>
            <w:r>
              <w:rPr>
                <w:rFonts w:ascii="仿宋_GB2312" w:hAnsi="仿宋_GB2312" w:eastAsia="仿宋_GB2312" w:cs="仿宋_GB2312"/>
              </w:rPr>
              <w:t>所属行业</w:t>
            </w:r>
          </w:p>
        </w:tc>
        <w:tc>
          <w:tcPr>
            <w:tcW w:w="831" w:type="dxa"/>
          </w:tcPr>
          <w:p w14:paraId="6AB5AD8B">
            <w:pPr>
              <w:pStyle w:val="4"/>
            </w:pPr>
            <w:r>
              <w:rPr>
                <w:rFonts w:ascii="仿宋_GB2312" w:hAnsi="仿宋_GB2312" w:eastAsia="仿宋_GB2312" w:cs="仿宋_GB2312"/>
              </w:rPr>
              <w:t>是否核心产品</w:t>
            </w:r>
          </w:p>
        </w:tc>
        <w:tc>
          <w:tcPr>
            <w:tcW w:w="831" w:type="dxa"/>
          </w:tcPr>
          <w:p w14:paraId="059F7B69">
            <w:pPr>
              <w:pStyle w:val="4"/>
            </w:pPr>
            <w:r>
              <w:rPr>
                <w:rFonts w:ascii="仿宋_GB2312" w:hAnsi="仿宋_GB2312" w:eastAsia="仿宋_GB2312" w:cs="仿宋_GB2312"/>
              </w:rPr>
              <w:t>是否允许进口产品</w:t>
            </w:r>
          </w:p>
        </w:tc>
        <w:tc>
          <w:tcPr>
            <w:tcW w:w="831" w:type="dxa"/>
          </w:tcPr>
          <w:p w14:paraId="69DD8E70">
            <w:pPr>
              <w:pStyle w:val="4"/>
            </w:pPr>
            <w:r>
              <w:rPr>
                <w:rFonts w:ascii="仿宋_GB2312" w:hAnsi="仿宋_GB2312" w:eastAsia="仿宋_GB2312" w:cs="仿宋_GB2312"/>
              </w:rPr>
              <w:t>是否属于节能产品</w:t>
            </w:r>
          </w:p>
        </w:tc>
        <w:tc>
          <w:tcPr>
            <w:tcW w:w="831" w:type="dxa"/>
          </w:tcPr>
          <w:p w14:paraId="1DD4AC8B">
            <w:pPr>
              <w:pStyle w:val="4"/>
            </w:pPr>
            <w:r>
              <w:rPr>
                <w:rFonts w:ascii="仿宋_GB2312" w:hAnsi="仿宋_GB2312" w:eastAsia="仿宋_GB2312" w:cs="仿宋_GB2312"/>
              </w:rPr>
              <w:t>是否属于环境标志产品</w:t>
            </w:r>
          </w:p>
        </w:tc>
      </w:tr>
      <w:tr w14:paraId="3186A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79950A">
            <w:pPr>
              <w:pStyle w:val="4"/>
            </w:pPr>
            <w:r>
              <w:rPr>
                <w:rFonts w:ascii="仿宋_GB2312" w:hAnsi="仿宋_GB2312" w:eastAsia="仿宋_GB2312" w:cs="仿宋_GB2312"/>
              </w:rPr>
              <w:t>1</w:t>
            </w:r>
          </w:p>
        </w:tc>
        <w:tc>
          <w:tcPr>
            <w:tcW w:w="831" w:type="dxa"/>
          </w:tcPr>
          <w:p w14:paraId="02E1FE89">
            <w:pPr>
              <w:pStyle w:val="4"/>
              <w:rPr>
                <w:rFonts w:hint="eastAsia" w:eastAsiaTheme="minorEastAsia"/>
                <w:lang w:eastAsia="zh-CN"/>
              </w:rPr>
            </w:pPr>
            <w:r>
              <w:rPr>
                <w:rFonts w:hint="eastAsia" w:ascii="仿宋_GB2312" w:hAnsi="仿宋_GB2312" w:eastAsia="仿宋_GB2312" w:cs="仿宋_GB2312"/>
                <w:lang w:eastAsia="zh-CN"/>
              </w:rPr>
              <w:t>大荔县2026年残疾人家庭医生签约服务采购项目</w:t>
            </w:r>
          </w:p>
        </w:tc>
        <w:tc>
          <w:tcPr>
            <w:tcW w:w="831" w:type="dxa"/>
          </w:tcPr>
          <w:p w14:paraId="36561329">
            <w:pPr>
              <w:pStyle w:val="4"/>
              <w:jc w:val="right"/>
            </w:pPr>
            <w:r>
              <w:rPr>
                <w:rFonts w:ascii="仿宋_GB2312" w:hAnsi="仿宋_GB2312" w:eastAsia="仿宋_GB2312" w:cs="仿宋_GB2312"/>
              </w:rPr>
              <w:t>1.00</w:t>
            </w:r>
          </w:p>
        </w:tc>
        <w:tc>
          <w:tcPr>
            <w:tcW w:w="831" w:type="dxa"/>
          </w:tcPr>
          <w:p w14:paraId="54DD17AE">
            <w:pPr>
              <w:pStyle w:val="4"/>
              <w:jc w:val="right"/>
            </w:pPr>
            <w:r>
              <w:rPr>
                <w:rFonts w:hint="eastAsia" w:ascii="宋体" w:hAnsi="宋体" w:eastAsia="宋体" w:cs="宋体"/>
                <w:i w:val="0"/>
                <w:iCs w:val="0"/>
                <w:color w:val="000000"/>
                <w:kern w:val="0"/>
                <w:sz w:val="21"/>
                <w:szCs w:val="21"/>
                <w:u w:val="none"/>
                <w:lang w:val="en-US" w:eastAsia="zh-CN" w:bidi="ar"/>
              </w:rPr>
              <w:t>180,000</w:t>
            </w:r>
            <w:r>
              <w:rPr>
                <w:rFonts w:ascii="仿宋_GB2312" w:hAnsi="仿宋_GB2312" w:eastAsia="仿宋_GB2312" w:cs="仿宋_GB2312"/>
              </w:rPr>
              <w:t>.00</w:t>
            </w:r>
          </w:p>
        </w:tc>
        <w:tc>
          <w:tcPr>
            <w:tcW w:w="831" w:type="dxa"/>
          </w:tcPr>
          <w:p w14:paraId="2FEBCBB0">
            <w:pPr>
              <w:pStyle w:val="4"/>
            </w:pPr>
            <w:r>
              <w:rPr>
                <w:rFonts w:ascii="仿宋_GB2312" w:hAnsi="仿宋_GB2312" w:eastAsia="仿宋_GB2312" w:cs="仿宋_GB2312"/>
              </w:rPr>
              <w:t>项</w:t>
            </w:r>
          </w:p>
        </w:tc>
        <w:tc>
          <w:tcPr>
            <w:tcW w:w="831" w:type="dxa"/>
          </w:tcPr>
          <w:p w14:paraId="313C36A0">
            <w:pPr>
              <w:pStyle w:val="4"/>
            </w:pPr>
            <w:r>
              <w:rPr>
                <w:rFonts w:hint="eastAsia" w:ascii="仿宋_GB2312" w:hAnsi="仿宋_GB2312" w:eastAsia="仿宋_GB2312" w:cs="仿宋_GB2312"/>
              </w:rPr>
              <w:t>其他未列明行业</w:t>
            </w:r>
          </w:p>
        </w:tc>
        <w:tc>
          <w:tcPr>
            <w:tcW w:w="831" w:type="dxa"/>
          </w:tcPr>
          <w:p w14:paraId="37D93AAC">
            <w:pPr>
              <w:pStyle w:val="4"/>
            </w:pPr>
            <w:r>
              <w:rPr>
                <w:rFonts w:ascii="仿宋_GB2312" w:hAnsi="仿宋_GB2312" w:eastAsia="仿宋_GB2312" w:cs="仿宋_GB2312"/>
              </w:rPr>
              <w:t>否</w:t>
            </w:r>
          </w:p>
        </w:tc>
        <w:tc>
          <w:tcPr>
            <w:tcW w:w="831" w:type="dxa"/>
          </w:tcPr>
          <w:p w14:paraId="2DCD529C">
            <w:pPr>
              <w:pStyle w:val="4"/>
            </w:pPr>
            <w:r>
              <w:rPr>
                <w:rFonts w:ascii="仿宋_GB2312" w:hAnsi="仿宋_GB2312" w:eastAsia="仿宋_GB2312" w:cs="仿宋_GB2312"/>
              </w:rPr>
              <w:t>否</w:t>
            </w:r>
          </w:p>
        </w:tc>
        <w:tc>
          <w:tcPr>
            <w:tcW w:w="831" w:type="dxa"/>
          </w:tcPr>
          <w:p w14:paraId="604E13D2">
            <w:pPr>
              <w:pStyle w:val="4"/>
            </w:pPr>
            <w:r>
              <w:rPr>
                <w:rFonts w:ascii="仿宋_GB2312" w:hAnsi="仿宋_GB2312" w:eastAsia="仿宋_GB2312" w:cs="仿宋_GB2312"/>
              </w:rPr>
              <w:t>否</w:t>
            </w:r>
          </w:p>
        </w:tc>
        <w:tc>
          <w:tcPr>
            <w:tcW w:w="831" w:type="dxa"/>
          </w:tcPr>
          <w:p w14:paraId="31C702F3">
            <w:pPr>
              <w:pStyle w:val="4"/>
            </w:pPr>
            <w:r>
              <w:rPr>
                <w:rFonts w:ascii="仿宋_GB2312" w:hAnsi="仿宋_GB2312" w:eastAsia="仿宋_GB2312" w:cs="仿宋_GB2312"/>
              </w:rPr>
              <w:t>否</w:t>
            </w:r>
          </w:p>
        </w:tc>
      </w:tr>
    </w:tbl>
    <w:p w14:paraId="29FDD0DC">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0DC6D2CE">
      <w:pPr>
        <w:pStyle w:val="4"/>
      </w:pPr>
      <w:r>
        <w:rPr>
          <w:rFonts w:ascii="仿宋_GB2312" w:hAnsi="仿宋_GB2312" w:eastAsia="仿宋_GB2312" w:cs="仿宋_GB2312"/>
        </w:rPr>
        <w:t xml:space="preserve">采购包预算金额（元）: </w:t>
      </w:r>
      <w:r>
        <w:rPr>
          <w:rFonts w:hint="eastAsia" w:ascii="宋体" w:hAnsi="宋体" w:eastAsia="宋体" w:cs="宋体"/>
          <w:i w:val="0"/>
          <w:iCs w:val="0"/>
          <w:color w:val="000000"/>
          <w:kern w:val="0"/>
          <w:sz w:val="21"/>
          <w:szCs w:val="21"/>
          <w:u w:val="none"/>
          <w:lang w:val="en-US" w:eastAsia="zh-CN" w:bidi="ar"/>
        </w:rPr>
        <w:t>120,000</w:t>
      </w:r>
      <w:r>
        <w:rPr>
          <w:rFonts w:ascii="仿宋_GB2312" w:hAnsi="仿宋_GB2312" w:eastAsia="仿宋_GB2312" w:cs="仿宋_GB2312"/>
        </w:rPr>
        <w:t>.00</w:t>
      </w:r>
    </w:p>
    <w:p w14:paraId="72382DD5">
      <w:pPr>
        <w:pStyle w:val="4"/>
      </w:pPr>
      <w:r>
        <w:rPr>
          <w:rFonts w:ascii="仿宋_GB2312" w:hAnsi="仿宋_GB2312" w:eastAsia="仿宋_GB2312" w:cs="仿宋_GB2312"/>
        </w:rPr>
        <w:t xml:space="preserve">采购包最高限价（元）: </w:t>
      </w:r>
      <w:r>
        <w:rPr>
          <w:rFonts w:hint="eastAsia" w:ascii="宋体" w:hAnsi="宋体" w:eastAsia="宋体" w:cs="宋体"/>
          <w:i w:val="0"/>
          <w:iCs w:val="0"/>
          <w:color w:val="000000"/>
          <w:kern w:val="0"/>
          <w:sz w:val="21"/>
          <w:szCs w:val="21"/>
          <w:u w:val="none"/>
          <w:lang w:val="en-US" w:eastAsia="zh-CN" w:bidi="ar"/>
        </w:rPr>
        <w:t>120,000</w:t>
      </w:r>
      <w:r>
        <w:rPr>
          <w:rFonts w:ascii="仿宋_GB2312" w:hAnsi="仿宋_GB2312" w:eastAsia="仿宋_GB2312" w:cs="仿宋_GB2312"/>
        </w:rPr>
        <w:t>.00</w:t>
      </w:r>
    </w:p>
    <w:p w14:paraId="3E88BACB">
      <w:pPr>
        <w:pStyle w:val="4"/>
      </w:pPr>
      <w:r>
        <w:rPr>
          <w:rFonts w:ascii="仿宋_GB2312" w:hAnsi="仿宋_GB2312" w:eastAsia="仿宋_GB2312" w:cs="仿宋_GB2312"/>
        </w:rPr>
        <w:t>供应商报价不允许超过标的金额</w:t>
      </w:r>
    </w:p>
    <w:p w14:paraId="49BCB412">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5"/>
        <w:gridCol w:w="818"/>
        <w:gridCol w:w="818"/>
        <w:gridCol w:w="1251"/>
        <w:gridCol w:w="805"/>
        <w:gridCol w:w="805"/>
        <w:gridCol w:w="805"/>
        <w:gridCol w:w="805"/>
        <w:gridCol w:w="805"/>
        <w:gridCol w:w="805"/>
      </w:tblGrid>
      <w:tr w14:paraId="5AA739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9DC885">
            <w:pPr>
              <w:pStyle w:val="4"/>
            </w:pPr>
            <w:r>
              <w:rPr>
                <w:rFonts w:ascii="仿宋_GB2312" w:hAnsi="仿宋_GB2312" w:eastAsia="仿宋_GB2312" w:cs="仿宋_GB2312"/>
              </w:rPr>
              <w:t>序号</w:t>
            </w:r>
          </w:p>
        </w:tc>
        <w:tc>
          <w:tcPr>
            <w:tcW w:w="831" w:type="dxa"/>
          </w:tcPr>
          <w:p w14:paraId="675FE30D">
            <w:pPr>
              <w:pStyle w:val="4"/>
            </w:pPr>
            <w:r>
              <w:rPr>
                <w:rFonts w:ascii="仿宋_GB2312" w:hAnsi="仿宋_GB2312" w:eastAsia="仿宋_GB2312" w:cs="仿宋_GB2312"/>
              </w:rPr>
              <w:t>标的名称</w:t>
            </w:r>
          </w:p>
        </w:tc>
        <w:tc>
          <w:tcPr>
            <w:tcW w:w="831" w:type="dxa"/>
          </w:tcPr>
          <w:p w14:paraId="60ED643C">
            <w:pPr>
              <w:pStyle w:val="4"/>
            </w:pPr>
            <w:r>
              <w:rPr>
                <w:rFonts w:ascii="仿宋_GB2312" w:hAnsi="仿宋_GB2312" w:eastAsia="仿宋_GB2312" w:cs="仿宋_GB2312"/>
              </w:rPr>
              <w:t>数量</w:t>
            </w:r>
          </w:p>
        </w:tc>
        <w:tc>
          <w:tcPr>
            <w:tcW w:w="831" w:type="dxa"/>
          </w:tcPr>
          <w:p w14:paraId="1A3ACA9C">
            <w:pPr>
              <w:pStyle w:val="4"/>
            </w:pPr>
            <w:r>
              <w:rPr>
                <w:rFonts w:ascii="仿宋_GB2312" w:hAnsi="仿宋_GB2312" w:eastAsia="仿宋_GB2312" w:cs="仿宋_GB2312"/>
              </w:rPr>
              <w:t>标的金额 （元）</w:t>
            </w:r>
          </w:p>
        </w:tc>
        <w:tc>
          <w:tcPr>
            <w:tcW w:w="831" w:type="dxa"/>
          </w:tcPr>
          <w:p w14:paraId="64CC283E">
            <w:pPr>
              <w:pStyle w:val="4"/>
            </w:pPr>
            <w:r>
              <w:rPr>
                <w:rFonts w:ascii="仿宋_GB2312" w:hAnsi="仿宋_GB2312" w:eastAsia="仿宋_GB2312" w:cs="仿宋_GB2312"/>
              </w:rPr>
              <w:t>计量单位</w:t>
            </w:r>
          </w:p>
        </w:tc>
        <w:tc>
          <w:tcPr>
            <w:tcW w:w="831" w:type="dxa"/>
          </w:tcPr>
          <w:p w14:paraId="69B7A3D4">
            <w:pPr>
              <w:pStyle w:val="4"/>
            </w:pPr>
            <w:r>
              <w:rPr>
                <w:rFonts w:ascii="仿宋_GB2312" w:hAnsi="仿宋_GB2312" w:eastAsia="仿宋_GB2312" w:cs="仿宋_GB2312"/>
              </w:rPr>
              <w:t>所属行业</w:t>
            </w:r>
          </w:p>
        </w:tc>
        <w:tc>
          <w:tcPr>
            <w:tcW w:w="831" w:type="dxa"/>
          </w:tcPr>
          <w:p w14:paraId="0F12D767">
            <w:pPr>
              <w:pStyle w:val="4"/>
            </w:pPr>
            <w:r>
              <w:rPr>
                <w:rFonts w:ascii="仿宋_GB2312" w:hAnsi="仿宋_GB2312" w:eastAsia="仿宋_GB2312" w:cs="仿宋_GB2312"/>
              </w:rPr>
              <w:t>是否核心产品</w:t>
            </w:r>
          </w:p>
        </w:tc>
        <w:tc>
          <w:tcPr>
            <w:tcW w:w="831" w:type="dxa"/>
          </w:tcPr>
          <w:p w14:paraId="6C6515AA">
            <w:pPr>
              <w:pStyle w:val="4"/>
            </w:pPr>
            <w:r>
              <w:rPr>
                <w:rFonts w:ascii="仿宋_GB2312" w:hAnsi="仿宋_GB2312" w:eastAsia="仿宋_GB2312" w:cs="仿宋_GB2312"/>
              </w:rPr>
              <w:t>是否允许进口产品</w:t>
            </w:r>
          </w:p>
        </w:tc>
        <w:tc>
          <w:tcPr>
            <w:tcW w:w="831" w:type="dxa"/>
          </w:tcPr>
          <w:p w14:paraId="4BFA1D35">
            <w:pPr>
              <w:pStyle w:val="4"/>
            </w:pPr>
            <w:r>
              <w:rPr>
                <w:rFonts w:ascii="仿宋_GB2312" w:hAnsi="仿宋_GB2312" w:eastAsia="仿宋_GB2312" w:cs="仿宋_GB2312"/>
              </w:rPr>
              <w:t>是否属于节能产品</w:t>
            </w:r>
          </w:p>
        </w:tc>
        <w:tc>
          <w:tcPr>
            <w:tcW w:w="831" w:type="dxa"/>
          </w:tcPr>
          <w:p w14:paraId="42FF2E3E">
            <w:pPr>
              <w:pStyle w:val="4"/>
            </w:pPr>
            <w:r>
              <w:rPr>
                <w:rFonts w:ascii="仿宋_GB2312" w:hAnsi="仿宋_GB2312" w:eastAsia="仿宋_GB2312" w:cs="仿宋_GB2312"/>
              </w:rPr>
              <w:t>是否属于环境标志产品</w:t>
            </w:r>
          </w:p>
        </w:tc>
      </w:tr>
      <w:tr w14:paraId="453C09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C5904E">
            <w:pPr>
              <w:pStyle w:val="4"/>
            </w:pPr>
            <w:r>
              <w:rPr>
                <w:rFonts w:ascii="仿宋_GB2312" w:hAnsi="仿宋_GB2312" w:eastAsia="仿宋_GB2312" w:cs="仿宋_GB2312"/>
              </w:rPr>
              <w:t>1</w:t>
            </w:r>
          </w:p>
        </w:tc>
        <w:tc>
          <w:tcPr>
            <w:tcW w:w="831" w:type="dxa"/>
          </w:tcPr>
          <w:p w14:paraId="129414F7">
            <w:pPr>
              <w:pStyle w:val="4"/>
              <w:rPr>
                <w:rFonts w:hint="eastAsia" w:eastAsiaTheme="minorEastAsia"/>
                <w:lang w:eastAsia="zh-CN"/>
              </w:rPr>
            </w:pPr>
            <w:r>
              <w:rPr>
                <w:rFonts w:hint="eastAsia" w:ascii="仿宋_GB2312" w:hAnsi="仿宋_GB2312" w:eastAsia="仿宋_GB2312" w:cs="仿宋_GB2312"/>
                <w:lang w:eastAsia="zh-CN"/>
              </w:rPr>
              <w:t>大荔县2026年残疾人家庭医生签约服务采购项目</w:t>
            </w:r>
          </w:p>
        </w:tc>
        <w:tc>
          <w:tcPr>
            <w:tcW w:w="831" w:type="dxa"/>
          </w:tcPr>
          <w:p w14:paraId="0303A6C3">
            <w:pPr>
              <w:pStyle w:val="4"/>
              <w:jc w:val="right"/>
            </w:pPr>
            <w:r>
              <w:rPr>
                <w:rFonts w:ascii="仿宋_GB2312" w:hAnsi="仿宋_GB2312" w:eastAsia="仿宋_GB2312" w:cs="仿宋_GB2312"/>
              </w:rPr>
              <w:t>1.00</w:t>
            </w:r>
          </w:p>
        </w:tc>
        <w:tc>
          <w:tcPr>
            <w:tcW w:w="831" w:type="dxa"/>
          </w:tcPr>
          <w:p w14:paraId="3F7EB4FB">
            <w:pPr>
              <w:pStyle w:val="4"/>
              <w:jc w:val="right"/>
            </w:pPr>
            <w:r>
              <w:rPr>
                <w:rFonts w:hint="eastAsia" w:ascii="宋体" w:hAnsi="宋体" w:eastAsia="宋体" w:cs="宋体"/>
                <w:i w:val="0"/>
                <w:iCs w:val="0"/>
                <w:color w:val="000000"/>
                <w:kern w:val="0"/>
                <w:sz w:val="21"/>
                <w:szCs w:val="21"/>
                <w:u w:val="none"/>
                <w:lang w:val="en-US" w:eastAsia="zh-CN" w:bidi="ar"/>
              </w:rPr>
              <w:t>120,000</w:t>
            </w:r>
            <w:r>
              <w:rPr>
                <w:rFonts w:ascii="仿宋_GB2312" w:hAnsi="仿宋_GB2312" w:eastAsia="仿宋_GB2312" w:cs="仿宋_GB2312"/>
              </w:rPr>
              <w:t>.00</w:t>
            </w:r>
          </w:p>
        </w:tc>
        <w:tc>
          <w:tcPr>
            <w:tcW w:w="831" w:type="dxa"/>
          </w:tcPr>
          <w:p w14:paraId="712A4A3D">
            <w:pPr>
              <w:pStyle w:val="4"/>
            </w:pPr>
            <w:r>
              <w:rPr>
                <w:rFonts w:ascii="仿宋_GB2312" w:hAnsi="仿宋_GB2312" w:eastAsia="仿宋_GB2312" w:cs="仿宋_GB2312"/>
              </w:rPr>
              <w:t>项</w:t>
            </w:r>
          </w:p>
        </w:tc>
        <w:tc>
          <w:tcPr>
            <w:tcW w:w="831" w:type="dxa"/>
          </w:tcPr>
          <w:p w14:paraId="0E794F4A">
            <w:pPr>
              <w:pStyle w:val="4"/>
            </w:pPr>
            <w:r>
              <w:rPr>
                <w:rFonts w:hint="eastAsia" w:ascii="仿宋_GB2312" w:hAnsi="仿宋_GB2312" w:eastAsia="仿宋_GB2312" w:cs="仿宋_GB2312"/>
              </w:rPr>
              <w:t>其他未列明行业</w:t>
            </w:r>
          </w:p>
        </w:tc>
        <w:tc>
          <w:tcPr>
            <w:tcW w:w="831" w:type="dxa"/>
          </w:tcPr>
          <w:p w14:paraId="67609959">
            <w:pPr>
              <w:pStyle w:val="4"/>
            </w:pPr>
            <w:r>
              <w:rPr>
                <w:rFonts w:ascii="仿宋_GB2312" w:hAnsi="仿宋_GB2312" w:eastAsia="仿宋_GB2312" w:cs="仿宋_GB2312"/>
              </w:rPr>
              <w:t>否</w:t>
            </w:r>
          </w:p>
        </w:tc>
        <w:tc>
          <w:tcPr>
            <w:tcW w:w="831" w:type="dxa"/>
          </w:tcPr>
          <w:p w14:paraId="5CF83FEC">
            <w:pPr>
              <w:pStyle w:val="4"/>
            </w:pPr>
            <w:r>
              <w:rPr>
                <w:rFonts w:ascii="仿宋_GB2312" w:hAnsi="仿宋_GB2312" w:eastAsia="仿宋_GB2312" w:cs="仿宋_GB2312"/>
              </w:rPr>
              <w:t>否</w:t>
            </w:r>
          </w:p>
        </w:tc>
        <w:tc>
          <w:tcPr>
            <w:tcW w:w="831" w:type="dxa"/>
          </w:tcPr>
          <w:p w14:paraId="331487EF">
            <w:pPr>
              <w:pStyle w:val="4"/>
            </w:pPr>
            <w:r>
              <w:rPr>
                <w:rFonts w:ascii="仿宋_GB2312" w:hAnsi="仿宋_GB2312" w:eastAsia="仿宋_GB2312" w:cs="仿宋_GB2312"/>
              </w:rPr>
              <w:t>否</w:t>
            </w:r>
          </w:p>
        </w:tc>
        <w:tc>
          <w:tcPr>
            <w:tcW w:w="831" w:type="dxa"/>
          </w:tcPr>
          <w:p w14:paraId="194000B3">
            <w:pPr>
              <w:pStyle w:val="4"/>
            </w:pPr>
            <w:r>
              <w:rPr>
                <w:rFonts w:ascii="仿宋_GB2312" w:hAnsi="仿宋_GB2312" w:eastAsia="仿宋_GB2312" w:cs="仿宋_GB2312"/>
              </w:rPr>
              <w:t>否</w:t>
            </w:r>
          </w:p>
        </w:tc>
      </w:tr>
    </w:tbl>
    <w:p w14:paraId="6F3DBCB3">
      <w:pPr>
        <w:pStyle w:val="4"/>
        <w:outlineLvl w:val="2"/>
      </w:pPr>
      <w:r>
        <w:rPr>
          <w:rFonts w:ascii="仿宋_GB2312" w:hAnsi="仿宋_GB2312" w:eastAsia="仿宋_GB2312" w:cs="仿宋_GB2312"/>
          <w:b/>
          <w:sz w:val="28"/>
        </w:rPr>
        <w:t>3.2.2服务要求</w:t>
      </w:r>
    </w:p>
    <w:p w14:paraId="274ECE61">
      <w:pPr>
        <w:pStyle w:val="4"/>
      </w:pPr>
      <w:r>
        <w:rPr>
          <w:rFonts w:ascii="仿宋_GB2312" w:hAnsi="仿宋_GB2312" w:eastAsia="仿宋_GB2312" w:cs="仿宋_GB2312"/>
        </w:rPr>
        <w:t>采购包1：</w:t>
      </w:r>
    </w:p>
    <w:p w14:paraId="3A4AAEC7">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大荔县2026年残疾人家庭医生签约服务采购项目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3BBA3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DA2C15">
            <w:pPr>
              <w:pStyle w:val="4"/>
            </w:pPr>
            <w:r>
              <w:rPr>
                <w:rFonts w:ascii="仿宋_GB2312" w:hAnsi="仿宋_GB2312" w:eastAsia="仿宋_GB2312" w:cs="仿宋_GB2312"/>
              </w:rPr>
              <w:t xml:space="preserve"> 序号</w:t>
            </w:r>
          </w:p>
        </w:tc>
        <w:tc>
          <w:tcPr>
            <w:tcW w:w="2769" w:type="dxa"/>
          </w:tcPr>
          <w:p w14:paraId="4E453743">
            <w:pPr>
              <w:pStyle w:val="4"/>
            </w:pPr>
            <w:r>
              <w:rPr>
                <w:rFonts w:ascii="仿宋_GB2312" w:hAnsi="仿宋_GB2312" w:eastAsia="仿宋_GB2312" w:cs="仿宋_GB2312"/>
              </w:rPr>
              <w:t xml:space="preserve"> 参数性质</w:t>
            </w:r>
          </w:p>
        </w:tc>
        <w:tc>
          <w:tcPr>
            <w:tcW w:w="2769" w:type="dxa"/>
          </w:tcPr>
          <w:p w14:paraId="15004400">
            <w:pPr>
              <w:pStyle w:val="4"/>
            </w:pPr>
            <w:r>
              <w:rPr>
                <w:rFonts w:ascii="仿宋_GB2312" w:hAnsi="仿宋_GB2312" w:eastAsia="仿宋_GB2312" w:cs="仿宋_GB2312"/>
              </w:rPr>
              <w:t xml:space="preserve"> 技术参数与性能指标</w:t>
            </w:r>
          </w:p>
        </w:tc>
      </w:tr>
      <w:tr w14:paraId="1B9E1D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E65E1D">
            <w:pPr>
              <w:pStyle w:val="4"/>
            </w:pPr>
            <w:r>
              <w:rPr>
                <w:rFonts w:ascii="仿宋_GB2312" w:hAnsi="仿宋_GB2312" w:eastAsia="仿宋_GB2312" w:cs="仿宋_GB2312"/>
              </w:rPr>
              <w:t>1</w:t>
            </w:r>
          </w:p>
        </w:tc>
        <w:tc>
          <w:tcPr>
            <w:tcW w:w="2769" w:type="dxa"/>
          </w:tcPr>
          <w:p w14:paraId="1090577A"/>
        </w:tc>
        <w:tc>
          <w:tcPr>
            <w:tcW w:w="2769" w:type="dxa"/>
          </w:tcPr>
          <w:p w14:paraId="7FC35E3E">
            <w:pPr>
              <w:pStyle w:val="4"/>
              <w:jc w:val="both"/>
              <w:rPr>
                <w:rFonts w:hint="eastAsia" w:eastAsia="仿宋_GB2312"/>
                <w:lang w:eastAsia="zh-CN"/>
              </w:rPr>
            </w:pPr>
            <w:r>
              <w:rPr>
                <w:rFonts w:ascii="仿宋_GB2312" w:hAnsi="仿宋_GB2312" w:eastAsia="仿宋_GB2312" w:cs="仿宋_GB2312"/>
                <w:b/>
                <w:sz w:val="20"/>
              </w:rPr>
              <w:t>采购内容</w:t>
            </w:r>
            <w:r>
              <w:rPr>
                <w:rFonts w:hint="eastAsia" w:ascii="仿宋_GB2312" w:hAnsi="仿宋_GB2312" w:eastAsia="仿宋_GB2312" w:cs="仿宋_GB2312"/>
                <w:b/>
                <w:sz w:val="20"/>
                <w:lang w:eastAsia="zh-CN"/>
              </w:rPr>
              <w:t>：</w:t>
            </w:r>
          </w:p>
          <w:p w14:paraId="7091A067">
            <w:pPr>
              <w:pStyle w:val="4"/>
            </w:pPr>
            <w:r>
              <w:rPr>
                <w:rFonts w:hint="eastAsia" w:ascii="仿宋_GB2312" w:hAnsi="仿宋_GB2312" w:eastAsia="仿宋_GB2312" w:cs="仿宋_GB2312"/>
                <w:sz w:val="20"/>
              </w:rPr>
              <w:t>通过上门服务、实施转介等方式，为残疾人提供或帮助残疾人获得康复医疗、训练、护理等基本康复服务，提升残疾人就业能力</w:t>
            </w:r>
            <w:r>
              <w:rPr>
                <w:rFonts w:ascii="仿宋_GB2312" w:hAnsi="仿宋_GB2312" w:eastAsia="仿宋_GB2312" w:cs="仿宋_GB2312"/>
                <w:sz w:val="20"/>
              </w:rPr>
              <w:t>。</w:t>
            </w:r>
          </w:p>
        </w:tc>
      </w:tr>
    </w:tbl>
    <w:p w14:paraId="78E0C94A">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62DD60DF">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大荔县2026年残疾人家庭医生签约服务采购项目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2964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8948237">
            <w:pPr>
              <w:pStyle w:val="4"/>
            </w:pPr>
            <w:r>
              <w:rPr>
                <w:rFonts w:ascii="仿宋_GB2312" w:hAnsi="仿宋_GB2312" w:eastAsia="仿宋_GB2312" w:cs="仿宋_GB2312"/>
              </w:rPr>
              <w:t xml:space="preserve"> 序号</w:t>
            </w:r>
          </w:p>
        </w:tc>
        <w:tc>
          <w:tcPr>
            <w:tcW w:w="2769" w:type="dxa"/>
          </w:tcPr>
          <w:p w14:paraId="0DDA43C6">
            <w:pPr>
              <w:pStyle w:val="4"/>
            </w:pPr>
            <w:r>
              <w:rPr>
                <w:rFonts w:ascii="仿宋_GB2312" w:hAnsi="仿宋_GB2312" w:eastAsia="仿宋_GB2312" w:cs="仿宋_GB2312"/>
              </w:rPr>
              <w:t xml:space="preserve"> 参数性质</w:t>
            </w:r>
          </w:p>
        </w:tc>
        <w:tc>
          <w:tcPr>
            <w:tcW w:w="2769" w:type="dxa"/>
          </w:tcPr>
          <w:p w14:paraId="3832799D">
            <w:pPr>
              <w:pStyle w:val="4"/>
            </w:pPr>
            <w:r>
              <w:rPr>
                <w:rFonts w:ascii="仿宋_GB2312" w:hAnsi="仿宋_GB2312" w:eastAsia="仿宋_GB2312" w:cs="仿宋_GB2312"/>
              </w:rPr>
              <w:t xml:space="preserve"> 技术参数与性能指标</w:t>
            </w:r>
          </w:p>
        </w:tc>
      </w:tr>
      <w:tr w14:paraId="1EE06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12AFF1">
            <w:pPr>
              <w:pStyle w:val="4"/>
            </w:pPr>
            <w:r>
              <w:rPr>
                <w:rFonts w:ascii="仿宋_GB2312" w:hAnsi="仿宋_GB2312" w:eastAsia="仿宋_GB2312" w:cs="仿宋_GB2312"/>
              </w:rPr>
              <w:t>1</w:t>
            </w:r>
          </w:p>
        </w:tc>
        <w:tc>
          <w:tcPr>
            <w:tcW w:w="2769" w:type="dxa"/>
          </w:tcPr>
          <w:p w14:paraId="392A8444"/>
        </w:tc>
        <w:tc>
          <w:tcPr>
            <w:tcW w:w="2769" w:type="dxa"/>
          </w:tcPr>
          <w:p w14:paraId="08B8F83A">
            <w:pPr>
              <w:pStyle w:val="4"/>
              <w:jc w:val="both"/>
              <w:rPr>
                <w:rFonts w:hint="eastAsia" w:eastAsia="仿宋_GB2312"/>
                <w:lang w:eastAsia="zh-CN"/>
              </w:rPr>
            </w:pPr>
            <w:r>
              <w:rPr>
                <w:rFonts w:ascii="仿宋_GB2312" w:hAnsi="仿宋_GB2312" w:eastAsia="仿宋_GB2312" w:cs="仿宋_GB2312"/>
                <w:b/>
                <w:sz w:val="20"/>
              </w:rPr>
              <w:t>采购内容</w:t>
            </w:r>
            <w:r>
              <w:rPr>
                <w:rFonts w:hint="eastAsia" w:ascii="仿宋_GB2312" w:hAnsi="仿宋_GB2312" w:eastAsia="仿宋_GB2312" w:cs="仿宋_GB2312"/>
                <w:b/>
                <w:sz w:val="20"/>
                <w:lang w:eastAsia="zh-CN"/>
              </w:rPr>
              <w:t>：</w:t>
            </w:r>
          </w:p>
          <w:p w14:paraId="28C56667">
            <w:pPr>
              <w:pStyle w:val="4"/>
            </w:pPr>
            <w:r>
              <w:rPr>
                <w:rFonts w:hint="eastAsia" w:ascii="仿宋_GB2312" w:hAnsi="仿宋_GB2312" w:eastAsia="仿宋_GB2312" w:cs="仿宋_GB2312"/>
                <w:sz w:val="20"/>
              </w:rPr>
              <w:t>通过上门服务、实施转介等方式，为残疾人提供或帮助残疾人获得康复医疗、训练、护理等基本康复服务，提升残疾人就业能力</w:t>
            </w:r>
            <w:r>
              <w:rPr>
                <w:rFonts w:ascii="仿宋_GB2312" w:hAnsi="仿宋_GB2312" w:eastAsia="仿宋_GB2312" w:cs="仿宋_GB2312"/>
                <w:sz w:val="20"/>
              </w:rPr>
              <w:t>。</w:t>
            </w:r>
          </w:p>
        </w:tc>
      </w:tr>
    </w:tbl>
    <w:p w14:paraId="1C2F5CF9">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1DB15C23">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大荔县2026年残疾人家庭医生签约服务采购项目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3809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10CE23F">
            <w:pPr>
              <w:pStyle w:val="4"/>
            </w:pPr>
            <w:r>
              <w:rPr>
                <w:rFonts w:ascii="仿宋_GB2312" w:hAnsi="仿宋_GB2312" w:eastAsia="仿宋_GB2312" w:cs="仿宋_GB2312"/>
              </w:rPr>
              <w:t xml:space="preserve"> 序号</w:t>
            </w:r>
          </w:p>
        </w:tc>
        <w:tc>
          <w:tcPr>
            <w:tcW w:w="2769" w:type="dxa"/>
          </w:tcPr>
          <w:p w14:paraId="771A4840">
            <w:pPr>
              <w:pStyle w:val="4"/>
            </w:pPr>
            <w:r>
              <w:rPr>
                <w:rFonts w:ascii="仿宋_GB2312" w:hAnsi="仿宋_GB2312" w:eastAsia="仿宋_GB2312" w:cs="仿宋_GB2312"/>
              </w:rPr>
              <w:t xml:space="preserve"> 参数性质</w:t>
            </w:r>
          </w:p>
        </w:tc>
        <w:tc>
          <w:tcPr>
            <w:tcW w:w="2769" w:type="dxa"/>
          </w:tcPr>
          <w:p w14:paraId="19BCDAC2">
            <w:pPr>
              <w:pStyle w:val="4"/>
            </w:pPr>
            <w:r>
              <w:rPr>
                <w:rFonts w:ascii="仿宋_GB2312" w:hAnsi="仿宋_GB2312" w:eastAsia="仿宋_GB2312" w:cs="仿宋_GB2312"/>
              </w:rPr>
              <w:t xml:space="preserve"> 技术参数与性能指标</w:t>
            </w:r>
          </w:p>
        </w:tc>
      </w:tr>
      <w:tr w14:paraId="20810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03C923">
            <w:pPr>
              <w:pStyle w:val="4"/>
            </w:pPr>
            <w:r>
              <w:rPr>
                <w:rFonts w:ascii="仿宋_GB2312" w:hAnsi="仿宋_GB2312" w:eastAsia="仿宋_GB2312" w:cs="仿宋_GB2312"/>
              </w:rPr>
              <w:t>1</w:t>
            </w:r>
          </w:p>
        </w:tc>
        <w:tc>
          <w:tcPr>
            <w:tcW w:w="2769" w:type="dxa"/>
          </w:tcPr>
          <w:p w14:paraId="55DDE9A4"/>
        </w:tc>
        <w:tc>
          <w:tcPr>
            <w:tcW w:w="2769" w:type="dxa"/>
          </w:tcPr>
          <w:p w14:paraId="07778403">
            <w:pPr>
              <w:pStyle w:val="4"/>
              <w:jc w:val="both"/>
              <w:rPr>
                <w:rFonts w:hint="eastAsia" w:eastAsia="仿宋_GB2312"/>
                <w:lang w:eastAsia="zh-CN"/>
              </w:rPr>
            </w:pPr>
            <w:r>
              <w:rPr>
                <w:rFonts w:ascii="仿宋_GB2312" w:hAnsi="仿宋_GB2312" w:eastAsia="仿宋_GB2312" w:cs="仿宋_GB2312"/>
                <w:b/>
                <w:sz w:val="20"/>
              </w:rPr>
              <w:t>采购内容</w:t>
            </w:r>
            <w:r>
              <w:rPr>
                <w:rFonts w:hint="eastAsia" w:ascii="仿宋_GB2312" w:hAnsi="仿宋_GB2312" w:eastAsia="仿宋_GB2312" w:cs="仿宋_GB2312"/>
                <w:b/>
                <w:sz w:val="20"/>
                <w:lang w:eastAsia="zh-CN"/>
              </w:rPr>
              <w:t>：</w:t>
            </w:r>
          </w:p>
          <w:p w14:paraId="6AD19799">
            <w:pPr>
              <w:pStyle w:val="4"/>
            </w:pPr>
            <w:r>
              <w:rPr>
                <w:rFonts w:hint="eastAsia" w:ascii="仿宋_GB2312" w:hAnsi="仿宋_GB2312" w:eastAsia="仿宋_GB2312" w:cs="仿宋_GB2312"/>
                <w:sz w:val="20"/>
              </w:rPr>
              <w:t>通过上门服务、实施转介等方式，为残疾人提供或帮助残疾人获得康复医疗、训练、护理等基本康复服务，提升残疾人就业能力</w:t>
            </w:r>
            <w:r>
              <w:rPr>
                <w:rFonts w:ascii="仿宋_GB2312" w:hAnsi="仿宋_GB2312" w:eastAsia="仿宋_GB2312" w:cs="仿宋_GB2312"/>
                <w:sz w:val="20"/>
              </w:rPr>
              <w:t>。</w:t>
            </w:r>
          </w:p>
        </w:tc>
      </w:tr>
    </w:tbl>
    <w:p w14:paraId="6912E1FA">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33151EDE">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大荔县2026年残疾人家庭医生签约服务采购项目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BC24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56005B1">
            <w:pPr>
              <w:pStyle w:val="4"/>
            </w:pPr>
            <w:r>
              <w:rPr>
                <w:rFonts w:ascii="仿宋_GB2312" w:hAnsi="仿宋_GB2312" w:eastAsia="仿宋_GB2312" w:cs="仿宋_GB2312"/>
              </w:rPr>
              <w:t xml:space="preserve"> 序号</w:t>
            </w:r>
          </w:p>
        </w:tc>
        <w:tc>
          <w:tcPr>
            <w:tcW w:w="2769" w:type="dxa"/>
          </w:tcPr>
          <w:p w14:paraId="7C71C158">
            <w:pPr>
              <w:pStyle w:val="4"/>
            </w:pPr>
            <w:r>
              <w:rPr>
                <w:rFonts w:ascii="仿宋_GB2312" w:hAnsi="仿宋_GB2312" w:eastAsia="仿宋_GB2312" w:cs="仿宋_GB2312"/>
              </w:rPr>
              <w:t xml:space="preserve"> 参数性质</w:t>
            </w:r>
          </w:p>
        </w:tc>
        <w:tc>
          <w:tcPr>
            <w:tcW w:w="2769" w:type="dxa"/>
          </w:tcPr>
          <w:p w14:paraId="361DFEA7">
            <w:pPr>
              <w:pStyle w:val="4"/>
            </w:pPr>
            <w:r>
              <w:rPr>
                <w:rFonts w:ascii="仿宋_GB2312" w:hAnsi="仿宋_GB2312" w:eastAsia="仿宋_GB2312" w:cs="仿宋_GB2312"/>
              </w:rPr>
              <w:t xml:space="preserve"> 技术参数与性能指标</w:t>
            </w:r>
          </w:p>
        </w:tc>
      </w:tr>
      <w:tr w14:paraId="44DBDB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8BAC5A8">
            <w:pPr>
              <w:pStyle w:val="4"/>
            </w:pPr>
            <w:r>
              <w:rPr>
                <w:rFonts w:ascii="仿宋_GB2312" w:hAnsi="仿宋_GB2312" w:eastAsia="仿宋_GB2312" w:cs="仿宋_GB2312"/>
              </w:rPr>
              <w:t>1</w:t>
            </w:r>
          </w:p>
        </w:tc>
        <w:tc>
          <w:tcPr>
            <w:tcW w:w="2769" w:type="dxa"/>
          </w:tcPr>
          <w:p w14:paraId="6CE7803A"/>
        </w:tc>
        <w:tc>
          <w:tcPr>
            <w:tcW w:w="2769" w:type="dxa"/>
          </w:tcPr>
          <w:p w14:paraId="2BF57920">
            <w:pPr>
              <w:pStyle w:val="4"/>
              <w:jc w:val="both"/>
              <w:rPr>
                <w:rFonts w:hint="eastAsia" w:eastAsia="仿宋_GB2312"/>
                <w:lang w:eastAsia="zh-CN"/>
              </w:rPr>
            </w:pPr>
            <w:r>
              <w:rPr>
                <w:rFonts w:ascii="仿宋_GB2312" w:hAnsi="仿宋_GB2312" w:eastAsia="仿宋_GB2312" w:cs="仿宋_GB2312"/>
                <w:b/>
                <w:sz w:val="20"/>
              </w:rPr>
              <w:t>采购内容</w:t>
            </w:r>
            <w:r>
              <w:rPr>
                <w:rFonts w:hint="eastAsia" w:ascii="仿宋_GB2312" w:hAnsi="仿宋_GB2312" w:eastAsia="仿宋_GB2312" w:cs="仿宋_GB2312"/>
                <w:b/>
                <w:sz w:val="20"/>
                <w:lang w:eastAsia="zh-CN"/>
              </w:rPr>
              <w:t>：</w:t>
            </w:r>
          </w:p>
          <w:p w14:paraId="4F9225D1">
            <w:pPr>
              <w:pStyle w:val="4"/>
            </w:pPr>
            <w:r>
              <w:rPr>
                <w:rFonts w:hint="eastAsia" w:ascii="仿宋_GB2312" w:hAnsi="仿宋_GB2312" w:eastAsia="仿宋_GB2312" w:cs="仿宋_GB2312"/>
                <w:sz w:val="20"/>
              </w:rPr>
              <w:t>通过上门服务、实施转介等方式，为残疾人提供或帮助残疾人获得康复医疗、训练、护理等基本康复服务，提升残疾人就业能力</w:t>
            </w:r>
            <w:r>
              <w:rPr>
                <w:rFonts w:ascii="仿宋_GB2312" w:hAnsi="仿宋_GB2312" w:eastAsia="仿宋_GB2312" w:cs="仿宋_GB2312"/>
                <w:sz w:val="20"/>
              </w:rPr>
              <w:t>。</w:t>
            </w:r>
          </w:p>
        </w:tc>
      </w:tr>
    </w:tbl>
    <w:p w14:paraId="59AADECF">
      <w:pPr>
        <w:pStyle w:val="4"/>
        <w:outlineLvl w:val="2"/>
      </w:pPr>
      <w:r>
        <w:rPr>
          <w:rFonts w:ascii="仿宋_GB2312" w:hAnsi="仿宋_GB2312" w:eastAsia="仿宋_GB2312" w:cs="仿宋_GB2312"/>
          <w:b/>
          <w:sz w:val="28"/>
        </w:rPr>
        <w:t>3.2.3人员配置要求</w:t>
      </w:r>
    </w:p>
    <w:p w14:paraId="4C9DF297">
      <w:pPr>
        <w:pStyle w:val="4"/>
      </w:pPr>
      <w:r>
        <w:rPr>
          <w:rFonts w:ascii="仿宋_GB2312" w:hAnsi="仿宋_GB2312" w:eastAsia="仿宋_GB2312" w:cs="仿宋_GB2312"/>
        </w:rPr>
        <w:t>采购包1：</w:t>
      </w:r>
    </w:p>
    <w:p w14:paraId="6779F0A5">
      <w:pPr>
        <w:pStyle w:val="4"/>
        <w:rPr>
          <w:rFonts w:ascii="仿宋_GB2312" w:hAnsi="仿宋_GB2312" w:eastAsia="仿宋_GB2312" w:cs="仿宋_GB2312"/>
        </w:rPr>
      </w:pPr>
      <w:r>
        <w:rPr>
          <w:rFonts w:ascii="仿宋_GB2312" w:hAnsi="仿宋_GB2312" w:eastAsia="仿宋_GB2312" w:cs="仿宋_GB2312"/>
        </w:rPr>
        <w:t>详见采购内容及要求</w:t>
      </w:r>
    </w:p>
    <w:p w14:paraId="446E12CA">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7D964969">
      <w:pPr>
        <w:pStyle w:val="4"/>
        <w:rPr>
          <w:rFonts w:ascii="仿宋_GB2312" w:hAnsi="仿宋_GB2312" w:eastAsia="仿宋_GB2312" w:cs="仿宋_GB2312"/>
        </w:rPr>
      </w:pPr>
      <w:r>
        <w:rPr>
          <w:rFonts w:ascii="仿宋_GB2312" w:hAnsi="仿宋_GB2312" w:eastAsia="仿宋_GB2312" w:cs="仿宋_GB2312"/>
        </w:rPr>
        <w:t>详见采购内容及要求</w:t>
      </w:r>
    </w:p>
    <w:p w14:paraId="6EDD56C9">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25CC39BE">
      <w:pPr>
        <w:pStyle w:val="4"/>
        <w:rPr>
          <w:rFonts w:ascii="仿宋_GB2312" w:hAnsi="仿宋_GB2312" w:eastAsia="仿宋_GB2312" w:cs="仿宋_GB2312"/>
        </w:rPr>
      </w:pPr>
      <w:r>
        <w:rPr>
          <w:rFonts w:ascii="仿宋_GB2312" w:hAnsi="仿宋_GB2312" w:eastAsia="仿宋_GB2312" w:cs="仿宋_GB2312"/>
        </w:rPr>
        <w:t>详见采购内容及要求</w:t>
      </w:r>
    </w:p>
    <w:p w14:paraId="17BF5B18">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210B6B1A">
      <w:pPr>
        <w:pStyle w:val="4"/>
        <w:rPr>
          <w:rFonts w:ascii="仿宋_GB2312" w:hAnsi="仿宋_GB2312" w:eastAsia="仿宋_GB2312" w:cs="仿宋_GB2312"/>
        </w:rPr>
      </w:pPr>
      <w:r>
        <w:rPr>
          <w:rFonts w:ascii="仿宋_GB2312" w:hAnsi="仿宋_GB2312" w:eastAsia="仿宋_GB2312" w:cs="仿宋_GB2312"/>
        </w:rPr>
        <w:t>详见采购内容及要求</w:t>
      </w:r>
    </w:p>
    <w:p w14:paraId="6D18A8BC">
      <w:pPr>
        <w:pStyle w:val="4"/>
        <w:outlineLvl w:val="2"/>
      </w:pPr>
      <w:r>
        <w:rPr>
          <w:rFonts w:ascii="仿宋_GB2312" w:hAnsi="仿宋_GB2312" w:eastAsia="仿宋_GB2312" w:cs="仿宋_GB2312"/>
          <w:b/>
          <w:sz w:val="28"/>
        </w:rPr>
        <w:t>3.2.4设施设备要求</w:t>
      </w:r>
    </w:p>
    <w:p w14:paraId="342CA4D2">
      <w:pPr>
        <w:pStyle w:val="4"/>
      </w:pPr>
      <w:r>
        <w:rPr>
          <w:rFonts w:ascii="仿宋_GB2312" w:hAnsi="仿宋_GB2312" w:eastAsia="仿宋_GB2312" w:cs="仿宋_GB2312"/>
        </w:rPr>
        <w:t>采购包1：</w:t>
      </w:r>
    </w:p>
    <w:p w14:paraId="119C7E77">
      <w:pPr>
        <w:pStyle w:val="4"/>
        <w:rPr>
          <w:rFonts w:ascii="仿宋_GB2312" w:hAnsi="仿宋_GB2312" w:eastAsia="仿宋_GB2312" w:cs="仿宋_GB2312"/>
        </w:rPr>
      </w:pPr>
      <w:r>
        <w:rPr>
          <w:rFonts w:ascii="仿宋_GB2312" w:hAnsi="仿宋_GB2312" w:eastAsia="仿宋_GB2312" w:cs="仿宋_GB2312"/>
        </w:rPr>
        <w:t>详见采购内容及要求</w:t>
      </w:r>
    </w:p>
    <w:p w14:paraId="0ECE00AB">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6582E945">
      <w:pPr>
        <w:pStyle w:val="4"/>
      </w:pPr>
      <w:r>
        <w:rPr>
          <w:rFonts w:ascii="仿宋_GB2312" w:hAnsi="仿宋_GB2312" w:eastAsia="仿宋_GB2312" w:cs="仿宋_GB2312"/>
        </w:rPr>
        <w:t>详见采购内容及要求</w:t>
      </w:r>
    </w:p>
    <w:p w14:paraId="0B607AE5">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3FAC40B1">
      <w:pPr>
        <w:pStyle w:val="4"/>
      </w:pPr>
      <w:r>
        <w:rPr>
          <w:rFonts w:ascii="仿宋_GB2312" w:hAnsi="仿宋_GB2312" w:eastAsia="仿宋_GB2312" w:cs="仿宋_GB2312"/>
        </w:rPr>
        <w:t>详见采购内容及要求</w:t>
      </w:r>
    </w:p>
    <w:p w14:paraId="00154E71">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24262A58">
      <w:pPr>
        <w:pStyle w:val="4"/>
      </w:pPr>
      <w:r>
        <w:rPr>
          <w:rFonts w:ascii="仿宋_GB2312" w:hAnsi="仿宋_GB2312" w:eastAsia="仿宋_GB2312" w:cs="仿宋_GB2312"/>
        </w:rPr>
        <w:t>详见采购内容及要求</w:t>
      </w:r>
    </w:p>
    <w:p w14:paraId="6215385D">
      <w:pPr>
        <w:pStyle w:val="4"/>
        <w:outlineLvl w:val="2"/>
      </w:pPr>
      <w:r>
        <w:rPr>
          <w:rFonts w:ascii="仿宋_GB2312" w:hAnsi="仿宋_GB2312" w:eastAsia="仿宋_GB2312" w:cs="仿宋_GB2312"/>
          <w:b/>
          <w:sz w:val="28"/>
        </w:rPr>
        <w:t>3.2.5其他要求</w:t>
      </w:r>
    </w:p>
    <w:p w14:paraId="654EF422">
      <w:pPr>
        <w:pStyle w:val="4"/>
      </w:pPr>
      <w:r>
        <w:rPr>
          <w:rFonts w:ascii="仿宋_GB2312" w:hAnsi="仿宋_GB2312" w:eastAsia="仿宋_GB2312" w:cs="仿宋_GB2312"/>
        </w:rPr>
        <w:t>采购包1：</w:t>
      </w:r>
    </w:p>
    <w:p w14:paraId="442E1BE6">
      <w:pPr>
        <w:pStyle w:val="4"/>
        <w:rPr>
          <w:rFonts w:ascii="仿宋_GB2312" w:hAnsi="仿宋_GB2312" w:eastAsia="仿宋_GB2312" w:cs="仿宋_GB2312"/>
        </w:rPr>
      </w:pPr>
      <w:r>
        <w:rPr>
          <w:rFonts w:ascii="仿宋_GB2312" w:hAnsi="仿宋_GB2312" w:eastAsia="仿宋_GB2312" w:cs="仿宋_GB2312"/>
        </w:rPr>
        <w:t>详见采购内容及要求</w:t>
      </w:r>
    </w:p>
    <w:p w14:paraId="1E91F046">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6B887C82">
      <w:pPr>
        <w:pStyle w:val="4"/>
      </w:pPr>
      <w:r>
        <w:rPr>
          <w:rFonts w:ascii="仿宋_GB2312" w:hAnsi="仿宋_GB2312" w:eastAsia="仿宋_GB2312" w:cs="仿宋_GB2312"/>
        </w:rPr>
        <w:t>详见采购内容及要求</w:t>
      </w:r>
    </w:p>
    <w:p w14:paraId="418F4560">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3E8BCEC9">
      <w:pPr>
        <w:pStyle w:val="4"/>
      </w:pPr>
      <w:r>
        <w:rPr>
          <w:rFonts w:ascii="仿宋_GB2312" w:hAnsi="仿宋_GB2312" w:eastAsia="仿宋_GB2312" w:cs="仿宋_GB2312"/>
        </w:rPr>
        <w:t>详见采购内容及要求</w:t>
      </w:r>
    </w:p>
    <w:p w14:paraId="319F152E">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31457B9E">
      <w:pPr>
        <w:pStyle w:val="4"/>
      </w:pPr>
      <w:r>
        <w:rPr>
          <w:rFonts w:ascii="仿宋_GB2312" w:hAnsi="仿宋_GB2312" w:eastAsia="仿宋_GB2312" w:cs="仿宋_GB2312"/>
        </w:rPr>
        <w:t>详见采购内容及要求</w:t>
      </w:r>
    </w:p>
    <w:p w14:paraId="4AA3726C">
      <w:pPr>
        <w:pStyle w:val="4"/>
        <w:outlineLvl w:val="2"/>
      </w:pPr>
      <w:r>
        <w:rPr>
          <w:rFonts w:ascii="仿宋_GB2312" w:hAnsi="仿宋_GB2312" w:eastAsia="仿宋_GB2312" w:cs="仿宋_GB2312"/>
          <w:b/>
          <w:sz w:val="28"/>
        </w:rPr>
        <w:t>3.3商务要求</w:t>
      </w:r>
    </w:p>
    <w:p w14:paraId="0B94ACF0">
      <w:pPr>
        <w:pStyle w:val="4"/>
        <w:outlineLvl w:val="3"/>
      </w:pPr>
      <w:r>
        <w:rPr>
          <w:rFonts w:ascii="仿宋_GB2312" w:hAnsi="仿宋_GB2312" w:eastAsia="仿宋_GB2312" w:cs="仿宋_GB2312"/>
          <w:b/>
          <w:sz w:val="24"/>
        </w:rPr>
        <w:t>3.3.1服务期限</w:t>
      </w:r>
    </w:p>
    <w:p w14:paraId="03FDC083">
      <w:pPr>
        <w:pStyle w:val="4"/>
      </w:pPr>
      <w:r>
        <w:rPr>
          <w:rFonts w:ascii="仿宋_GB2312" w:hAnsi="仿宋_GB2312" w:eastAsia="仿宋_GB2312" w:cs="仿宋_GB2312"/>
        </w:rPr>
        <w:t>采购包1：</w:t>
      </w:r>
    </w:p>
    <w:p w14:paraId="54985B7F">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自合同签订之日起 150 日历天</w:t>
      </w:r>
    </w:p>
    <w:p w14:paraId="0499AC97">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545057F5">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自合同签订之日起 150 日历天</w:t>
      </w:r>
    </w:p>
    <w:p w14:paraId="521F0BF4">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64F858A2">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自合同签订之日起 150 日历天</w:t>
      </w:r>
    </w:p>
    <w:p w14:paraId="14A3BBED">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6A7578F2">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自合同签订之日起 150 日历天</w:t>
      </w:r>
    </w:p>
    <w:p w14:paraId="7D6642B9">
      <w:pPr>
        <w:pStyle w:val="4"/>
        <w:outlineLvl w:val="3"/>
      </w:pPr>
      <w:r>
        <w:rPr>
          <w:rFonts w:ascii="仿宋_GB2312" w:hAnsi="仿宋_GB2312" w:eastAsia="仿宋_GB2312" w:cs="仿宋_GB2312"/>
          <w:b/>
          <w:sz w:val="24"/>
        </w:rPr>
        <w:t>3.3.2服务地点</w:t>
      </w:r>
    </w:p>
    <w:p w14:paraId="5E76E865">
      <w:pPr>
        <w:pStyle w:val="4"/>
      </w:pPr>
      <w:r>
        <w:rPr>
          <w:rFonts w:ascii="仿宋_GB2312" w:hAnsi="仿宋_GB2312" w:eastAsia="仿宋_GB2312" w:cs="仿宋_GB2312"/>
        </w:rPr>
        <w:t>采购包1：</w:t>
      </w:r>
    </w:p>
    <w:p w14:paraId="1DB5A39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大荔县县域内</w:t>
      </w:r>
    </w:p>
    <w:p w14:paraId="0C2C0E55">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1F65E28B">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大荔县县域内</w:t>
      </w:r>
    </w:p>
    <w:p w14:paraId="1DDECAF2">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0C6A5E60">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大荔县县域内</w:t>
      </w:r>
    </w:p>
    <w:p w14:paraId="12AC2E8E">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27B79486">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大荔县县域内</w:t>
      </w:r>
    </w:p>
    <w:p w14:paraId="1483FD0F">
      <w:pPr>
        <w:pStyle w:val="4"/>
        <w:outlineLvl w:val="3"/>
      </w:pPr>
      <w:r>
        <w:rPr>
          <w:rFonts w:ascii="仿宋_GB2312" w:hAnsi="仿宋_GB2312" w:eastAsia="仿宋_GB2312" w:cs="仿宋_GB2312"/>
          <w:b/>
          <w:sz w:val="24"/>
        </w:rPr>
        <w:t>3.3.3考核（验收）标准和方法</w:t>
      </w:r>
    </w:p>
    <w:p w14:paraId="1860DC68">
      <w:pPr>
        <w:pStyle w:val="4"/>
      </w:pPr>
      <w:r>
        <w:rPr>
          <w:rFonts w:ascii="仿宋_GB2312" w:hAnsi="仿宋_GB2312" w:eastAsia="仿宋_GB2312" w:cs="仿宋_GB2312"/>
        </w:rPr>
        <w:t>采购包1：</w:t>
      </w:r>
    </w:p>
    <w:p w14:paraId="54F19B6D">
      <w:pPr>
        <w:pStyle w:val="4"/>
        <w:rPr>
          <w:rFonts w:hint="eastAsia"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验收主体：在供应商履约结束后，由采购人组织验收，验收工作小组由3人组成，按照职责分工对照政府采购合同中验收有关事项和标准核对每项验收事项，并按照验收方案应及时组织验收。</w:t>
      </w:r>
    </w:p>
    <w:p w14:paraId="056F2577">
      <w:pPr>
        <w:pStyle w:val="4"/>
        <w:rPr>
          <w:rFonts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验收方法：服务内容完成情况、服务质量与效果、项目成果资料、资金使用合规性、合同履行期限。‌‌‌</w:t>
      </w:r>
      <w:r>
        <w:rPr>
          <w:rFonts w:hint="eastAsia" w:ascii="仿宋_GB2312" w:hAnsi="仿宋_GB2312" w:eastAsia="仿宋_GB2312" w:cs="仿宋_GB2312"/>
          <w:lang w:val="en-US" w:eastAsia="zh-CN"/>
        </w:rPr>
        <w:t>3.</w:t>
      </w:r>
      <w:r>
        <w:rPr>
          <w:rFonts w:hint="eastAsia" w:ascii="仿宋_GB2312" w:hAnsi="仿宋_GB2312" w:eastAsia="仿宋_GB2312" w:cs="仿宋_GB2312"/>
        </w:rPr>
        <w:t>验收程序：查阅资料：查看服务协议、签约档案、服务记录表、随访记录、健康评估报告、财务账目等，了解服务的开展情况、资金使用合规性及签约服务信息系统录入情况等，确保资料真实、完整、规范。实地核查：对家庭医生签约服务网点的服务设施、诊疗设备、服务环境等硬件条件进行检查，查看是否符合残疾人医疗健康服务相关标准和要求，是否具备为残疾人提供便捷服务的基础条件。入户走访与随访核实：与残疾人签约对象及其家属交谈，询问签约服务内容、服务时长、随访次数、服务质量以及对象满意度等情况；重点核查居家残疾人签约对象的上门服务情况，包括家庭医生及服务人员的服务态度、服务技能、健康指导效果、康复干预落实情况等，确保服务直达需求、落到实处。出具验收报告：采购人根据验收工作小组验收合格的意见，核对无误后签字确认，并出具验收报告。</w:t>
      </w:r>
      <w:r>
        <w:rPr>
          <w:rFonts w:hint="eastAsia" w:ascii="仿宋_GB2312" w:hAnsi="仿宋_GB2312" w:eastAsia="仿宋_GB2312" w:cs="仿宋_GB2312"/>
          <w:lang w:val="en-US" w:eastAsia="zh-CN"/>
        </w:rPr>
        <w:t>4.</w:t>
      </w:r>
      <w:r>
        <w:rPr>
          <w:rFonts w:hint="eastAsia" w:ascii="仿宋_GB2312" w:hAnsi="仿宋_GB2312" w:eastAsia="仿宋_GB2312" w:cs="仿宋_GB2312"/>
        </w:rPr>
        <w:t>验收内容：包含残疾人家庭医生签约服务核心内容，具体为：家庭医生签约服务落实情况；健康评估与健康管理服务；常见病、慢性病诊疗与康复指导；用药指导与健康咨询服务；转诊对接服务；残疾人专项健康服务等内容。</w:t>
      </w:r>
      <w:r>
        <w:rPr>
          <w:rFonts w:hint="eastAsia" w:ascii="仿宋_GB2312" w:hAnsi="仿宋_GB2312" w:eastAsia="仿宋_GB2312" w:cs="仿宋_GB2312"/>
          <w:lang w:val="en-US" w:eastAsia="zh-CN"/>
        </w:rPr>
        <w:t>5.</w:t>
      </w:r>
      <w:r>
        <w:rPr>
          <w:rFonts w:hint="eastAsia" w:ascii="仿宋_GB2312" w:hAnsi="仿宋_GB2312" w:eastAsia="仿宋_GB2312" w:cs="仿宋_GB2312"/>
        </w:rPr>
        <w:t>验收阶段：服务完成后7个工作日内进行履约验收。</w:t>
      </w:r>
      <w:r>
        <w:rPr>
          <w:rFonts w:hint="eastAsia" w:ascii="仿宋_GB2312" w:hAnsi="仿宋_GB2312" w:eastAsia="仿宋_GB2312" w:cs="仿宋_GB2312"/>
          <w:lang w:val="en-US" w:eastAsia="zh-CN"/>
        </w:rPr>
        <w:t>6.</w:t>
      </w:r>
      <w:r>
        <w:rPr>
          <w:rFonts w:hint="eastAsia" w:ascii="仿宋_GB2312" w:hAnsi="仿宋_GB2312" w:eastAsia="仿宋_GB2312" w:cs="仿宋_GB2312"/>
        </w:rPr>
        <w:t>验收标准：各项具体工作的质量标准和作业规范，按国家标准、行业标准、有关技术规范要求及磋商文件、响应文件规定的内容执行。7.项目履约验收结果需在验收完成后7个工作日内在陕西政府采购网上进行公示</w:t>
      </w:r>
      <w:r>
        <w:rPr>
          <w:rFonts w:ascii="仿宋_GB2312" w:hAnsi="仿宋_GB2312" w:eastAsia="仿宋_GB2312" w:cs="仿宋_GB2312"/>
        </w:rPr>
        <w:t>；</w:t>
      </w:r>
    </w:p>
    <w:p w14:paraId="0D985B0B">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2BA031DC">
      <w:pPr>
        <w:pStyle w:val="4"/>
        <w:rPr>
          <w:rFonts w:hint="eastAsia"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验收主体：在供应商履约结束后，由采购人组织验收，验收工作小组由3人组成，按照职责分工对照政府采购合同中验收有关事项和标准核对每项验收事项，并按照验收方案应及时组织验收。</w:t>
      </w:r>
    </w:p>
    <w:p w14:paraId="048F25C4">
      <w:pPr>
        <w:pStyle w:val="4"/>
        <w:rPr>
          <w:rFonts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验收方法：服务内容完成情况、服务质量与效果、项目成果资料、资金使用合规性、合同履行期限。‌‌‌</w:t>
      </w:r>
      <w:r>
        <w:rPr>
          <w:rFonts w:hint="eastAsia" w:ascii="仿宋_GB2312" w:hAnsi="仿宋_GB2312" w:eastAsia="仿宋_GB2312" w:cs="仿宋_GB2312"/>
          <w:lang w:val="en-US" w:eastAsia="zh-CN"/>
        </w:rPr>
        <w:t>3.</w:t>
      </w:r>
      <w:r>
        <w:rPr>
          <w:rFonts w:hint="eastAsia" w:ascii="仿宋_GB2312" w:hAnsi="仿宋_GB2312" w:eastAsia="仿宋_GB2312" w:cs="仿宋_GB2312"/>
        </w:rPr>
        <w:t>验收程序：查阅资料：查看服务协议、签约档案、服务记录表、随访记录、健康评估报告、财务账目等，了解服务的开展情况、资金使用合规性及签约服务信息系统录入情况等，确保资料真实、完整、规范。实地核查：对家庭医生签约服务网点的服务设施、诊疗设备、服务环境等硬件条件进行检查，查看是否符合残疾人医疗健康服务相关标准和要求，是否具备为残疾人提供便捷服务的基础条件。入户走访与随访核实：与残疾人签约对象及其家属交谈，询问签约服务内容、服务时长、随访次数、服务质量以及对象满意度等情况；重点核查居家残疾人签约对象的上门服务情况，包括家庭医生及服务人员的服务态度、服务技能、健康指导效果、康复干预落实情况等，确保服务直达需求、落到实处。出具验收报告：采购人根据验收工作小组验收合格的意见，核对无误后签字确认，并出具验收报告。</w:t>
      </w:r>
      <w:r>
        <w:rPr>
          <w:rFonts w:hint="eastAsia" w:ascii="仿宋_GB2312" w:hAnsi="仿宋_GB2312" w:eastAsia="仿宋_GB2312" w:cs="仿宋_GB2312"/>
          <w:lang w:val="en-US" w:eastAsia="zh-CN"/>
        </w:rPr>
        <w:t>4.</w:t>
      </w:r>
      <w:r>
        <w:rPr>
          <w:rFonts w:hint="eastAsia" w:ascii="仿宋_GB2312" w:hAnsi="仿宋_GB2312" w:eastAsia="仿宋_GB2312" w:cs="仿宋_GB2312"/>
        </w:rPr>
        <w:t>验收内容：包含残疾人家庭医生签约服务核心内容，具体为：家庭医生签约服务落实情况；健康评估与健康管理服务；常见病、慢性病诊疗与康复指导；用药指导与健康咨询服务；转诊对接服务；残疾人专项健康服务等内容。</w:t>
      </w:r>
      <w:r>
        <w:rPr>
          <w:rFonts w:hint="eastAsia" w:ascii="仿宋_GB2312" w:hAnsi="仿宋_GB2312" w:eastAsia="仿宋_GB2312" w:cs="仿宋_GB2312"/>
          <w:lang w:val="en-US" w:eastAsia="zh-CN"/>
        </w:rPr>
        <w:t>5.</w:t>
      </w:r>
      <w:r>
        <w:rPr>
          <w:rFonts w:hint="eastAsia" w:ascii="仿宋_GB2312" w:hAnsi="仿宋_GB2312" w:eastAsia="仿宋_GB2312" w:cs="仿宋_GB2312"/>
        </w:rPr>
        <w:t>验收阶段：服务完成后7个工作日内进行履约验收。</w:t>
      </w:r>
      <w:r>
        <w:rPr>
          <w:rFonts w:hint="eastAsia" w:ascii="仿宋_GB2312" w:hAnsi="仿宋_GB2312" w:eastAsia="仿宋_GB2312" w:cs="仿宋_GB2312"/>
          <w:lang w:val="en-US" w:eastAsia="zh-CN"/>
        </w:rPr>
        <w:t>6.</w:t>
      </w:r>
      <w:r>
        <w:rPr>
          <w:rFonts w:hint="eastAsia" w:ascii="仿宋_GB2312" w:hAnsi="仿宋_GB2312" w:eastAsia="仿宋_GB2312" w:cs="仿宋_GB2312"/>
        </w:rPr>
        <w:t>验收标准：各项具体工作的质量标准和作业规范，按国家标准、行业标准、有关技术规范要求及磋商文件、响应文件规定的内容执行。7.项目履约验收结果需在验收完成后7个工作日内在陕西政府采购网上进行公示</w:t>
      </w:r>
      <w:r>
        <w:rPr>
          <w:rFonts w:ascii="仿宋_GB2312" w:hAnsi="仿宋_GB2312" w:eastAsia="仿宋_GB2312" w:cs="仿宋_GB2312"/>
        </w:rPr>
        <w:t>；</w:t>
      </w:r>
    </w:p>
    <w:p w14:paraId="208069F9">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4DBFC632">
      <w:pPr>
        <w:pStyle w:val="4"/>
        <w:rPr>
          <w:rFonts w:hint="eastAsia"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验收主体：在供应商履约结束后，由采购人组织验收，验收工作小组由3人组成，按照职责分工对照政府采购合同中验收有关事项和标准核对每项验收事项，并按照验收方案应及时组织验收。</w:t>
      </w:r>
    </w:p>
    <w:p w14:paraId="02AEA1C1">
      <w:pPr>
        <w:pStyle w:val="4"/>
        <w:rPr>
          <w:rFonts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验收方法：服务内容完成情况、服务质量与效果、项目成果资料、资金使用合规性、合同履行期限。‌‌‌</w:t>
      </w:r>
      <w:r>
        <w:rPr>
          <w:rFonts w:hint="eastAsia" w:ascii="仿宋_GB2312" w:hAnsi="仿宋_GB2312" w:eastAsia="仿宋_GB2312" w:cs="仿宋_GB2312"/>
          <w:lang w:val="en-US" w:eastAsia="zh-CN"/>
        </w:rPr>
        <w:t>3.</w:t>
      </w:r>
      <w:r>
        <w:rPr>
          <w:rFonts w:hint="eastAsia" w:ascii="仿宋_GB2312" w:hAnsi="仿宋_GB2312" w:eastAsia="仿宋_GB2312" w:cs="仿宋_GB2312"/>
        </w:rPr>
        <w:t>验收程序：查阅资料：查看服务协议、签约档案、服务记录表、随访记录、健康评估报告、财务账目等，了解服务的开展情况、资金使用合规性及签约服务信息系统录入情况等，确保资料真实、完整、规范。实地核查：对家庭医生签约服务网点的服务设施、诊疗设备、服务环境等硬件条件进行检查，查看是否符合残疾人医疗健康服务相关标准和要求，是否具备为残疾人提供便捷服务的基础条件。入户走访与随访核实：与残疾人签约对象及其家属交谈，询问签约服务内容、服务时长、随访次数、服务质量以及对象满意度等情况；重点核查居家残疾人签约对象的上门服务情况，包括家庭医生及服务人员的服务态度、服务技能、健康指导效果、康复干预落实情况等，确保服务直达需求、落到实处。出具验收报告：采购人根据验收工作小组验收合格的意见，核对无误后签字确认，并出具验收报告。</w:t>
      </w:r>
      <w:r>
        <w:rPr>
          <w:rFonts w:hint="eastAsia" w:ascii="仿宋_GB2312" w:hAnsi="仿宋_GB2312" w:eastAsia="仿宋_GB2312" w:cs="仿宋_GB2312"/>
          <w:lang w:val="en-US" w:eastAsia="zh-CN"/>
        </w:rPr>
        <w:t>4.</w:t>
      </w:r>
      <w:r>
        <w:rPr>
          <w:rFonts w:hint="eastAsia" w:ascii="仿宋_GB2312" w:hAnsi="仿宋_GB2312" w:eastAsia="仿宋_GB2312" w:cs="仿宋_GB2312"/>
        </w:rPr>
        <w:t>验收内容：包含残疾人家庭医生签约服务核心内容，具体为：家庭医生签约服务落实情况；健康评估与健康管理服务；常见病、慢性病诊疗与康复指导；用药指导与健康咨询服务；转诊对接服务；残疾人专项健康服务等内容。</w:t>
      </w:r>
      <w:r>
        <w:rPr>
          <w:rFonts w:hint="eastAsia" w:ascii="仿宋_GB2312" w:hAnsi="仿宋_GB2312" w:eastAsia="仿宋_GB2312" w:cs="仿宋_GB2312"/>
          <w:lang w:val="en-US" w:eastAsia="zh-CN"/>
        </w:rPr>
        <w:t>5.</w:t>
      </w:r>
      <w:r>
        <w:rPr>
          <w:rFonts w:hint="eastAsia" w:ascii="仿宋_GB2312" w:hAnsi="仿宋_GB2312" w:eastAsia="仿宋_GB2312" w:cs="仿宋_GB2312"/>
        </w:rPr>
        <w:t>验收阶段：服务完成后7个工作日内进行履约验收。</w:t>
      </w:r>
      <w:r>
        <w:rPr>
          <w:rFonts w:hint="eastAsia" w:ascii="仿宋_GB2312" w:hAnsi="仿宋_GB2312" w:eastAsia="仿宋_GB2312" w:cs="仿宋_GB2312"/>
          <w:lang w:val="en-US" w:eastAsia="zh-CN"/>
        </w:rPr>
        <w:t>6.</w:t>
      </w:r>
      <w:r>
        <w:rPr>
          <w:rFonts w:hint="eastAsia" w:ascii="仿宋_GB2312" w:hAnsi="仿宋_GB2312" w:eastAsia="仿宋_GB2312" w:cs="仿宋_GB2312"/>
        </w:rPr>
        <w:t>验收标准：各项具体工作的质量标准和作业规范，按国家标准、行业标准、有关技术规范要求及磋商文件、响应文件规定的内容执行。7.项目履约验收结果需在验收完成后7个工作日内在陕西政府采购网上进行公示</w:t>
      </w:r>
      <w:r>
        <w:rPr>
          <w:rFonts w:ascii="仿宋_GB2312" w:hAnsi="仿宋_GB2312" w:eastAsia="仿宋_GB2312" w:cs="仿宋_GB2312"/>
        </w:rPr>
        <w:t>；</w:t>
      </w:r>
    </w:p>
    <w:p w14:paraId="1793015C">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5CD305C5">
      <w:pPr>
        <w:pStyle w:val="4"/>
        <w:rPr>
          <w:rFonts w:hint="eastAsia"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验收主体：在供应商履约结束后，由采购人组织验收，验收工作小组由3人组成，按照职责分工对照政府采购合同中验收有关事项和标准核对每项验收事项，并按照验收方案应及时组织验收。</w:t>
      </w:r>
    </w:p>
    <w:p w14:paraId="5276A311">
      <w:pPr>
        <w:pStyle w:val="4"/>
        <w:rPr>
          <w:rFonts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验收方法：服务内容完成情况、服务质量与效果、项目成果资料、资金使用合规性、合同履行期限。‌‌‌</w:t>
      </w:r>
      <w:r>
        <w:rPr>
          <w:rFonts w:hint="eastAsia" w:ascii="仿宋_GB2312" w:hAnsi="仿宋_GB2312" w:eastAsia="仿宋_GB2312" w:cs="仿宋_GB2312"/>
          <w:lang w:val="en-US" w:eastAsia="zh-CN"/>
        </w:rPr>
        <w:t>3.</w:t>
      </w:r>
      <w:r>
        <w:rPr>
          <w:rFonts w:hint="eastAsia" w:ascii="仿宋_GB2312" w:hAnsi="仿宋_GB2312" w:eastAsia="仿宋_GB2312" w:cs="仿宋_GB2312"/>
        </w:rPr>
        <w:t>验收程序：查阅资料：查看服务协议、签约档案、服务记录表、随访记录、健康评估报告、财务账目等，了解服务的开展情况、资金使用合规性及签约服务信息系统录入情况等，确保资料真实、完整、规范。实地核查：对家庭医生签约服务网点的服务设施、诊疗设备、服务环境等硬件条件进行检查，查看是否符合残疾人医疗健康服务相关标准和要求，是否具备为残疾人提供便捷服务的基础条件。入户走访与随访核实：与残疾人签约对象及其家属交谈，询问签约服务内容、服务时长、随访次数、服务质量以及对象满意度等情况；重点核查居家残疾人签约对象的上门服务情况，包括家庭医生及服务人员的服务态度、服务技能、健康指导效果、康复干预落实情况等，确保服务直达需求、落到实处。出具验收报告：采购人根据验收工作小组验收合格的意见，核对无误后签字确认，并出具验收报告。</w:t>
      </w:r>
      <w:r>
        <w:rPr>
          <w:rFonts w:hint="eastAsia" w:ascii="仿宋_GB2312" w:hAnsi="仿宋_GB2312" w:eastAsia="仿宋_GB2312" w:cs="仿宋_GB2312"/>
          <w:lang w:val="en-US" w:eastAsia="zh-CN"/>
        </w:rPr>
        <w:t>4.</w:t>
      </w:r>
      <w:r>
        <w:rPr>
          <w:rFonts w:hint="eastAsia" w:ascii="仿宋_GB2312" w:hAnsi="仿宋_GB2312" w:eastAsia="仿宋_GB2312" w:cs="仿宋_GB2312"/>
        </w:rPr>
        <w:t>验收内容：包含残疾人家庭医生签约服务核心内容，具体为：家庭医生签约服务落实情况；健康评估与健康管理服务；常见病、慢性病诊疗与康复指导；用药指导与健康咨询服务；转诊对接服务；残疾人专项健康服务等内容。</w:t>
      </w:r>
      <w:r>
        <w:rPr>
          <w:rFonts w:hint="eastAsia" w:ascii="仿宋_GB2312" w:hAnsi="仿宋_GB2312" w:eastAsia="仿宋_GB2312" w:cs="仿宋_GB2312"/>
          <w:lang w:val="en-US" w:eastAsia="zh-CN"/>
        </w:rPr>
        <w:t>5.</w:t>
      </w:r>
      <w:r>
        <w:rPr>
          <w:rFonts w:hint="eastAsia" w:ascii="仿宋_GB2312" w:hAnsi="仿宋_GB2312" w:eastAsia="仿宋_GB2312" w:cs="仿宋_GB2312"/>
        </w:rPr>
        <w:t>验收阶段：服务完成后7个工作日内进行履约验收。</w:t>
      </w:r>
      <w:r>
        <w:rPr>
          <w:rFonts w:hint="eastAsia" w:ascii="仿宋_GB2312" w:hAnsi="仿宋_GB2312" w:eastAsia="仿宋_GB2312" w:cs="仿宋_GB2312"/>
          <w:lang w:val="en-US" w:eastAsia="zh-CN"/>
        </w:rPr>
        <w:t>6.</w:t>
      </w:r>
      <w:r>
        <w:rPr>
          <w:rFonts w:hint="eastAsia" w:ascii="仿宋_GB2312" w:hAnsi="仿宋_GB2312" w:eastAsia="仿宋_GB2312" w:cs="仿宋_GB2312"/>
        </w:rPr>
        <w:t>验收标准：各项具体工作的质量标准和作业规范，按国家标准、行业标准、有关技术规范要求及磋商文件、响应文件规定的内容执行。7.项目履约验收结果需在验收完成后7个工作日内在陕西政府采购网上进行公示</w:t>
      </w:r>
      <w:r>
        <w:rPr>
          <w:rFonts w:ascii="仿宋_GB2312" w:hAnsi="仿宋_GB2312" w:eastAsia="仿宋_GB2312" w:cs="仿宋_GB2312"/>
        </w:rPr>
        <w:t>；</w:t>
      </w:r>
    </w:p>
    <w:p w14:paraId="700AFE76">
      <w:pPr>
        <w:pStyle w:val="4"/>
        <w:outlineLvl w:val="3"/>
      </w:pPr>
      <w:r>
        <w:rPr>
          <w:rFonts w:ascii="仿宋_GB2312" w:hAnsi="仿宋_GB2312" w:eastAsia="仿宋_GB2312" w:cs="仿宋_GB2312"/>
          <w:b/>
          <w:sz w:val="24"/>
        </w:rPr>
        <w:t>3.3.4支付方式</w:t>
      </w:r>
    </w:p>
    <w:p w14:paraId="6F302291">
      <w:pPr>
        <w:pStyle w:val="4"/>
        <w:rPr>
          <w:highlight w:val="none"/>
        </w:rPr>
      </w:pPr>
      <w:r>
        <w:rPr>
          <w:rFonts w:ascii="仿宋_GB2312" w:hAnsi="仿宋_GB2312" w:eastAsia="仿宋_GB2312" w:cs="仿宋_GB2312"/>
          <w:highlight w:val="none"/>
        </w:rPr>
        <w:t>采购包1：</w:t>
      </w:r>
    </w:p>
    <w:p w14:paraId="674489CD">
      <w:pPr>
        <w:pStyle w:val="4"/>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一次性</w:t>
      </w:r>
      <w:r>
        <w:rPr>
          <w:rFonts w:ascii="仿宋_GB2312" w:hAnsi="仿宋_GB2312" w:eastAsia="仿宋_GB2312" w:cs="仿宋_GB2312"/>
          <w:highlight w:val="none"/>
        </w:rPr>
        <w:t>付款</w:t>
      </w:r>
    </w:p>
    <w:p w14:paraId="520616F9">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w:t>
      </w:r>
    </w:p>
    <w:p w14:paraId="1721377F">
      <w:pPr>
        <w:pStyle w:val="4"/>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一次性</w:t>
      </w:r>
      <w:r>
        <w:rPr>
          <w:rFonts w:ascii="仿宋_GB2312" w:hAnsi="仿宋_GB2312" w:eastAsia="仿宋_GB2312" w:cs="仿宋_GB2312"/>
          <w:highlight w:val="none"/>
        </w:rPr>
        <w:t>付款</w:t>
      </w:r>
    </w:p>
    <w:p w14:paraId="51651C75">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p>
    <w:p w14:paraId="00A2C1E5">
      <w:pPr>
        <w:pStyle w:val="4"/>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一次性</w:t>
      </w:r>
      <w:r>
        <w:rPr>
          <w:rFonts w:ascii="仿宋_GB2312" w:hAnsi="仿宋_GB2312" w:eastAsia="仿宋_GB2312" w:cs="仿宋_GB2312"/>
          <w:highlight w:val="none"/>
        </w:rPr>
        <w:t>付款</w:t>
      </w:r>
    </w:p>
    <w:p w14:paraId="1131DFFE">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w:t>
      </w:r>
    </w:p>
    <w:p w14:paraId="2B8E2D69">
      <w:pPr>
        <w:pStyle w:val="4"/>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一次性</w:t>
      </w:r>
      <w:r>
        <w:rPr>
          <w:rFonts w:ascii="仿宋_GB2312" w:hAnsi="仿宋_GB2312" w:eastAsia="仿宋_GB2312" w:cs="仿宋_GB2312"/>
          <w:highlight w:val="none"/>
        </w:rPr>
        <w:t>付款</w:t>
      </w:r>
    </w:p>
    <w:p w14:paraId="4D7EA1FB">
      <w:pPr>
        <w:pStyle w:val="4"/>
        <w:outlineLvl w:val="3"/>
      </w:pPr>
      <w:r>
        <w:rPr>
          <w:rFonts w:ascii="仿宋_GB2312" w:hAnsi="仿宋_GB2312" w:eastAsia="仿宋_GB2312" w:cs="仿宋_GB2312"/>
          <w:b/>
          <w:sz w:val="24"/>
        </w:rPr>
        <w:t>3.3.5支付约定</w:t>
      </w:r>
    </w:p>
    <w:p w14:paraId="3E99A8F4">
      <w:pPr>
        <w:pStyle w:val="4"/>
      </w:pPr>
      <w:r>
        <w:rPr>
          <w:rFonts w:ascii="仿宋_GB2312" w:hAnsi="仿宋_GB2312" w:eastAsia="仿宋_GB2312" w:cs="仿宋_GB2312"/>
        </w:rPr>
        <w:t>采购包1： 付款条件说明：</w:t>
      </w:r>
      <w:r>
        <w:rPr>
          <w:rFonts w:hint="eastAsia" w:ascii="仿宋_GB2312" w:hAnsi="仿宋_GB2312" w:eastAsia="仿宋_GB2312" w:cs="仿宋_GB2312"/>
        </w:rPr>
        <w:t>项目实施完成且经采购人验收合格后，达到付款条件起30日内，支付合同总金额的100.00%</w:t>
      </w:r>
      <w:r>
        <w:rPr>
          <w:rFonts w:ascii="仿宋_GB2312" w:hAnsi="仿宋_GB2312" w:eastAsia="仿宋_GB2312" w:cs="仿宋_GB2312"/>
        </w:rPr>
        <w:t>。</w:t>
      </w:r>
    </w:p>
    <w:p w14:paraId="34B9D6B7">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 付款条件说明：</w:t>
      </w:r>
      <w:r>
        <w:rPr>
          <w:rFonts w:hint="eastAsia" w:ascii="仿宋_GB2312" w:hAnsi="仿宋_GB2312" w:eastAsia="仿宋_GB2312" w:cs="仿宋_GB2312"/>
        </w:rPr>
        <w:t>项目实施完成且经采购人验收合格后，达到付款条件起30日内，支付合同总金额的100.00%</w:t>
      </w:r>
      <w:r>
        <w:rPr>
          <w:rFonts w:ascii="仿宋_GB2312" w:hAnsi="仿宋_GB2312" w:eastAsia="仿宋_GB2312" w:cs="仿宋_GB2312"/>
        </w:rPr>
        <w:t>。</w:t>
      </w:r>
    </w:p>
    <w:p w14:paraId="08DAD939">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 付款条件说明：</w:t>
      </w:r>
      <w:r>
        <w:rPr>
          <w:rFonts w:hint="eastAsia" w:ascii="仿宋_GB2312" w:hAnsi="仿宋_GB2312" w:eastAsia="仿宋_GB2312" w:cs="仿宋_GB2312"/>
        </w:rPr>
        <w:t>项目实施完成且经采购人验收合格后，达到付款条件起30日内，支付合同总金额的100.00%</w:t>
      </w:r>
      <w:r>
        <w:rPr>
          <w:rFonts w:ascii="仿宋_GB2312" w:hAnsi="仿宋_GB2312" w:eastAsia="仿宋_GB2312" w:cs="仿宋_GB2312"/>
        </w:rPr>
        <w:t>。</w:t>
      </w:r>
    </w:p>
    <w:p w14:paraId="181EF336">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 付款条件说明：</w:t>
      </w:r>
      <w:r>
        <w:rPr>
          <w:rFonts w:hint="eastAsia" w:ascii="仿宋_GB2312" w:hAnsi="仿宋_GB2312" w:eastAsia="仿宋_GB2312" w:cs="仿宋_GB2312"/>
        </w:rPr>
        <w:t>项目实施完成且经采购人验收合格后，达到付款条件起30日内，支付合同总金额的100.00%</w:t>
      </w:r>
      <w:r>
        <w:rPr>
          <w:rFonts w:ascii="仿宋_GB2312" w:hAnsi="仿宋_GB2312" w:eastAsia="仿宋_GB2312" w:cs="仿宋_GB2312"/>
        </w:rPr>
        <w:t>。</w:t>
      </w:r>
    </w:p>
    <w:p w14:paraId="2947A370">
      <w:pPr>
        <w:pStyle w:val="4"/>
        <w:outlineLvl w:val="3"/>
      </w:pPr>
      <w:r>
        <w:rPr>
          <w:rFonts w:ascii="仿宋_GB2312" w:hAnsi="仿宋_GB2312" w:eastAsia="仿宋_GB2312" w:cs="仿宋_GB2312"/>
          <w:b/>
          <w:sz w:val="24"/>
        </w:rPr>
        <w:t>3.3.6违约责任及解决争议的方法</w:t>
      </w:r>
    </w:p>
    <w:p w14:paraId="5EB47620">
      <w:pPr>
        <w:pStyle w:val="4"/>
        <w:rPr>
          <w:highlight w:val="none"/>
        </w:rPr>
      </w:pPr>
      <w:r>
        <w:rPr>
          <w:rFonts w:ascii="仿宋_GB2312" w:hAnsi="仿宋_GB2312" w:eastAsia="仿宋_GB2312" w:cs="仿宋_GB2312"/>
          <w:highlight w:val="none"/>
        </w:rPr>
        <w:t>采购包1：</w:t>
      </w:r>
    </w:p>
    <w:p w14:paraId="65C27298">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1.违约责任：依据《中华人民共和国民法典》的相关条款和本合同约定，乙方未全面履行合同义</w:t>
      </w:r>
    </w:p>
    <w:p w14:paraId="68BE7171">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务或拒绝继续履行合同义务，造成服务延误或给甲方带来经济损失，甲方有权单方终止</w:t>
      </w:r>
    </w:p>
    <w:p w14:paraId="51B251E6">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合同，并向乙方索赔。甲方违约的，应赔偿乙方的直接经济损失。</w:t>
      </w:r>
    </w:p>
    <w:p w14:paraId="390421F6">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2.解决争议的方法：</w:t>
      </w:r>
    </w:p>
    <w:p w14:paraId="6B2950DF">
      <w:pPr>
        <w:pStyle w:val="4"/>
        <w:ind w:firstLine="40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在履行本合同期间若发生争议，甲、乙双方应友好协商解决。若协商不成，任何一</w:t>
      </w:r>
    </w:p>
    <w:p w14:paraId="4CB5A0C9">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方均可向甲方所在地有管辖权的人民法院提起诉讼。</w:t>
      </w:r>
    </w:p>
    <w:p w14:paraId="693422A1">
      <w:pPr>
        <w:pStyle w:val="4"/>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合同未尽事宜，由甲乙双方协商，补充条款跟原合同同等法律效力。</w:t>
      </w:r>
    </w:p>
    <w:p w14:paraId="1D02AA68">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w:t>
      </w:r>
    </w:p>
    <w:p w14:paraId="53847E43">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1.违约责任：依据《中华人民共和国民法典》的相关条款和本合同约定，乙方未全面履行合同义</w:t>
      </w:r>
    </w:p>
    <w:p w14:paraId="0F4289C8">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务或拒绝继续履行合同义务，造成服务延误或给甲方带来经济损失，甲方有权单方终止</w:t>
      </w:r>
    </w:p>
    <w:p w14:paraId="67D44F08">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合同，并向乙方索赔。甲方违约的，应赔偿乙方的直接经济损失。</w:t>
      </w:r>
    </w:p>
    <w:p w14:paraId="365740D5">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2.解决争议的方法：</w:t>
      </w:r>
    </w:p>
    <w:p w14:paraId="1AE88388">
      <w:pPr>
        <w:pStyle w:val="4"/>
        <w:ind w:firstLine="40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在履行本合同期间若发生争议，甲、乙双方应友好协商解决。若协商不成，任何一</w:t>
      </w:r>
    </w:p>
    <w:p w14:paraId="4F9278FB">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方均可向甲方所在地有管辖权的人民法院提起诉讼。</w:t>
      </w:r>
    </w:p>
    <w:p w14:paraId="4E85359B">
      <w:pPr>
        <w:pStyle w:val="4"/>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合同未尽事宜，由甲乙双方协商，补充条款跟原合同同等法律效力。</w:t>
      </w:r>
    </w:p>
    <w:p w14:paraId="060A4805">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p>
    <w:p w14:paraId="335E9394">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1.违约责任：依据《中华人民共和国民法典》的相关条款和本合同约定，乙方未全面履行合同义</w:t>
      </w:r>
    </w:p>
    <w:p w14:paraId="12B387BE">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务或拒绝继续履行合同义务，造成服务延误或给甲方带来经济损失，甲方有权单方终止</w:t>
      </w:r>
    </w:p>
    <w:p w14:paraId="0A09DADF">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合同，并向乙方索赔。甲方违约的，应赔偿乙方的直接经济损失。</w:t>
      </w:r>
    </w:p>
    <w:p w14:paraId="7C44383D">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2.解决争议的方法：</w:t>
      </w:r>
    </w:p>
    <w:p w14:paraId="5F0D87A9">
      <w:pPr>
        <w:pStyle w:val="4"/>
        <w:ind w:firstLine="40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在履行本合同期间若发生争议，甲、乙双方应友好协商解决。若协商不成，任何一</w:t>
      </w:r>
    </w:p>
    <w:p w14:paraId="51588FF5">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方均可向甲方所在地有管辖权的人民法院提起诉讼。</w:t>
      </w:r>
    </w:p>
    <w:p w14:paraId="52DEF0D1">
      <w:pPr>
        <w:pStyle w:val="4"/>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合同未尽事宜，由甲乙双方协商，补充条款跟原合同同等法律效力。</w:t>
      </w:r>
    </w:p>
    <w:p w14:paraId="75C2FE8F">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w:t>
      </w:r>
    </w:p>
    <w:p w14:paraId="185F9014">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1.违约责任：依据《中华人民共和国民法典》的相关条款和本合同约定，乙方未全面履行合同义</w:t>
      </w:r>
    </w:p>
    <w:p w14:paraId="62939A66">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务或拒绝继续履行合同义务，造成服务延误或给甲方带来经济损失，甲方有权单方终止</w:t>
      </w:r>
    </w:p>
    <w:p w14:paraId="06E76043">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合同，并向乙方索赔。甲方违约的，应赔偿乙方的直接经济损失。</w:t>
      </w:r>
    </w:p>
    <w:p w14:paraId="7EA046C2">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2.解决争议的方法：</w:t>
      </w:r>
    </w:p>
    <w:p w14:paraId="1ECA3635">
      <w:pPr>
        <w:pStyle w:val="4"/>
        <w:ind w:firstLine="40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在履行本合同期间若发生争议，甲、乙双方应友好协商解决。若协商不成，任何一</w:t>
      </w:r>
    </w:p>
    <w:p w14:paraId="7544B825">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方均可向甲方所在地有管辖权的人民法院提起诉讼。</w:t>
      </w:r>
    </w:p>
    <w:p w14:paraId="534F0FF2">
      <w:pPr>
        <w:pStyle w:val="4"/>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合同未尽事宜，由甲乙双方协商，补充条款跟原合同同等法律效力。</w:t>
      </w:r>
    </w:p>
    <w:p w14:paraId="63FFB6EB">
      <w:pPr>
        <w:pStyle w:val="4"/>
        <w:outlineLvl w:val="2"/>
      </w:pPr>
      <w:r>
        <w:rPr>
          <w:rFonts w:ascii="仿宋_GB2312" w:hAnsi="仿宋_GB2312" w:eastAsia="仿宋_GB2312" w:cs="仿宋_GB2312"/>
          <w:b/>
          <w:sz w:val="28"/>
        </w:rPr>
        <w:t>3.4其他要求</w:t>
      </w:r>
    </w:p>
    <w:p w14:paraId="1A662B42">
      <w:pPr>
        <w:pStyle w:val="4"/>
      </w:pPr>
      <w:r>
        <w:rPr>
          <w:rFonts w:ascii="仿宋_GB2312" w:hAnsi="仿宋_GB2312" w:eastAsia="仿宋_GB2312" w:cs="仿宋_GB2312"/>
        </w:rPr>
        <w:t>为保障政府采购电子化交易平台项目实施，供应商需要在线提交所有通过电子化交易平台实施的政府采购项目的响应文件，成交供应商在中标（成交）结果公示期结束后须向采购人及代理机构提交纸质版响应文件正本1套、副本2套、电子版(U盘1份）。纸质响应文件应与电子响应文件保持一致。</w:t>
      </w:r>
    </w:p>
    <w:p w14:paraId="477C78EB">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B64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2026-05-19T09:23:53Z</dcterms:created>
  <dc:creator>Administrator</dc:creator>
  <cp:lastModifiedBy>王诗瑶</cp:lastModifiedBy>
  <dcterms:modified xsi:type="dcterms:W3CDTF">2026-05-19T09:24:24Z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DocerSaveRecord">
    <vt:lpwstr>eyJoZGlkIjoiOTZkNjEyN2M3NWEyNzBkMzVlMTY5NTZmYWU1ZjNiM2UiLCJ1c2VySWQiOiIxMjEyOTIzNTQ1In0=</vt:lpwstr>
  </property>
  <property fmtid="{D5CDD505-2E9C-101B-9397-08002B2CF9AE}" pid="4" name="ICV">
    <vt:lpwstr>00DDFDFF9FAE40C287AFEC7E7B9E3C8E_12</vt:lpwstr>
  </property>
</Properties>
</file>