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版本号：JDZB-2026-1620260612001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基础设施提升及人居环境治理项目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JDZB-2026-16</w:t>
      </w:r>
      <w:r>
        <w:br/>
      </w:r>
      <w:r>
        <w:br/>
      </w:r>
      <w:r>
        <w:br/>
      </w:r>
    </w:p>
    <w:p>
      <w:pPr>
        <w:pStyle w:val="null3"/>
        <w:jc w:val="center"/>
        <w:outlineLvl w:val="2"/>
      </w:pPr>
      <w:r>
        <w:rPr>
          <w:rFonts w:ascii="仿宋_GB2312" w:hAnsi="仿宋_GB2312" w:cs="仿宋_GB2312" w:eastAsia="仿宋_GB2312"/>
          <w:sz w:val="28"/>
          <w:b/>
        </w:rPr>
        <w:t>西安市蓝田县汤峪镇人民政府（本级）</w:t>
      </w:r>
    </w:p>
    <w:p>
      <w:pPr>
        <w:pStyle w:val="null3"/>
        <w:jc w:val="center"/>
        <w:outlineLvl w:val="2"/>
      </w:pPr>
      <w:r>
        <w:rPr>
          <w:rFonts w:ascii="仿宋_GB2312" w:hAnsi="仿宋_GB2312" w:cs="仿宋_GB2312" w:eastAsia="仿宋_GB2312"/>
          <w:sz w:val="28"/>
          <w:b/>
        </w:rPr>
        <w:t>九鼎工程管理咨询有限公司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九鼎工程管理咨询有限公司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西安市蓝田县汤峪镇人民政府（本级）</w:t>
      </w:r>
      <w:r>
        <w:rPr>
          <w:rFonts w:ascii="仿宋_GB2312" w:hAnsi="仿宋_GB2312" w:cs="仿宋_GB2312" w:eastAsia="仿宋_GB2312"/>
        </w:rPr>
        <w:t>委托，拟对</w:t>
      </w:r>
      <w:r>
        <w:rPr>
          <w:rFonts w:ascii="仿宋_GB2312" w:hAnsi="仿宋_GB2312" w:cs="仿宋_GB2312" w:eastAsia="仿宋_GB2312"/>
        </w:rPr>
        <w:t>基础设施提升及人居环境治理项目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JDZB-2026-16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基础设施提升及人居环境治理项目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基础设施提升及人居环境治理项目位于西安市蓝田县汤峪镇，本工程包含主要内容有：塘子村：道路工程、绿化工程；河东村：安装太阳能路灯、村道硬化、绿化工程；尖角村：安装摄像头、垃圾车、绿化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采购包1（基础设施提升及人居环境治理项目）：属于专门面向中小企业采购。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委托书：供应商应授权合法的人员参加投标，其中法定代表人直接参加的，须出具法定代表人身份证，并与营业执照上信息一致。法定代表人授权代表参加的，须出具法定代表人授权委托书</w:t>
      </w:r>
    </w:p>
    <w:p>
      <w:pPr>
        <w:pStyle w:val="null3"/>
      </w:pPr>
      <w:r>
        <w:rPr>
          <w:rFonts w:ascii="仿宋_GB2312" w:hAnsi="仿宋_GB2312" w:cs="仿宋_GB2312" w:eastAsia="仿宋_GB2312"/>
        </w:rPr>
        <w:t>2、资质要求：供应商须具备行业主管部门颁发的市政公用工程施工总承包三级及以上资质并具有有效的安全生产许可证。</w:t>
      </w:r>
    </w:p>
    <w:p>
      <w:pPr>
        <w:pStyle w:val="null3"/>
      </w:pPr>
      <w:r>
        <w:rPr>
          <w:rFonts w:ascii="仿宋_GB2312" w:hAnsi="仿宋_GB2312" w:cs="仿宋_GB2312" w:eastAsia="仿宋_GB2312"/>
        </w:rPr>
        <w:t>3、项目经理资质要求：供应商拟派项目经理须具备行业主管部门颁发的市政公用工程专业二级及以上建造师资质及有效的安全生产考核合格证书（建安B证），在本单位注册且无在建工程。</w:t>
      </w:r>
    </w:p>
    <w:p>
      <w:pPr>
        <w:pStyle w:val="null3"/>
      </w:pPr>
      <w:r>
        <w:rPr>
          <w:rFonts w:ascii="仿宋_GB2312" w:hAnsi="仿宋_GB2312" w:cs="仿宋_GB2312" w:eastAsia="仿宋_GB2312"/>
        </w:rPr>
        <w:t>4、信用记录：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5、供应商基本信息及项目经理基本信息查询：供应商基本信息及项目经理基本信息应在“陕西建设网（http://js.shaanxi.gov.cn/）或陕西省建筑市场监管与诚信信息发布平台”可查询</w:t>
      </w:r>
    </w:p>
    <w:p>
      <w:pPr>
        <w:pStyle w:val="null3"/>
      </w:pPr>
      <w:r>
        <w:rPr>
          <w:rFonts w:ascii="仿宋_GB2312" w:hAnsi="仿宋_GB2312" w:cs="仿宋_GB2312" w:eastAsia="仿宋_GB2312"/>
        </w:rPr>
        <w:t>6、承诺书：供应商不得在各级诚信信息平台被列为投标受限制的行为人（以承诺书为准）。</w:t>
      </w:r>
    </w:p>
    <w:p>
      <w:pPr>
        <w:pStyle w:val="null3"/>
      </w:pPr>
      <w:r>
        <w:rPr>
          <w:rFonts w:ascii="仿宋_GB2312" w:hAnsi="仿宋_GB2312" w:cs="仿宋_GB2312" w:eastAsia="仿宋_GB2312"/>
        </w:rPr>
        <w:t>7、承诺书：本项目不接受联合体投标，单位负责人为同一人或者存在直接控股、管理关系的不同供应商，不得参加同一合同项下的政府采购活动。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8、中小企业声明函：本项目专门面向中小企业采购，仅限符合《政府采购促进中小企业发展管理办法》的通知(财库〔2020〕46号)条件的中小企业参与，并提供中小企业声明函。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西安市蓝田县汤峪镇人民政府（本级）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西安市蓝田县汤峪镇塘子正街与富康一路交汇处南侧20米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17789172017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九鼎工程管理咨询有限公司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西安市未央区二环北路西段福瑞苑大厦二单元18楼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15353051166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李晓东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代理服务费收费标准：1.以成交金额为基数，参照国家计委颁布《招标代理服务收费管理暂行办法》（计价格[2002]1980号）、（发改办价格[2003]857号）文件规定执行； 2.招标代理服务费由成交供应商支付，在领取《成交通知书》前，由成交供应商一次性支付给九鼎工程管理咨询有限公司。 招标代理服务费缴纳账户： 开户名称：九鼎工程管理咨询有限公司 开户银行：中信银行西安分行营业部 账 号：7251110182600169116</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西安市蓝田县汤峪镇人民政府（本级）</w:t>
      </w:r>
      <w:r>
        <w:rPr>
          <w:rFonts w:ascii="仿宋_GB2312" w:hAnsi="仿宋_GB2312" w:cs="仿宋_GB2312" w:eastAsia="仿宋_GB2312"/>
        </w:rPr>
        <w:t>和</w:t>
      </w:r>
      <w:r>
        <w:rPr>
          <w:rFonts w:ascii="仿宋_GB2312" w:hAnsi="仿宋_GB2312" w:cs="仿宋_GB2312" w:eastAsia="仿宋_GB2312"/>
        </w:rPr>
        <w:t>九鼎工程管理咨询有限公司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西安市蓝田县汤峪镇人民政府（本级）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九鼎工程管理咨询有限公司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西安市蓝田县汤峪镇人民政府（本级）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九鼎工程管理咨询有限公司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联系人：张晓妮</w:t>
      </w:r>
    </w:p>
    <w:p>
      <w:pPr>
        <w:pStyle w:val="null3"/>
      </w:pPr>
      <w:r>
        <w:rPr>
          <w:rFonts w:ascii="仿宋_GB2312" w:hAnsi="仿宋_GB2312" w:cs="仿宋_GB2312" w:eastAsia="仿宋_GB2312"/>
        </w:rPr>
        <w:t>联系电话：15353051166</w:t>
      </w:r>
    </w:p>
    <w:p>
      <w:pPr>
        <w:pStyle w:val="null3"/>
      </w:pPr>
      <w:r>
        <w:rPr>
          <w:rFonts w:ascii="仿宋_GB2312" w:hAnsi="仿宋_GB2312" w:cs="仿宋_GB2312" w:eastAsia="仿宋_GB2312"/>
        </w:rPr>
        <w:t>地址：西安市未央区二环北路西段福瑞苑大厦二单元18楼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599,981.03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基础设施提升及人居环境治理项目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标的名称：基础设施提升及人居环境治理项目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18"/>
                <w:b/>
                <w:color w:val="000000"/>
                <w:shd w:fill="FFFFFF" w:val="clear"/>
              </w:rPr>
              <w:t>一、项目概况</w:t>
            </w:r>
          </w:p>
          <w:p>
            <w:pPr>
              <w:pStyle w:val="null3"/>
              <w:spacing w:before="105" w:after="105"/>
              <w:ind w:firstLine="360"/>
              <w:jc w:val="both"/>
            </w:pPr>
            <w:r>
              <w:rPr>
                <w:rFonts w:ascii="仿宋_GB2312" w:hAnsi="仿宋_GB2312" w:cs="仿宋_GB2312" w:eastAsia="仿宋_GB2312"/>
                <w:sz w:val="18"/>
                <w:color w:val="000000"/>
                <w:shd w:fill="FFFFFF" w:val="clear"/>
              </w:rPr>
              <w:t>基础设施提升及人居环境治理项目位于西安市蓝田县汤峪镇，本工程包含主要内容有：塘子村：道路工程、绿化工程；河东村：安装太阳能路灯、村道硬化、绿化工程；尖角村：安装摄像头、垃圾车、绿化工程等。</w:t>
            </w:r>
          </w:p>
          <w:p>
            <w:pPr>
              <w:pStyle w:val="null3"/>
              <w:spacing w:before="105" w:after="105"/>
              <w:jc w:val="both"/>
            </w:pPr>
            <w:r>
              <w:rPr>
                <w:rFonts w:ascii="仿宋_GB2312" w:hAnsi="仿宋_GB2312" w:cs="仿宋_GB2312" w:eastAsia="仿宋_GB2312"/>
                <w:sz w:val="18"/>
                <w:b/>
                <w:color w:val="000000"/>
                <w:shd w:fill="FFFFFF" w:val="clear"/>
              </w:rPr>
              <w:t>二、项目情况</w:t>
            </w:r>
          </w:p>
          <w:p>
            <w:pPr>
              <w:pStyle w:val="null3"/>
              <w:spacing w:before="105" w:after="105"/>
              <w:ind w:firstLine="360"/>
              <w:jc w:val="both"/>
            </w:pPr>
            <w:r>
              <w:rPr>
                <w:rFonts w:ascii="仿宋_GB2312" w:hAnsi="仿宋_GB2312" w:cs="仿宋_GB2312" w:eastAsia="仿宋_GB2312"/>
                <w:sz w:val="18"/>
                <w:color w:val="000000"/>
                <w:shd w:fill="FFFFFF" w:val="clear"/>
              </w:rPr>
              <w:t>1.西新街翻修铺设柏油路面长183米，宽6米，共1098平方米。2.河堤路绿化带树木补栽，树木品种:女贞、桂花树等。长100米，宽约7米。河东村:安装太阳能路灯90个(不带杆)、村内道路硬化1050平方米、绿化增补300平米。尖角村:安装摄像头50个，共15个点位;购买五征垃圾车一辆;新增绿化面积800平米。具体详见招标文件工程量清单及图纸全部内容。</w:t>
            </w:r>
          </w:p>
          <w:p>
            <w:pPr>
              <w:pStyle w:val="null3"/>
              <w:jc w:val="both"/>
            </w:pPr>
            <w:r>
              <w:rPr>
                <w:rFonts w:ascii="仿宋_GB2312" w:hAnsi="仿宋_GB2312" w:cs="仿宋_GB2312" w:eastAsia="仿宋_GB2312"/>
                <w:sz w:val="18"/>
                <w:b/>
                <w:color w:val="000000"/>
                <w:shd w:fill="FFFFFF" w:val="clear"/>
              </w:rPr>
              <w:t>三、编制依据</w:t>
            </w:r>
          </w:p>
          <w:p>
            <w:pPr>
              <w:pStyle w:val="null3"/>
              <w:spacing w:before="105" w:after="105"/>
              <w:jc w:val="both"/>
            </w:pPr>
            <w:r>
              <w:rPr>
                <w:rFonts w:ascii="仿宋_GB2312" w:hAnsi="仿宋_GB2312" w:cs="仿宋_GB2312" w:eastAsia="仿宋_GB2312"/>
                <w:sz w:val="18"/>
                <w:color w:val="000000"/>
                <w:shd w:fill="FFFFFF" w:val="clear"/>
              </w:rPr>
              <w:t>1.</w:t>
            </w:r>
            <w:r>
              <w:rPr>
                <w:rFonts w:ascii="仿宋_GB2312" w:hAnsi="仿宋_GB2312" w:cs="仿宋_GB2312" w:eastAsia="仿宋_GB2312"/>
                <w:sz w:val="18"/>
                <w:color w:val="000000"/>
                <w:shd w:fill="FFFFFF" w:val="clear"/>
              </w:rPr>
              <w:t>编制范围</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shd w:fill="FFFFFF" w:val="clear"/>
              </w:rPr>
              <w:t>基础设施提升及人居环境治理项目施工图设计工程内容</w:t>
            </w:r>
            <w:r>
              <w:rPr>
                <w:rFonts w:ascii="仿宋_GB2312" w:hAnsi="仿宋_GB2312" w:cs="仿宋_GB2312" w:eastAsia="仿宋_GB2312"/>
                <w:sz w:val="18"/>
                <w:color w:val="000000"/>
                <w:shd w:fill="FFFFFF" w:val="clear"/>
              </w:rPr>
              <w:t>；</w:t>
            </w:r>
          </w:p>
          <w:p>
            <w:pPr>
              <w:pStyle w:val="null3"/>
              <w:spacing w:before="105" w:after="105"/>
              <w:jc w:val="both"/>
            </w:pPr>
            <w:r>
              <w:rPr>
                <w:rFonts w:ascii="仿宋_GB2312" w:hAnsi="仿宋_GB2312" w:cs="仿宋_GB2312" w:eastAsia="仿宋_GB2312"/>
                <w:sz w:val="18"/>
                <w:color w:val="000000"/>
                <w:shd w:fill="FFFFFF" w:val="clear"/>
              </w:rPr>
              <w:t>2.基础设施提升及人居环境治理项目施工图设计工程内容；</w:t>
            </w:r>
          </w:p>
          <w:p>
            <w:pPr>
              <w:pStyle w:val="null3"/>
              <w:spacing w:before="105" w:after="105"/>
              <w:jc w:val="both"/>
            </w:pPr>
            <w:r>
              <w:rPr>
                <w:rFonts w:ascii="仿宋_GB2312" w:hAnsi="仿宋_GB2312" w:cs="仿宋_GB2312" w:eastAsia="仿宋_GB2312"/>
                <w:sz w:val="18"/>
                <w:color w:val="000000"/>
                <w:shd w:fill="FFFFFF" w:val="clear"/>
              </w:rPr>
              <w:t>3.《陕西省住房和城乡建设厅关于印发 2025 陕西省建设工程费用规则等计价依据的通知》陕建管发﹝2025﹞10 号；</w:t>
            </w:r>
          </w:p>
          <w:p>
            <w:pPr>
              <w:pStyle w:val="null3"/>
              <w:spacing w:before="105" w:after="105"/>
              <w:jc w:val="both"/>
            </w:pPr>
            <w:r>
              <w:rPr>
                <w:rFonts w:ascii="仿宋_GB2312" w:hAnsi="仿宋_GB2312" w:cs="仿宋_GB2312" w:eastAsia="仿宋_GB2312"/>
                <w:sz w:val="18"/>
                <w:color w:val="000000"/>
                <w:shd w:fill="FFFFFF" w:val="clear"/>
              </w:rPr>
              <w:t>4. 陕西省《建设工程工程量清单计价标准》DB 61/T5126-2025；</w:t>
            </w:r>
          </w:p>
          <w:p>
            <w:pPr>
              <w:pStyle w:val="null3"/>
              <w:spacing w:before="105" w:after="105"/>
              <w:jc w:val="both"/>
            </w:pPr>
            <w:r>
              <w:rPr>
                <w:rFonts w:ascii="仿宋_GB2312" w:hAnsi="仿宋_GB2312" w:cs="仿宋_GB2312" w:eastAsia="仿宋_GB2312"/>
                <w:sz w:val="18"/>
                <w:color w:val="000000"/>
                <w:shd w:fill="FFFFFF" w:val="clear"/>
              </w:rPr>
              <w:t>5.《陕西省建设工程费用规则》【2025】、《陕西省房屋建筑与装饰工程基价表》【2025】、《陕西省通用安装工程基价表》【2025】、《陕西省市政工程基价表》【2025】、《陕西省园林绿化工程基价表》【2025】、《陕西省房屋建筑与装饰工程消耗量定额》【2025】、《陕西省通用安装工程消耗量定额》【2025】、《陕西省市政工程消耗量定额》【2025】、《陕西省园林绿化工程消耗量定额》【2025】、《陕西省建设工程施工机械合班费用定额》【2025】、《陕西省建设工程施工仪器仪表台班费用定额》【2025】及其他相关的计价依据和办法；</w:t>
            </w:r>
          </w:p>
          <w:p>
            <w:pPr>
              <w:pStyle w:val="null3"/>
              <w:spacing w:before="105" w:after="105"/>
              <w:jc w:val="both"/>
            </w:pPr>
            <w:r>
              <w:rPr>
                <w:rFonts w:ascii="仿宋_GB2312" w:hAnsi="仿宋_GB2312" w:cs="仿宋_GB2312" w:eastAsia="仿宋_GB2312"/>
                <w:sz w:val="18"/>
                <w:color w:val="000000"/>
                <w:shd w:fill="FFFFFF" w:val="clear"/>
              </w:rPr>
              <w:t>6. 人工单价按综合工种分为综合一类工、综合二类工、综合三类工，具体工种分类详见各专业工程消耗量定额。基期人工工日单价中含个人缴纳的社会保障保险费用，未包含用人单位缴纳的建筑工人社保费用。用人单位缴纳的建筑工人社保费用按照计费基础人工费的16.19%单独计取。专业工程综合工种基期人工工日单价按专业工程综合工种基期人工工日单价计算。</w:t>
            </w:r>
          </w:p>
          <w:p>
            <w:pPr>
              <w:pStyle w:val="null3"/>
              <w:spacing w:before="105" w:after="105"/>
              <w:jc w:val="both"/>
            </w:pPr>
            <w:r>
              <w:rPr>
                <w:rFonts w:ascii="仿宋_GB2312" w:hAnsi="仿宋_GB2312" w:cs="仿宋_GB2312" w:eastAsia="仿宋_GB2312"/>
                <w:sz w:val="18"/>
                <w:color w:val="000000"/>
                <w:shd w:fill="FFFFFF" w:val="clear"/>
              </w:rPr>
              <w:t>7. 与建设工程有关的标准、规范及技术资料；</w:t>
            </w:r>
          </w:p>
          <w:p>
            <w:pPr>
              <w:pStyle w:val="null3"/>
              <w:spacing w:before="105" w:after="105"/>
              <w:jc w:val="both"/>
            </w:pPr>
            <w:r>
              <w:rPr>
                <w:rFonts w:ascii="仿宋_GB2312" w:hAnsi="仿宋_GB2312" w:cs="仿宋_GB2312" w:eastAsia="仿宋_GB2312"/>
                <w:sz w:val="18"/>
                <w:color w:val="000000"/>
                <w:shd w:fill="FFFFFF" w:val="clear"/>
              </w:rPr>
              <w:t>8. 施工现场情况、工程特点及与本工程相关的常规施工方案、合理工期；</w:t>
            </w:r>
          </w:p>
          <w:p>
            <w:pPr>
              <w:pStyle w:val="null3"/>
              <w:spacing w:before="105" w:after="105"/>
              <w:jc w:val="both"/>
            </w:pPr>
            <w:r>
              <w:rPr>
                <w:rFonts w:ascii="仿宋_GB2312" w:hAnsi="仿宋_GB2312" w:cs="仿宋_GB2312" w:eastAsia="仿宋_GB2312"/>
                <w:sz w:val="18"/>
                <w:color w:val="000000"/>
                <w:shd w:fill="FFFFFF" w:val="clear"/>
              </w:rPr>
              <w:t>9. 税金执行陕建发【2019】45 号文《关于调整我省建设工程计价依据的通知》；</w:t>
            </w:r>
          </w:p>
          <w:p>
            <w:pPr>
              <w:pStyle w:val="null3"/>
              <w:spacing w:before="105" w:after="105"/>
              <w:jc w:val="both"/>
            </w:pPr>
            <w:r>
              <w:rPr>
                <w:rFonts w:ascii="仿宋_GB2312" w:hAnsi="仿宋_GB2312" w:cs="仿宋_GB2312" w:eastAsia="仿宋_GB2312"/>
                <w:sz w:val="18"/>
                <w:color w:val="000000"/>
                <w:shd w:fill="FFFFFF" w:val="clear"/>
              </w:rPr>
              <w:t>10. 材料单价执行 2026年5月《陕西省工程造价管理信息-材料信息价》及市场询价；</w:t>
            </w:r>
          </w:p>
          <w:p>
            <w:pPr>
              <w:pStyle w:val="null3"/>
            </w:pPr>
            <w:r>
              <w:rPr>
                <w:rFonts w:ascii="仿宋_GB2312" w:hAnsi="仿宋_GB2312" w:cs="仿宋_GB2312" w:eastAsia="仿宋_GB2312"/>
                <w:sz w:val="18"/>
                <w:color w:val="000000"/>
                <w:shd w:fill="FFFFFF" w:val="clear"/>
              </w:rPr>
              <w:t>1</w:t>
            </w:r>
            <w:r>
              <w:rPr>
                <w:rFonts w:ascii="仿宋_GB2312" w:hAnsi="仿宋_GB2312" w:cs="仿宋_GB2312" w:eastAsia="仿宋_GB2312"/>
                <w:sz w:val="18"/>
                <w:color w:val="000000"/>
                <w:shd w:fill="FFFFFF" w:val="clear"/>
              </w:rPr>
              <w:t>1</w:t>
            </w:r>
            <w:r>
              <w:rPr>
                <w:rFonts w:ascii="仿宋_GB2312" w:hAnsi="仿宋_GB2312" w:cs="仿宋_GB2312" w:eastAsia="仿宋_GB2312"/>
                <w:sz w:val="18"/>
                <w:color w:val="000000"/>
                <w:shd w:fill="FFFFFF" w:val="clear"/>
              </w:rPr>
              <w:t>. 编 制 软 件 采 用 广 联 达 云 计 价 平 台 GCCP7.0 版 本7.5000.23.2。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1、工期：45日历天。 2、付款方式：合同签订后，甲方向乙方支付合同价款的40%作为预付款。 工程竣工且验收合格后支付合同总价款的85%。审计部门审计完成后，支付至审计结算价款的97%，剩余3%待缺陷责任期满后一次性无息支付。3、缺陷责任期：1年。4、质量保修期：自竣工验收合格之日起不得少于12个月，国家现行法规、规范对保修期限另有更高要求的，从其法定规定。5、成交公示结束后，成交供应商须提供纸质磋商响应文件3套（一正两副）及电子版U盘2个（内容与系统上传保持一致）交由采购代理机构。成交供应商对所提供资料的真实性、合法性、准确性、完整性负责，无需密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提供以下资料：(1)具有独立承担民事责任能力的法人、其他组织或自然人，并出具合法有效的营业执照或事业单位法人证书等国家规定的相关证明，自然人参与的提供其身份证明： (2)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若审计报告未赋码视为无效。(3)提供响应文件递交截止日前一年内已缴纳的至少一个月的纳税证明或完税证明，依法免税的单位应提供相关证明材料； (4)提供响应文件递交截止日前一年内已缴存的至少一个月的社会保障资金缴存单据或社保机构开具的社会保险参保缴费情况证明，依法不需要缴纳社会保障资金的单位应提供相关证明材料；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若审计报告未赋码视为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供应商应授权合法的人员参加投标，其中法定代表人直接参加的，须出具法定代表人身份证，并与营业执照上信息一致。法定代表人授权代表参加的，须出具法定代表人授权委托书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供应商须具备行业主管部门颁发的市政公用工程施工总承包三级及以上资质并具有有效的安全生产许可证。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供应商拟派项目经理须具备行业主管部门颁发的市政公用工程专业二级及以上建造师资质及有效的安全生产考核合格证书（建安B证），在本单位注册且无在建工程。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供应商基本信息及项目经理基本信息查询</w:t>
            </w:r>
          </w:p>
        </w:tc>
        <w:tc>
          <w:tcPr>
            <w:tcW w:type="dxa" w:w="3322"/>
          </w:tcPr>
          <w:p>
            <w:pPr>
              <w:pStyle w:val="null3"/>
            </w:pPr>
            <w:r>
              <w:rPr>
                <w:rFonts w:ascii="仿宋_GB2312" w:hAnsi="仿宋_GB2312" w:cs="仿宋_GB2312" w:eastAsia="仿宋_GB2312"/>
              </w:rPr>
              <w:t>供应商基本信息及项目经理基本信息应在“陕西建设网（http://js.shaanxi.gov.cn/）或陕西省建筑市场监管与诚信信息发布平台”可查询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供应商不得在各级诚信信息平台被列为投标受限制的行为人（以承诺书为准）。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本项目专门面向中小企业采购，仅限符合《政府采购促进中小企业发展管理办法》的通知(财库〔2020〕46号)条件的中小企业参与，并提供中小企业声明函。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分项报价表.docx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已标价工程量清单 分项报价表.docx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供应商类似项目业绩情况表.docx 已标价工程量清单 中小企业声明函 技术服务合同条款及其他商务要求应答表 响应文件封面 分项报价表.docx 供应商应提交的相关资格证明材料.docx 残疾人福利性单位声明函 报价函 标的清单 响应函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报价函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供应商需在项目电子化交易系统中按要求编制响应文件并进行电子签章。</w:t>
            </w:r>
          </w:p>
        </w:tc>
        <w:tc>
          <w:tcPr>
            <w:tcW w:type="dxa" w:w="1661"/>
          </w:tcPr>
          <w:p>
            <w:pPr>
              <w:pStyle w:val="null3"/>
            </w:pPr>
            <w:r>
              <w:rPr>
                <w:rFonts w:ascii="仿宋_GB2312" w:hAnsi="仿宋_GB2312" w:cs="仿宋_GB2312" w:eastAsia="仿宋_GB2312"/>
              </w:rPr>
              <w:t>供应商类似项目业绩情况表.docx 已标价工程量清单 中小企业声明函 技术服务合同条款及其他商务要求应答表 响应文件封面 分项报价表.docx 供应商应提交的相关资格证明材料.docx 残疾人福利性单位声明函 报价函 标的清单 响应函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上述5项评审内容全部满足评审标准得15分，每有一个评审内容缺项扣3分，每有一项评审内容存在缺陷，扣1-2分，扣完为止。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内容至少包括①质量管理流程；②工程质量保障方案；③工程质量控制体系；④材料和构配件的质量控制等；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内容至少包括①安全生产管理制度；②配置安全组织机构；③安全隐患排查、整改制度；④应急救援方案等。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 内容至少包括①文明施工及环境保护管理制度； ②防尘降噪措施；③节能减排措施；④治污减霾措施；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 ②工期目标控制和保证措施； ③材料供应措施； ④成品、半成品保护监管措施等。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 内容至少包括①劳动力投入计划②劳动力保障措施；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3.磋商报价得分=（磋商基准价/磋商报价）×30的公式计算得分。 4.磋商报价不完整的，不进入磋商标准价的计算，本项得0分。 5.经评委一致认定，供应商的磋商最终总报价低于公认市场成本，或超过采购预算,其磋商响应将被拒绝。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详见附件：供应商类似项目业绩情况表.docx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