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版本号：SDZC2026-13620260903001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蒲城县“遇见蒲城”全民文旅活动全程策划执行与推广服务项目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SDZC2026-136</w:t>
      </w:r>
      <w:r>
        <w:br/>
      </w:r>
      <w:r>
        <w:br/>
      </w:r>
      <w:r>
        <w:br/>
      </w:r>
    </w:p>
    <w:p>
      <w:pPr>
        <w:pStyle w:val="null3"/>
        <w:jc w:val="center"/>
        <w:outlineLvl w:val="5"/>
      </w:pPr>
      <w:r>
        <w:rPr>
          <w:rFonts w:ascii="仿宋_GB2312" w:hAnsi="仿宋_GB2312" w:cs="仿宋_GB2312" w:eastAsia="仿宋_GB2312"/>
          <w:sz w:val="15"/>
          <w:b/>
        </w:rPr>
        <w:t>蒲城县文化和旅游局</w:t>
      </w:r>
    </w:p>
    <w:p>
      <w:pPr>
        <w:pStyle w:val="null3"/>
        <w:jc w:val="center"/>
        <w:outlineLvl w:val="5"/>
      </w:pPr>
      <w:r>
        <w:rPr>
          <w:rFonts w:ascii="仿宋_GB2312" w:hAnsi="仿宋_GB2312" w:cs="仿宋_GB2312" w:eastAsia="仿宋_GB2312"/>
          <w:sz w:val="15"/>
          <w:b/>
        </w:rPr>
        <w:t>陕西上德招标有限公司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2026年09月03日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蒲城县文化和旅游局</w:t>
      </w:r>
      <w:r>
        <w:rPr>
          <w:rFonts w:ascii="仿宋_GB2312" w:hAnsi="仿宋_GB2312" w:cs="仿宋_GB2312" w:eastAsia="仿宋_GB2312"/>
        </w:rPr>
        <w:t>委托，拟对</w:t>
      </w:r>
      <w:r>
        <w:rPr>
          <w:rFonts w:ascii="仿宋_GB2312" w:hAnsi="仿宋_GB2312" w:cs="仿宋_GB2312" w:eastAsia="仿宋_GB2312"/>
        </w:rPr>
        <w:t>蒲城县“遇见蒲城”全民文旅活动全程策划执行与推广服务项目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SDZC2026-136</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蒲城县“遇见蒲城”全民文旅活动全程策划执行与推广服务项目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蒲城县“遇见蒲城”全民文旅活动全程策划执行与推广服务项目</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其他组织的营业执照/事业单位法人证书/非企业专业服务机构执业许可证/民办非企业单位登记证书：提供供应商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提供具有财务审计资质单位出具的2024年度或2025年度财务报告（成立时间至开标时间不足一年的可提供成立后任意时段的资产负债表）或其基本开户银行出具的资信证明或政府采购信用担保机构出具的担保函</w:t>
      </w:r>
    </w:p>
    <w:p>
      <w:pPr>
        <w:pStyle w:val="null3"/>
      </w:pPr>
      <w:r>
        <w:rPr>
          <w:rFonts w:ascii="仿宋_GB2312" w:hAnsi="仿宋_GB2312" w:cs="仿宋_GB2312" w:eastAsia="仿宋_GB2312"/>
        </w:rPr>
        <w:t>3、税收缴纳证明：提供2026年2月至今任意一个月的税收缴纳凭据；（增值税、企业所得税至少提供一种，依法免税的供应商应提供相关文件证明）</w:t>
      </w:r>
    </w:p>
    <w:p>
      <w:pPr>
        <w:pStyle w:val="null3"/>
      </w:pPr>
      <w:r>
        <w:rPr>
          <w:rFonts w:ascii="仿宋_GB2312" w:hAnsi="仿宋_GB2312" w:cs="仿宋_GB2312" w:eastAsia="仿宋_GB2312"/>
        </w:rPr>
        <w:t>4、社会保障资金缴纳证明：提供2026年2月至今任意一个月的社保缴纳凭据或社保机构开具的社会保险参保缴纳情况证明；（依法不需要缴纳社会保障资金的供应商应提供相关证明）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 加盖供应商公章）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附法定代表人身份证复印件及被授权人身份证复印件、同时提供被授权人2026年5月至今任意一个月在本单位的社保资金缴纳凭证）；法定代表人直接参加投标的提供法定代表人资格证明书（附法定代表人身份证复印件）；采购文件凡是法定代表人之处，非法人单位的负责人均参照执行； (式样见文件格式)</w:t>
      </w:r>
    </w:p>
    <w:p>
      <w:pPr>
        <w:pStyle w:val="null3"/>
      </w:pPr>
      <w:r>
        <w:rPr>
          <w:rFonts w:ascii="仿宋_GB2312" w:hAnsi="仿宋_GB2312" w:cs="仿宋_GB2312" w:eastAsia="仿宋_GB2312"/>
        </w:rPr>
        <w:t>8、信用截图：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由采购人在单一来源采购响应截止日当天在“信用中国” 网站和中国政府采购网站进行查询，截图留档；如网站无供应商信息的，供应商须提供相关证明资料或书面声明）</w:t>
      </w:r>
    </w:p>
    <w:p>
      <w:pPr>
        <w:pStyle w:val="null3"/>
      </w:pPr>
      <w:r>
        <w:rPr>
          <w:rFonts w:ascii="仿宋_GB2312" w:hAnsi="仿宋_GB2312" w:cs="仿宋_GB2312" w:eastAsia="仿宋_GB2312"/>
        </w:rPr>
        <w:t>9、投标保证金交纳凭证或担保函：投标保证金交纳凭证或担保函；（投标保证交纳金凭证为银行凭证及基本账户证明资料，担保函为政府采购信用担保机构出具）</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蒲城县文化和旅游局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蒲城县广电大楼四楼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刘文波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15319123999</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宋芳芳（4号工位）、王涛、魏蕾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029-86673953、86518381、89299829、89293231 转804</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0913-7255613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采购包1：2,200,000.00元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采购包1：2,200,000.00元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开户名称：陕西上德招标有限公司</w:t>
            </w:r>
          </w:p>
          <w:p>
            <w:pPr>
              <w:pStyle w:val="null3"/>
            </w:pPr>
            <w:r>
              <w:rPr>
                <w:rFonts w:ascii="仿宋_GB2312" w:hAnsi="仿宋_GB2312" w:cs="仿宋_GB2312" w:eastAsia="仿宋_GB2312"/>
              </w:rPr>
              <w:t>开户银行：中国建设银行股份有限公司西安武警路支行</w:t>
            </w:r>
          </w:p>
          <w:p>
            <w:pPr>
              <w:pStyle w:val="null3"/>
            </w:pPr>
            <w:r>
              <w:rPr>
                <w:rFonts w:ascii="仿宋_GB2312" w:hAnsi="仿宋_GB2312" w:cs="仿宋_GB2312" w:eastAsia="仿宋_GB2312"/>
              </w:rPr>
              <w:t>银行账号：61050174740000001626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lt;招标代理服务收费管理暂行办法&gt;的通知》(计价格〔2002〕1980号)、《国家发展改革委关于降低部分建设项目收费标准规范收费行为等有关问题的通知》(发改价格〔2011〕534号)规定收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蒲城县文化和旅游局</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蒲城县文化和旅游局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因本项目产生的新知识产权归采购方所有，供应商应保证在本项目使用的任何产品和服务的任何一部分，不会产生因第三方提出的侵犯其专利权、商标权、著作权或其它知识产权而引起的法律和经济纠纷，由此引起的纠纷，由供应商承担所有相关责任。</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服务内容及标准、功能性能完全符合采购文件及合同约定，商务条款、交付要求、服务全部履约，资料齐全、运行正常、无质量缺陷。</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联系人：宋芳芳、王涛、魏蕾</w:t>
      </w:r>
    </w:p>
    <w:p>
      <w:pPr>
        <w:pStyle w:val="null3"/>
      </w:pPr>
      <w:r>
        <w:rPr>
          <w:rFonts w:ascii="仿宋_GB2312" w:hAnsi="仿宋_GB2312" w:cs="仿宋_GB2312" w:eastAsia="仿宋_GB2312"/>
        </w:rPr>
        <w:t>联系电话：029-86673953转804</w:t>
      </w:r>
    </w:p>
    <w:p>
      <w:pPr>
        <w:pStyle w:val="null3"/>
      </w:pPr>
      <w:r>
        <w:rPr>
          <w:rFonts w:ascii="仿宋_GB2312" w:hAnsi="仿宋_GB2312" w:cs="仿宋_GB2312" w:eastAsia="仿宋_GB2312"/>
        </w:rPr>
        <w:t>地址：西安市经开区凤城八路正尚国际金融广场A座7层703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蒲城县“遇见蒲城”全民文旅活动全程策划执行与推广服务项目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2,200,000.00</w:t>
      </w:r>
    </w:p>
    <w:p>
      <w:pPr>
        <w:pStyle w:val="null3"/>
      </w:pPr>
      <w:r>
        <w:rPr>
          <w:rFonts w:ascii="仿宋_GB2312" w:hAnsi="仿宋_GB2312" w:cs="仿宋_GB2312" w:eastAsia="仿宋_GB2312"/>
        </w:rPr>
        <w:t>采购包最高限价（元）: 2,200,000.00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蒲城县“遇见蒲城”全民文旅活动全程策划执行与推广服务项目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标的名称：蒲城县“遇见蒲城”全民文旅活动全程策划执行与推广服务项目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sz w:val="24"/>
              </w:rPr>
              <w:t>一、项目概况</w:t>
            </w:r>
          </w:p>
          <w:p>
            <w:pPr>
              <w:pStyle w:val="null3"/>
              <w:ind w:firstLine="480"/>
              <w:jc w:val="left"/>
            </w:pPr>
            <w:r>
              <w:rPr>
                <w:rFonts w:ascii="仿宋_GB2312" w:hAnsi="仿宋_GB2312" w:cs="仿宋_GB2312" w:eastAsia="仿宋_GB2312"/>
                <w:sz w:val="24"/>
              </w:rPr>
              <w:t>为贯彻落实中央一号文件关于深化农文旅融合部署，落实市、县关于</w:t>
            </w:r>
            <w:r>
              <w:rPr>
                <w:rFonts w:ascii="仿宋_GB2312" w:hAnsi="仿宋_GB2312" w:cs="仿宋_GB2312" w:eastAsia="仿宋_GB2312"/>
                <w:sz w:val="24"/>
              </w:rPr>
              <w:t>文旅融合高质量发展</w:t>
            </w:r>
            <w:r>
              <w:rPr>
                <w:rFonts w:ascii="仿宋_GB2312" w:hAnsi="仿宋_GB2312" w:cs="仿宋_GB2312" w:eastAsia="仿宋_GB2312"/>
                <w:sz w:val="24"/>
              </w:rPr>
              <w:t>工作安排，实施</w:t>
            </w:r>
            <w:r>
              <w:rPr>
                <w:rFonts w:ascii="仿宋_GB2312" w:hAnsi="仿宋_GB2312" w:cs="仿宋_GB2312" w:eastAsia="仿宋_GB2312"/>
                <w:sz w:val="24"/>
              </w:rPr>
              <w:t>“蒲城·</w:t>
            </w:r>
            <w:r>
              <w:rPr>
                <w:rFonts w:ascii="仿宋_GB2312" w:hAnsi="仿宋_GB2312" w:cs="仿宋_GB2312" w:eastAsia="仿宋_GB2312"/>
                <w:sz w:val="24"/>
              </w:rPr>
              <w:t>遇见蒲城</w:t>
            </w:r>
            <w:r>
              <w:rPr>
                <w:rFonts w:ascii="仿宋_GB2312" w:hAnsi="仿宋_GB2312" w:cs="仿宋_GB2312" w:eastAsia="仿宋_GB2312"/>
                <w:sz w:val="24"/>
              </w:rPr>
              <w:t>”系列</w:t>
            </w:r>
            <w:r>
              <w:rPr>
                <w:rFonts w:ascii="仿宋_GB2312" w:hAnsi="仿宋_GB2312" w:cs="仿宋_GB2312" w:eastAsia="仿宋_GB2312"/>
                <w:sz w:val="24"/>
              </w:rPr>
              <w:t>文旅</w:t>
            </w:r>
            <w:r>
              <w:rPr>
                <w:rFonts w:ascii="仿宋_GB2312" w:hAnsi="仿宋_GB2312" w:cs="仿宋_GB2312" w:eastAsia="仿宋_GB2312"/>
                <w:sz w:val="24"/>
              </w:rPr>
              <w:t>活动。活动秉持</w:t>
            </w:r>
            <w:r>
              <w:rPr>
                <w:rFonts w:ascii="仿宋_GB2312" w:hAnsi="仿宋_GB2312" w:cs="仿宋_GB2312" w:eastAsia="仿宋_GB2312"/>
                <w:sz w:val="24"/>
              </w:rPr>
              <w:t>“群众即主角，山乡即舞台”理念，开展镇办主题之夜及配套联动引流系列活动，服务内容包含</w:t>
            </w:r>
            <w:r>
              <w:rPr>
                <w:rFonts w:ascii="仿宋_GB2312" w:hAnsi="仿宋_GB2312" w:cs="仿宋_GB2312" w:eastAsia="仿宋_GB2312"/>
                <w:sz w:val="24"/>
              </w:rPr>
              <w:t>22场</w:t>
            </w:r>
            <w:r>
              <w:rPr>
                <w:rFonts w:ascii="仿宋_GB2312" w:hAnsi="仿宋_GB2312" w:cs="仿宋_GB2312" w:eastAsia="仿宋_GB2312"/>
                <w:sz w:val="24"/>
              </w:rPr>
              <w:t>活动全流程策划执行、现场技术保障、直播运营、全媒体宣传、启动仪式筹办</w:t>
            </w:r>
            <w:r>
              <w:rPr>
                <w:rFonts w:ascii="仿宋_GB2312" w:hAnsi="仿宋_GB2312" w:cs="仿宋_GB2312" w:eastAsia="仿宋_GB2312"/>
                <w:sz w:val="24"/>
              </w:rPr>
              <w:t>等</w:t>
            </w:r>
            <w:r>
              <w:rPr>
                <w:rFonts w:ascii="仿宋_GB2312" w:hAnsi="仿宋_GB2312" w:cs="仿宋_GB2312" w:eastAsia="仿宋_GB2312"/>
                <w:sz w:val="24"/>
              </w:rPr>
              <w:t>一体化服务。服务周期按项目实际开展周期执行。</w:t>
            </w:r>
          </w:p>
          <w:p>
            <w:pPr>
              <w:pStyle w:val="null3"/>
              <w:ind w:firstLine="480"/>
              <w:jc w:val="left"/>
            </w:pPr>
            <w:r>
              <w:rPr>
                <w:rFonts w:ascii="仿宋_GB2312" w:hAnsi="仿宋_GB2312" w:cs="仿宋_GB2312" w:eastAsia="仿宋_GB2312"/>
                <w:sz w:val="24"/>
              </w:rPr>
              <w:t>项目严格落实中央八项规定精神及</w:t>
            </w:r>
            <w:r>
              <w:rPr>
                <w:rFonts w:ascii="仿宋_GB2312" w:hAnsi="仿宋_GB2312" w:cs="仿宋_GB2312" w:eastAsia="仿宋_GB2312"/>
                <w:sz w:val="24"/>
              </w:rPr>
              <w:t>党政机关</w:t>
            </w:r>
            <w:r>
              <w:rPr>
                <w:rFonts w:ascii="仿宋_GB2312" w:hAnsi="仿宋_GB2312" w:cs="仿宋_GB2312" w:eastAsia="仿宋_GB2312"/>
                <w:sz w:val="24"/>
              </w:rPr>
              <w:t>“过紧日子”要求，方案需务实精简、可落地可考核，杜绝铺张浪费。全部产出成果知识产权归采购方所有，服务商须完整交付全部源文件。服务商应建立完善现场应急处置机制，应对演出、直播、设备故障等各类突发情况，保障活动安全有序开展，严格落实意识形态把关责任，把控节目、视频、宣传物料内容导向。</w:t>
            </w:r>
            <w:r>
              <w:rPr>
                <w:rFonts w:ascii="仿宋_GB2312" w:hAnsi="仿宋_GB2312" w:cs="仿宋_GB2312" w:eastAsia="仿宋_GB2312"/>
                <w:sz w:val="24"/>
              </w:rPr>
              <w:t>服务</w:t>
            </w:r>
            <w:r>
              <w:rPr>
                <w:rFonts w:ascii="仿宋_GB2312" w:hAnsi="仿宋_GB2312" w:cs="仿宋_GB2312" w:eastAsia="仿宋_GB2312"/>
                <w:sz w:val="24"/>
              </w:rPr>
              <w:t>商需具备大型文旅节会、群众文艺活动策划执行</w:t>
            </w:r>
            <w:r>
              <w:rPr>
                <w:rFonts w:ascii="仿宋_GB2312" w:hAnsi="仿宋_GB2312" w:cs="仿宋_GB2312" w:eastAsia="仿宋_GB2312"/>
                <w:sz w:val="24"/>
              </w:rPr>
              <w:t>具体</w:t>
            </w:r>
            <w:r>
              <w:rPr>
                <w:rFonts w:ascii="仿宋_GB2312" w:hAnsi="仿宋_GB2312" w:cs="仿宋_GB2312" w:eastAsia="仿宋_GB2312"/>
                <w:sz w:val="24"/>
              </w:rPr>
              <w:t>经验。</w:t>
            </w:r>
          </w:p>
          <w:p>
            <w:pPr>
              <w:pStyle w:val="null3"/>
              <w:ind w:firstLine="480"/>
              <w:jc w:val="left"/>
            </w:pPr>
            <w:r>
              <w:rPr>
                <w:rFonts w:ascii="仿宋_GB2312" w:hAnsi="仿宋_GB2312" w:cs="仿宋_GB2312" w:eastAsia="仿宋_GB2312"/>
                <w:sz w:val="24"/>
              </w:rPr>
              <w:t>二、活动执行服务</w:t>
            </w:r>
          </w:p>
          <w:p>
            <w:pPr>
              <w:pStyle w:val="null3"/>
              <w:ind w:firstLine="480"/>
              <w:jc w:val="left"/>
            </w:pPr>
            <w:r>
              <w:rPr>
                <w:rFonts w:ascii="仿宋_GB2312" w:hAnsi="仿宋_GB2312" w:cs="仿宋_GB2312" w:eastAsia="仿宋_GB2312"/>
                <w:sz w:val="24"/>
              </w:rPr>
              <w:t>完成镇办主题之夜及联动引流活动</w:t>
            </w:r>
            <w:r>
              <w:rPr>
                <w:rFonts w:ascii="仿宋_GB2312" w:hAnsi="仿宋_GB2312" w:cs="仿宋_GB2312" w:eastAsia="仿宋_GB2312"/>
                <w:sz w:val="24"/>
              </w:rPr>
              <w:t>，</w:t>
            </w:r>
            <w:r>
              <w:rPr>
                <w:rFonts w:ascii="仿宋_GB2312" w:hAnsi="仿宋_GB2312" w:cs="仿宋_GB2312" w:eastAsia="仿宋_GB2312"/>
                <w:sz w:val="24"/>
              </w:rPr>
              <w:t>共</w:t>
            </w:r>
            <w:r>
              <w:rPr>
                <w:rFonts w:ascii="仿宋_GB2312" w:hAnsi="仿宋_GB2312" w:cs="仿宋_GB2312" w:eastAsia="仿宋_GB2312"/>
                <w:sz w:val="24"/>
              </w:rPr>
              <w:t>22场活动</w:t>
            </w:r>
            <w:r>
              <w:rPr>
                <w:rFonts w:ascii="仿宋_GB2312" w:hAnsi="仿宋_GB2312" w:cs="仿宋_GB2312" w:eastAsia="仿宋_GB2312"/>
                <w:sz w:val="24"/>
              </w:rPr>
              <w:t>现场全流程落地执行，覆盖团队统筹、主持服务、视觉制作、节目组织、直播摄制、舞台技术、现场调度、氛围物料、团队后勤保障等工作。</w:t>
            </w:r>
          </w:p>
          <w:p>
            <w:pPr>
              <w:pStyle w:val="null3"/>
              <w:numPr>
                <w:ilvl w:val="0"/>
                <w:numId w:val="1"/>
              </w:numPr>
              <w:jc w:val="left"/>
            </w:pPr>
            <w:r>
              <w:rPr>
                <w:rFonts w:ascii="仿宋_GB2312" w:hAnsi="仿宋_GB2312" w:cs="仿宋_GB2312" w:eastAsia="仿宋_GB2312"/>
                <w:sz w:val="24"/>
              </w:rPr>
              <w:t>导演团队服务：组建专项导演团队，统筹</w:t>
            </w:r>
            <w:r>
              <w:rPr>
                <w:rFonts w:ascii="仿宋_GB2312" w:hAnsi="仿宋_GB2312" w:cs="仿宋_GB2312" w:eastAsia="仿宋_GB2312"/>
                <w:sz w:val="24"/>
              </w:rPr>
              <w:t>系列活动的</w:t>
            </w:r>
            <w:r>
              <w:rPr>
                <w:rFonts w:ascii="仿宋_GB2312" w:hAnsi="仿宋_GB2312" w:cs="仿宋_GB2312" w:eastAsia="仿宋_GB2312"/>
                <w:sz w:val="24"/>
              </w:rPr>
              <w:t>整体实施，合理排布活动场次时序；承担内容意识形态审核把关；挖掘各镇</w:t>
            </w:r>
            <w:r>
              <w:rPr>
                <w:rFonts w:ascii="仿宋_GB2312" w:hAnsi="仿宋_GB2312" w:cs="仿宋_GB2312" w:eastAsia="仿宋_GB2312"/>
                <w:sz w:val="24"/>
              </w:rPr>
              <w:t>办</w:t>
            </w:r>
            <w:r>
              <w:rPr>
                <w:rFonts w:ascii="仿宋_GB2312" w:hAnsi="仿宋_GB2312" w:cs="仿宋_GB2312" w:eastAsia="仿宋_GB2312"/>
                <w:sz w:val="24"/>
              </w:rPr>
              <w:t>本土文化、非遗特色，打造差异化活动内容；组织节目审看打磨，优化节目质量；统筹灯光、音乐、大屏协同配合，协调各岗位，处置现场突发问题，保障活动顺利开展。</w:t>
            </w:r>
          </w:p>
          <w:p>
            <w:pPr>
              <w:pStyle w:val="null3"/>
              <w:numPr>
                <w:ilvl w:val="0"/>
                <w:numId w:val="1"/>
              </w:numPr>
              <w:jc w:val="left"/>
            </w:pPr>
            <w:r>
              <w:rPr>
                <w:rFonts w:ascii="仿宋_GB2312" w:hAnsi="仿宋_GB2312" w:cs="仿宋_GB2312" w:eastAsia="仿宋_GB2312"/>
                <w:sz w:val="24"/>
              </w:rPr>
              <w:t>现场主持人服务：配置专业主持人，统筹舞台串场、现场控场与互动，灵活处理现场突发状况，保障演出流程顺畅，兼顾乡土氛围与专业传播效果。主持人自行负责造型、服装相关工作。</w:t>
            </w:r>
          </w:p>
          <w:p>
            <w:pPr>
              <w:pStyle w:val="null3"/>
              <w:numPr>
                <w:ilvl w:val="0"/>
                <w:numId w:val="1"/>
              </w:numPr>
              <w:jc w:val="left"/>
            </w:pPr>
            <w:r>
              <w:rPr>
                <w:rFonts w:ascii="仿宋_GB2312" w:hAnsi="仿宋_GB2312" w:cs="仿宋_GB2312" w:eastAsia="仿宋_GB2312"/>
                <w:sz w:val="24"/>
              </w:rPr>
              <w:t>LED背景视觉素材制作：结合每场活动主题、节目内容，定制舞台LED配套视觉素材，适配节目演出节奏，提升舞台观感，交付全部素材源文件。</w:t>
            </w:r>
          </w:p>
          <w:p>
            <w:pPr>
              <w:pStyle w:val="null3"/>
              <w:numPr>
                <w:ilvl w:val="0"/>
                <w:numId w:val="1"/>
              </w:numPr>
              <w:jc w:val="left"/>
            </w:pPr>
            <w:r>
              <w:rPr>
                <w:rFonts w:ascii="仿宋_GB2312" w:hAnsi="仿宋_GB2312" w:cs="仿宋_GB2312" w:eastAsia="仿宋_GB2312"/>
                <w:sz w:val="24"/>
              </w:rPr>
              <w:t>外请精品节目服务：结合各场次主题，遴选适配精品节目，融合专业演艺与本土民俗艺术，丰富晚会内容，烘托现场氛围，服务商负责节目对接、排练协调及相关配套工作。</w:t>
            </w:r>
          </w:p>
          <w:p>
            <w:pPr>
              <w:pStyle w:val="null3"/>
              <w:numPr>
                <w:ilvl w:val="0"/>
                <w:numId w:val="1"/>
              </w:numPr>
              <w:jc w:val="left"/>
            </w:pPr>
            <w:r>
              <w:rPr>
                <w:rFonts w:ascii="仿宋_GB2312" w:hAnsi="仿宋_GB2312" w:cs="仿宋_GB2312" w:eastAsia="仿宋_GB2312"/>
                <w:sz w:val="24"/>
              </w:rPr>
              <w:t>活动直播及预热直播服务：负责活动全程摄制、主会场直播以及预热直播间运营。活动前期开启预热访谈直播，邀请行业代表、本土达人开展线上互动，做好与主活动联动引流；做好现场多机位拍摄、直播推流及运维，处置直播突发故障，完整留存全部影像资料，保障直播播出质量。包含预热直播间相关搭建工作。</w:t>
            </w:r>
          </w:p>
          <w:p>
            <w:pPr>
              <w:pStyle w:val="null3"/>
              <w:numPr>
                <w:ilvl w:val="0"/>
                <w:numId w:val="1"/>
              </w:numPr>
              <w:jc w:val="left"/>
            </w:pPr>
            <w:r>
              <w:rPr>
                <w:rFonts w:ascii="仿宋_GB2312" w:hAnsi="仿宋_GB2312" w:cs="仿宋_GB2312" w:eastAsia="仿宋_GB2312"/>
                <w:sz w:val="24"/>
              </w:rPr>
              <w:t>舞台技术人员配置：配备专业灯光、调音、控屏技术人员，根据节目内容完成灯光设计调试、音频调控、大屏画面播放切换，及时处置设备运行突发状况，保障现场及直播视听效果。</w:t>
            </w:r>
          </w:p>
          <w:p>
            <w:pPr>
              <w:pStyle w:val="null3"/>
              <w:numPr>
                <w:ilvl w:val="0"/>
                <w:numId w:val="1"/>
              </w:numPr>
              <w:jc w:val="left"/>
            </w:pPr>
            <w:r>
              <w:rPr>
                <w:rFonts w:ascii="仿宋_GB2312" w:hAnsi="仿宋_GB2312" w:cs="仿宋_GB2312" w:eastAsia="仿宋_GB2312"/>
                <w:sz w:val="24"/>
              </w:rPr>
              <w:t>舞台执行服务：设置现场舞台执行团队，做好参演人员对接、签到、候场催场、后台秩序维护，传递调度指令，处置后台各类突发情况，保障节目衔接流畅。</w:t>
            </w:r>
          </w:p>
          <w:p>
            <w:pPr>
              <w:pStyle w:val="null3"/>
              <w:numPr>
                <w:ilvl w:val="0"/>
                <w:numId w:val="1"/>
              </w:numPr>
              <w:jc w:val="left"/>
            </w:pPr>
            <w:r>
              <w:rPr>
                <w:rFonts w:ascii="仿宋_GB2312" w:hAnsi="仿宋_GB2312" w:cs="仿宋_GB2312" w:eastAsia="仿宋_GB2312"/>
                <w:sz w:val="24"/>
              </w:rPr>
              <w:t>现场氛围物料：提供现场互动氛围类物料，用于调动现场气氛，提升现场观感，物料的采购、现场分发管理均由服务商承担。</w:t>
            </w:r>
          </w:p>
          <w:p>
            <w:pPr>
              <w:pStyle w:val="null3"/>
              <w:numPr>
                <w:ilvl w:val="0"/>
                <w:numId w:val="1"/>
              </w:numPr>
              <w:jc w:val="left"/>
            </w:pPr>
            <w:r>
              <w:rPr>
                <w:rFonts w:ascii="仿宋_GB2312" w:hAnsi="仿宋_GB2312" w:cs="仿宋_GB2312" w:eastAsia="仿宋_GB2312"/>
                <w:sz w:val="24"/>
              </w:rPr>
              <w:t>项目后勤保障服务：负责项目执行团队跨区域开展工作期间交通、食宿等后勤保障，支撑项目团队常态化运转。</w:t>
            </w:r>
          </w:p>
          <w:p>
            <w:pPr>
              <w:pStyle w:val="null3"/>
              <w:ind w:firstLine="480"/>
              <w:jc w:val="left"/>
            </w:pPr>
            <w:r>
              <w:rPr>
                <w:rFonts w:ascii="仿宋_GB2312" w:hAnsi="仿宋_GB2312" w:cs="仿宋_GB2312" w:eastAsia="仿宋_GB2312"/>
                <w:sz w:val="24"/>
              </w:rPr>
              <w:t>三、活动宣发服务</w:t>
            </w:r>
          </w:p>
          <w:p>
            <w:pPr>
              <w:pStyle w:val="null3"/>
              <w:ind w:firstLine="480"/>
              <w:jc w:val="left"/>
            </w:pPr>
            <w:r>
              <w:rPr>
                <w:rFonts w:ascii="仿宋_GB2312" w:hAnsi="仿宋_GB2312" w:cs="仿宋_GB2312" w:eastAsia="仿宋_GB2312"/>
                <w:sz w:val="24"/>
              </w:rPr>
              <w:t>为</w:t>
            </w:r>
            <w:r>
              <w:rPr>
                <w:rFonts w:ascii="仿宋_GB2312" w:hAnsi="仿宋_GB2312" w:cs="仿宋_GB2312" w:eastAsia="仿宋_GB2312"/>
                <w:sz w:val="24"/>
              </w:rPr>
              <w:t>镇办主题之夜及联动引流活动</w:t>
            </w:r>
            <w:r>
              <w:rPr>
                <w:rFonts w:ascii="仿宋_GB2312" w:hAnsi="仿宋_GB2312" w:cs="仿宋_GB2312" w:eastAsia="仿宋_GB2312"/>
                <w:sz w:val="24"/>
              </w:rPr>
              <w:t>（</w:t>
            </w:r>
            <w:r>
              <w:rPr>
                <w:rFonts w:ascii="仿宋_GB2312" w:hAnsi="仿宋_GB2312" w:cs="仿宋_GB2312" w:eastAsia="仿宋_GB2312"/>
                <w:sz w:val="24"/>
              </w:rPr>
              <w:t>共</w:t>
            </w:r>
            <w:r>
              <w:rPr>
                <w:rFonts w:ascii="仿宋_GB2312" w:hAnsi="仿宋_GB2312" w:cs="仿宋_GB2312" w:eastAsia="仿宋_GB2312"/>
                <w:sz w:val="24"/>
              </w:rPr>
              <w:t>22</w:t>
            </w:r>
            <w:r>
              <w:rPr>
                <w:rFonts w:ascii="仿宋_GB2312" w:hAnsi="仿宋_GB2312" w:cs="仿宋_GB2312" w:eastAsia="仿宋_GB2312"/>
                <w:sz w:val="24"/>
              </w:rPr>
              <w:t>场活动</w:t>
            </w:r>
            <w:r>
              <w:rPr>
                <w:rFonts w:ascii="仿宋_GB2312" w:hAnsi="仿宋_GB2312" w:cs="仿宋_GB2312" w:eastAsia="仿宋_GB2312"/>
                <w:sz w:val="24"/>
              </w:rPr>
              <w:t>）</w:t>
            </w:r>
            <w:r>
              <w:rPr>
                <w:rFonts w:ascii="仿宋_GB2312" w:hAnsi="仿宋_GB2312" w:cs="仿宋_GB2312" w:eastAsia="仿宋_GB2312"/>
                <w:sz w:val="24"/>
              </w:rPr>
              <w:t>构建主流媒体、新媒体矩阵、本土力量相结合的综合宣发体系，持续制造活动热度，扩大品牌影响力。</w:t>
            </w:r>
          </w:p>
          <w:p>
            <w:pPr>
              <w:pStyle w:val="null3"/>
              <w:numPr>
                <w:ilvl w:val="0"/>
                <w:numId w:val="1"/>
              </w:numPr>
              <w:jc w:val="left"/>
            </w:pPr>
            <w:r>
              <w:rPr>
                <w:rFonts w:ascii="仿宋_GB2312" w:hAnsi="仿宋_GB2312" w:cs="仿宋_GB2312" w:eastAsia="仿宋_GB2312"/>
                <w:sz w:val="24"/>
              </w:rPr>
              <w:t>重点场次宣传保障：针对活动开、收官场次，邀约</w:t>
            </w:r>
            <w:r>
              <w:rPr>
                <w:rFonts w:ascii="仿宋_GB2312" w:hAnsi="仿宋_GB2312" w:cs="仿宋_GB2312" w:eastAsia="仿宋_GB2312"/>
                <w:sz w:val="24"/>
              </w:rPr>
              <w:t>各类</w:t>
            </w:r>
            <w:r>
              <w:rPr>
                <w:rFonts w:ascii="仿宋_GB2312" w:hAnsi="仿宋_GB2312" w:cs="仿宋_GB2312" w:eastAsia="仿宋_GB2312"/>
                <w:sz w:val="24"/>
              </w:rPr>
              <w:t>媒体、网络达人参与，完成新闻通稿撰写及全网发布，打造传播重点。</w:t>
            </w:r>
          </w:p>
          <w:p>
            <w:pPr>
              <w:pStyle w:val="null3"/>
              <w:numPr>
                <w:ilvl w:val="0"/>
                <w:numId w:val="1"/>
              </w:numPr>
              <w:jc w:val="left"/>
            </w:pPr>
            <w:r>
              <w:rPr>
                <w:rFonts w:ascii="仿宋_GB2312" w:hAnsi="仿宋_GB2312" w:cs="仿宋_GB2312" w:eastAsia="仿宋_GB2312"/>
                <w:sz w:val="24"/>
              </w:rPr>
              <w:t>常规场次宣推：各常规场次邀约网络达人参与现场宣传，持续输出传播内容，保持活动曝光热度。</w:t>
            </w:r>
          </w:p>
          <w:p>
            <w:pPr>
              <w:pStyle w:val="null3"/>
              <w:numPr>
                <w:ilvl w:val="0"/>
                <w:numId w:val="1"/>
              </w:numPr>
              <w:jc w:val="left"/>
            </w:pPr>
            <w:r>
              <w:rPr>
                <w:rFonts w:ascii="仿宋_GB2312" w:hAnsi="仿宋_GB2312" w:cs="仿宋_GB2312" w:eastAsia="仿宋_GB2312"/>
                <w:sz w:val="24"/>
              </w:rPr>
              <w:t>宣传预热物料：设计制作活动启动阶段各类平面宣传物料，为活动造势。</w:t>
            </w:r>
          </w:p>
          <w:p>
            <w:pPr>
              <w:pStyle w:val="null3"/>
              <w:numPr>
                <w:ilvl w:val="0"/>
                <w:numId w:val="1"/>
              </w:numPr>
              <w:jc w:val="left"/>
            </w:pPr>
            <w:r>
              <w:rPr>
                <w:rFonts w:ascii="仿宋_GB2312" w:hAnsi="仿宋_GB2312" w:cs="仿宋_GB2312" w:eastAsia="仿宋_GB2312"/>
                <w:sz w:val="24"/>
              </w:rPr>
              <w:t>短视频及配套物料产出：各场次完成宣传短视频、海报、打卡相关物料制作，形成可二次传播的宣传素材库。</w:t>
            </w:r>
          </w:p>
          <w:p>
            <w:pPr>
              <w:pStyle w:val="null3"/>
              <w:ind w:firstLine="480"/>
              <w:jc w:val="left"/>
            </w:pPr>
            <w:r>
              <w:rPr>
                <w:rFonts w:ascii="仿宋_GB2312" w:hAnsi="仿宋_GB2312" w:cs="仿宋_GB2312" w:eastAsia="仿宋_GB2312"/>
                <w:sz w:val="24"/>
              </w:rPr>
              <w:t>四、启动仪式服务</w:t>
            </w:r>
          </w:p>
          <w:p>
            <w:pPr>
              <w:pStyle w:val="null3"/>
              <w:ind w:firstLine="480"/>
              <w:jc w:val="left"/>
            </w:pPr>
            <w:r>
              <w:rPr>
                <w:rFonts w:ascii="仿宋_GB2312" w:hAnsi="仿宋_GB2312" w:cs="仿宋_GB2312" w:eastAsia="仿宋_GB2312"/>
                <w:sz w:val="24"/>
              </w:rPr>
              <w:t>承办本项目启动仪式全流程相关工作。包含</w:t>
            </w:r>
            <w:r>
              <w:rPr>
                <w:rFonts w:ascii="仿宋_GB2312" w:hAnsi="仿宋_GB2312" w:cs="仿宋_GB2312" w:eastAsia="仿宋_GB2312"/>
                <w:sz w:val="24"/>
              </w:rPr>
              <w:t>活动</w:t>
            </w:r>
            <w:r>
              <w:rPr>
                <w:rFonts w:ascii="仿宋_GB2312" w:hAnsi="仿宋_GB2312" w:cs="仿宋_GB2312" w:eastAsia="仿宋_GB2312"/>
                <w:sz w:val="24"/>
              </w:rPr>
              <w:t>场地落实、现场搭建布置、各类物料制作；主持人、摄像、现场技术等劳务保障；媒体及网络达人邀约、新闻通稿全网发布；参会人员配套保障等工作，充分展现</w:t>
            </w:r>
            <w:r>
              <w:rPr>
                <w:rFonts w:ascii="仿宋_GB2312" w:hAnsi="仿宋_GB2312" w:cs="仿宋_GB2312" w:eastAsia="仿宋_GB2312"/>
                <w:sz w:val="24"/>
              </w:rPr>
              <w:t>“</w:t>
            </w:r>
            <w:r>
              <w:rPr>
                <w:rFonts w:ascii="仿宋_GB2312" w:hAnsi="仿宋_GB2312" w:cs="仿宋_GB2312" w:eastAsia="仿宋_GB2312"/>
                <w:sz w:val="24"/>
              </w:rPr>
              <w:t>遇见蒲城</w:t>
            </w:r>
            <w:r>
              <w:rPr>
                <w:rFonts w:ascii="仿宋_GB2312" w:hAnsi="仿宋_GB2312" w:cs="仿宋_GB2312" w:eastAsia="仿宋_GB2312"/>
                <w:sz w:val="24"/>
              </w:rPr>
              <w:t>”活动品牌，提升对外知名度与传播效应。</w:t>
            </w:r>
          </w:p>
          <w:p>
            <w:pPr>
              <w:pStyle w:val="null3"/>
              <w:ind w:firstLine="480"/>
              <w:jc w:val="left"/>
            </w:pPr>
            <w:r>
              <w:rPr>
                <w:rFonts w:ascii="仿宋_GB2312" w:hAnsi="仿宋_GB2312" w:cs="仿宋_GB2312" w:eastAsia="仿宋_GB2312"/>
                <w:sz w:val="24"/>
              </w:rPr>
              <w:t>五、其他要求</w:t>
            </w:r>
          </w:p>
          <w:p>
            <w:pPr>
              <w:pStyle w:val="null3"/>
              <w:numPr>
                <w:ilvl w:val="0"/>
                <w:numId w:val="1"/>
              </w:numPr>
              <w:jc w:val="left"/>
            </w:pPr>
            <w:r>
              <w:rPr>
                <w:rFonts w:ascii="仿宋_GB2312" w:hAnsi="仿宋_GB2312" w:cs="仿宋_GB2312" w:eastAsia="仿宋_GB2312"/>
                <w:sz w:val="24"/>
              </w:rPr>
              <w:t>服务商须对全部服务内容做好内容审核，严守意识形态底线，杜绝各类导向风险。</w:t>
            </w:r>
          </w:p>
          <w:p>
            <w:pPr>
              <w:pStyle w:val="null3"/>
              <w:numPr>
                <w:ilvl w:val="0"/>
                <w:numId w:val="1"/>
              </w:numPr>
              <w:jc w:val="left"/>
            </w:pPr>
            <w:r>
              <w:rPr>
                <w:rFonts w:ascii="仿宋_GB2312" w:hAnsi="仿宋_GB2312" w:cs="仿宋_GB2312" w:eastAsia="仿宋_GB2312"/>
                <w:sz w:val="24"/>
              </w:rPr>
              <w:t>针对演出、直播、人员、设备故障等情况制定完整应急预案，做好风险防控。</w:t>
            </w:r>
          </w:p>
          <w:p>
            <w:pPr>
              <w:pStyle w:val="null3"/>
              <w:numPr>
                <w:ilvl w:val="0"/>
                <w:numId w:val="1"/>
              </w:numPr>
              <w:jc w:val="left"/>
            </w:pPr>
            <w:r>
              <w:rPr>
                <w:rFonts w:ascii="仿宋_GB2312" w:hAnsi="仿宋_GB2312" w:cs="仿宋_GB2312" w:eastAsia="仿宋_GB2312"/>
                <w:sz w:val="24"/>
              </w:rPr>
              <w:t>项目全部图文、音视频等版权归属采购方，项目结束后完整移交全部成品及工程源文件。所有服务遵循精简务实原则，不得出现铺张浪费情形。</w:t>
            </w:r>
          </w:p>
          <w:p>
            <w:pPr>
              <w:pStyle w:val="null3"/>
            </w:pPr>
            <w:r>
              <w:rPr>
                <w:rFonts w:ascii="仿宋_GB2312" w:hAnsi="仿宋_GB2312" w:cs="仿宋_GB2312" w:eastAsia="仿宋_GB2312"/>
                <w:sz w:val="24"/>
              </w:rPr>
              <w:t>注：以上要求为实质性内容，不得负偏离。</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根据项目情况按需求配备。</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根据项目情况按需求配备。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自合同签订后至2027年6月30日（22场活动，具体按项目实际开展周期执行）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蒲城县文化和旅游局域内</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预付款，甲乙双方合同签订后，达到付款条件起30个工作日内，支付合同总金额的30.0%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进度款，服务至2026年11月1日，达到付款条件起30个工作日内，支付合同总金额的30.0%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进度款，服务至2027年6月30日活动结束并验收完成，达到付款条件起30个工作日内，支付合同总金额的40.0%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交完整策划方案、执行脚本、流程表，各项活动环节按方案落地，流程衔接顺畅，无重大疏漏。2.现场音视频、网络、直播设备运行稳定，无长时间中断故障，应急处置到位，满足活动现场使用要求。3.直播正常推流，画面声音清晰，互动运营到位，直播回放、素材完整留存，达到约定直播效果。4.按约定完成宣传内容产出、渠道发布，提供发布汇总截图、链接等宣传成果资料。5.场地布置、物料制作、嘉宾流程、仪式环节全部落实，现场效果符合方案要求。6.全套方案、现场照片视频、台账、成果资料完整提交。</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2.未按合同要求提供服务或服务质量不能满足技术要求，采购人有权终止合同，并对供方违约行为进行追究，同时按《中华人民共和国政府采购法》的有关规定进行处罚。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领取中标通知书时提供一正两副纸质投标文件。纸质投标文件采用书籍（胶装）方式装订成册，与电子投标文件一致的签字、盖章的完整版本（正本为红章，副本不作要求）2、退还保证金：投标保证金在签订合同后，执合同予以5个工作日内退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供应商需在项目电子化交易系统中按要求上传相应证明文件并进行电子签章，此项审查内容与特定资格条件中的“财务状况报告”为同一审查内容。</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提供供应商合法注册的法人或其他组织的营业执照/事业单位法人证书/非企业专业服务机构执业许可证/民办非企业单位登记证书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提供具有财务审计资质单位出具的2024年度或2025年度财务报告（成立时间至开标时间不足一年的可提供成立后任意时段的资产负债表）或其基本开户银行出具的资信证明或政府采购信用担保机构出具的担保函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提供2026年2月至今任意一个月的税收缴纳凭据；（增值税、企业所得税至少提供一种，依法免税的供应商应提供相关文件证明）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提供2026年2月至今任意一个月的社保缴纳凭据或社保机构开具的社会保险参保缴纳情况证明；（依法不需要缴纳社会保障资金的供应商应提供相关证明）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 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同时提供被授权人2026年5月至今任意一个月在本单位的社保资金缴纳凭证）；法定代表人直接参加投标的提供法定代表人资格证明书（附法定代表人身份证复印件）；采购文件凡是法定代表人之处，非法人单位的负责人均参照执行； (式样见文件格式)</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由采购人在单一来源采购响应截止日当天在“信用中国” 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投标保证金交纳凭证或担保函</w:t>
            </w:r>
          </w:p>
        </w:tc>
        <w:tc>
          <w:tcPr>
            <w:tcW w:type="dxa" w:w="3322"/>
          </w:tcPr>
          <w:p>
            <w:pPr>
              <w:pStyle w:val="null3"/>
            </w:pPr>
            <w:r>
              <w:rPr>
                <w:rFonts w:ascii="仿宋_GB2312" w:hAnsi="仿宋_GB2312" w:cs="仿宋_GB2312" w:eastAsia="仿宋_GB2312"/>
              </w:rPr>
              <w:t>投标保证金交纳凭证或担保函；（投标保证交纳金凭证为银行凭证及基本账户证明资料，担保函为政府采购信用担保机构出具）</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法律、法规和单一来源采购文件规定的其他无效响应情形</w:t>
            </w:r>
          </w:p>
        </w:tc>
        <w:tc>
          <w:tcPr>
            <w:tcW w:type="dxa" w:w="1661"/>
          </w:tcPr>
          <w:p>
            <w:pPr>
              <w:pStyle w:val="null3"/>
            </w:pPr>
            <w:r>
              <w:rPr>
                <w:rFonts w:ascii="仿宋_GB2312" w:hAnsi="仿宋_GB2312" w:cs="仿宋_GB2312" w:eastAsia="仿宋_GB2312"/>
              </w:rPr>
              <w:t>中小企业声明函 报价表 项目实施方案.docx 响应偏离表.docx 资格证明文件.docx 法定代表人授权书.docx 响应文件封面 分项报价表.docx 残疾人福利性单位声明函 标的清单 供应商拒绝政府采购领域商业贿赂承诺书.docx 供应商认为有必要说明的事宜.docx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单一来源采购响应文件按照单一来源采购文件的要求盖章签字</w:t>
            </w:r>
          </w:p>
        </w:tc>
        <w:tc>
          <w:tcPr>
            <w:tcW w:type="dxa" w:w="1661"/>
          </w:tcPr>
          <w:p>
            <w:pPr>
              <w:pStyle w:val="null3"/>
            </w:pPr>
            <w:r>
              <w:rPr>
                <w:rFonts w:ascii="仿宋_GB2312" w:hAnsi="仿宋_GB2312" w:cs="仿宋_GB2312" w:eastAsia="仿宋_GB2312"/>
              </w:rPr>
              <w:t>中小企业声明函 报价表 项目实施方案.docx 响应偏离表.docx 资格证明文件.docx 法定代表人授权书.docx 响应文件封面 分项报价表.docx 残疾人福利性单位声明函 标的清单 供应商拒绝政府采购领域商业贿赂承诺书.docx 供应商认为有必要说明的事宜.docx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单一来源报价未超过采购预算</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有效期符合单一来源采购文件的要求</w:t>
            </w:r>
          </w:p>
        </w:tc>
        <w:tc>
          <w:tcPr>
            <w:tcW w:type="dxa" w:w="1661"/>
          </w:tcPr>
          <w:p>
            <w:pPr>
              <w:pStyle w:val="null3"/>
            </w:pPr>
            <w:r>
              <w:rPr>
                <w:rFonts w:ascii="仿宋_GB2312" w:hAnsi="仿宋_GB2312" w:cs="仿宋_GB2312" w:eastAsia="仿宋_GB2312"/>
              </w:rPr>
              <w:t>响应函 法定代表人授权书.docx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单一来源采购响应文件含有采购人不能接受的附加条件</w:t>
            </w:r>
          </w:p>
        </w:tc>
        <w:tc>
          <w:tcPr>
            <w:tcW w:type="dxa" w:w="3322"/>
          </w:tcPr>
          <w:p>
            <w:pPr>
              <w:pStyle w:val="null3"/>
            </w:pPr>
            <w:r>
              <w:rPr>
                <w:rFonts w:ascii="仿宋_GB2312" w:hAnsi="仿宋_GB2312" w:cs="仿宋_GB2312" w:eastAsia="仿宋_GB2312"/>
              </w:rPr>
              <w:t>单一来源采购响应文件含有采购人不能接受的附加条件</w:t>
            </w:r>
          </w:p>
        </w:tc>
        <w:tc>
          <w:tcPr>
            <w:tcW w:type="dxa" w:w="1661"/>
          </w:tcPr>
          <w:p>
            <w:pPr>
              <w:pStyle w:val="null3"/>
            </w:pPr>
            <w:r>
              <w:rPr>
                <w:rFonts w:ascii="仿宋_GB2312" w:hAnsi="仿宋_GB2312" w:cs="仿宋_GB2312" w:eastAsia="仿宋_GB2312"/>
              </w:rPr>
              <w:t>供应商认为有必要说明的事宜.docx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对采购文件技术、服务、商务及其他要求作出明确响应，对不得偏离的要求作出实质性响应</w:t>
            </w:r>
          </w:p>
        </w:tc>
        <w:tc>
          <w:tcPr>
            <w:tcW w:type="dxa" w:w="3322"/>
          </w:tcPr>
          <w:p>
            <w:pPr>
              <w:pStyle w:val="null3"/>
            </w:pPr>
            <w:r>
              <w:rPr>
                <w:rFonts w:ascii="仿宋_GB2312" w:hAnsi="仿宋_GB2312" w:cs="仿宋_GB2312" w:eastAsia="仿宋_GB2312"/>
              </w:rPr>
              <w:t>对采购文件技术、服务、商务及其他要求作出明确响应，对不得偏离的要求作出实质性响应</w:t>
            </w:r>
          </w:p>
        </w:tc>
        <w:tc>
          <w:tcPr>
            <w:tcW w:type="dxa" w:w="1661"/>
          </w:tcPr>
          <w:p>
            <w:pPr>
              <w:pStyle w:val="null3"/>
            </w:pPr>
            <w:r>
              <w:rPr>
                <w:rFonts w:ascii="仿宋_GB2312" w:hAnsi="仿宋_GB2312" w:cs="仿宋_GB2312" w:eastAsia="仿宋_GB2312"/>
              </w:rPr>
              <w:t>响应偏离表.docx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详见附件：供应商认为有必要说明的事宜.docx</w:t>
      </w:r>
    </w:p>
    <w:p>
      <w:pPr>
        <w:pStyle w:val="null3"/>
        <w:ind w:firstLine="960"/>
      </w:pPr>
      <w:r>
        <w:rPr>
          <w:rFonts w:ascii="仿宋_GB2312" w:hAnsi="仿宋_GB2312" w:cs="仿宋_GB2312" w:eastAsia="仿宋_GB2312"/>
        </w:rPr>
        <w:t>详见附件：响应偏离表.docx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 服务 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