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版本号：RXCG-202601220260828002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农机基地改造项目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RXCG-2026012</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瑞信国际项目管理有限公司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瑞信国际项目管理有限公司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农机基地改造项目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RXCG-2026012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农机基地改造项目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农林职业技术大学农机基地改造项目，主要对基地教研区进行全面翻新；改造考务区，打造规范化考试管理区域；改造农机驾驶技能考试区，完善农机实操考核硬件条件；将原有彩钢房进行主体加固，功能重塑为培育室；翻新改造门卫室；改造升级北校区3间多媒体教室、阶梯教室、25间宿舍及楼内公共卫生间、盥洗室；实施苗木移栽工程，完成七叶树、广玉兰、青桐等苗木移栽定植，改善基地绿化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采购包1（农机基地改造项目）：属于专门面向中小企业采购。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1、企业资质：具有建设行政主管部门核发的建筑工程施工总承包三级及以上资质，并具有合格有效的安全生产许可证；</w:t>
      </w:r>
    </w:p>
    <w:p>
      <w:pPr>
        <w:pStyle w:val="null3"/>
      </w:pPr>
      <w:r>
        <w:rPr>
          <w:rFonts w:ascii="仿宋_GB2312" w:hAnsi="仿宋_GB2312" w:cs="仿宋_GB2312" w:eastAsia="仿宋_GB2312"/>
        </w:rPr>
        <w:t>2、拟派项目负责人资质和专业要求。：拟派项目经理须具有建筑工程专业注册建造师二级及以上资格和有效的安全生产考核合格证书B 证，在本单位注册且无在建项目，提供响应文件截止时间一年内至少三个月的社保证明。</w:t>
      </w:r>
    </w:p>
    <w:p>
      <w:pPr>
        <w:pStyle w:val="null3"/>
      </w:pPr>
      <w:r>
        <w:rPr>
          <w:rFonts w:ascii="仿宋_GB2312" w:hAnsi="仿宋_GB2312" w:cs="仿宋_GB2312" w:eastAsia="仿宋_GB2312"/>
        </w:rPr>
        <w:t>3、供应商基本信息：供应商及拟派项目经理须在“ 陕西建设网（ http://js.shaanxi.gov.cn/ ）陕西省建筑市场监管与诚信信息发布平台”备案且可查询到基本信息。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13609259636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瑞信国际项目管理有限公司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陕西省西安市经济技术开发区凤城十一路文景广场C座22层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杨玲、王倩、代青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029-89609851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采购包1：1,147,707.81元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开户名称：瑞信国际项目管理有限公司</w:t>
            </w:r>
          </w:p>
          <w:p>
            <w:pPr>
              <w:pStyle w:val="null3"/>
            </w:pPr>
            <w:r>
              <w:rPr>
                <w:rFonts w:ascii="仿宋_GB2312" w:hAnsi="仿宋_GB2312" w:cs="仿宋_GB2312" w:eastAsia="仿宋_GB2312"/>
              </w:rPr>
              <w:t>开户银行：建设银行咸阳人民东路支行</w:t>
            </w:r>
          </w:p>
          <w:p>
            <w:pPr>
              <w:pStyle w:val="null3"/>
            </w:pPr>
            <w:r>
              <w:rPr>
                <w:rFonts w:ascii="仿宋_GB2312" w:hAnsi="仿宋_GB2312" w:cs="仿宋_GB2312" w:eastAsia="仿宋_GB2312"/>
              </w:rPr>
              <w:t>银行账号：61050163400000000068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国家计委关于印发《招标代理服务收费管理暂行办法的通知》（计价格[ 2002]1980号）”、“《国家发展改革委办公厅关于招标代理服务收费有关问题的通知》（发改价格[2003]857号）”、“国家发展改革委《关于降低部分建设项目收费标准规范收费行为等有关问题的通知》（发改价格[2011]534号）”的规定，按工程类，标准下浮20％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瑞信国际项目管理有限公司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瑞信国际项目管理有限公司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瑞信国际项目管理有限公司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联系人：杨玲</w:t>
      </w:r>
    </w:p>
    <w:p>
      <w:pPr>
        <w:pStyle w:val="null3"/>
      </w:pPr>
      <w:r>
        <w:rPr>
          <w:rFonts w:ascii="仿宋_GB2312" w:hAnsi="仿宋_GB2312" w:cs="仿宋_GB2312" w:eastAsia="仿宋_GB2312"/>
        </w:rPr>
        <w:t>联系电话：029-89609851</w:t>
      </w:r>
    </w:p>
    <w:p>
      <w:pPr>
        <w:pStyle w:val="null3"/>
      </w:pPr>
      <w:r>
        <w:rPr>
          <w:rFonts w:ascii="仿宋_GB2312" w:hAnsi="仿宋_GB2312" w:cs="仿宋_GB2312" w:eastAsia="仿宋_GB2312"/>
        </w:rPr>
        <w:t>地址：陕西省西安市经济技术开发区凤城十一路文景广场C座22层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1,147,707.81</w:t>
      </w:r>
    </w:p>
    <w:p>
      <w:pPr>
        <w:pStyle w:val="null3"/>
      </w:pPr>
      <w:r>
        <w:rPr>
          <w:rFonts w:ascii="仿宋_GB2312" w:hAnsi="仿宋_GB2312" w:cs="仿宋_GB2312" w:eastAsia="仿宋_GB2312"/>
        </w:rPr>
        <w:t>采购包最高限价（元）: 1,147,707.81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农机基地改造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1,147,707.81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标的名称：农机基地改造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rPr>
              <w:t>一、工程说明</w:t>
            </w:r>
          </w:p>
          <w:p>
            <w:pPr>
              <w:pStyle w:val="null3"/>
              <w:jc w:val="both"/>
            </w:pPr>
            <w:r>
              <w:rPr>
                <w:rFonts w:ascii="仿宋_GB2312" w:hAnsi="仿宋_GB2312" w:cs="仿宋_GB2312" w:eastAsia="仿宋_GB2312"/>
                <w:sz w:val="18"/>
              </w:rPr>
              <w:t>1.1项目名称：陕西农林职业技术大学</w:t>
            </w:r>
            <w:r>
              <w:rPr>
                <w:rFonts w:ascii="仿宋_GB2312" w:hAnsi="仿宋_GB2312" w:cs="仿宋_GB2312" w:eastAsia="仿宋_GB2312"/>
                <w:sz w:val="18"/>
              </w:rPr>
              <w:t>农机基地改造项目</w:t>
            </w:r>
          </w:p>
          <w:p>
            <w:pPr>
              <w:pStyle w:val="null3"/>
            </w:pPr>
            <w:r>
              <w:rPr>
                <w:rFonts w:ascii="仿宋_GB2312" w:hAnsi="仿宋_GB2312" w:cs="仿宋_GB2312" w:eastAsia="仿宋_GB2312"/>
                <w:sz w:val="18"/>
              </w:rPr>
              <w:t>1.2项目概况：</w:t>
            </w:r>
            <w:r>
              <w:rPr>
                <w:rFonts w:ascii="仿宋_GB2312" w:hAnsi="仿宋_GB2312" w:cs="仿宋_GB2312" w:eastAsia="仿宋_GB2312"/>
                <w:sz w:val="18"/>
              </w:rPr>
              <w:t>本项目为陕西农林职业技术大学农机基地改造项目，主要对基地教研区进行全面翻新；改造考务区，打造规范化考试管理区域；改造农机驾驶技能考试区，完善农机实操考核硬件条件；将原有彩钢房进行主体加固，功能重塑为培育室；翻新改造门卫室；改造升级北校区</w:t>
            </w:r>
            <w:r>
              <w:rPr>
                <w:rFonts w:ascii="仿宋_GB2312" w:hAnsi="仿宋_GB2312" w:cs="仿宋_GB2312" w:eastAsia="仿宋_GB2312"/>
                <w:sz w:val="18"/>
              </w:rPr>
              <w:t>3间多媒体教室、阶梯教室、25间宿舍及楼内公共卫生间、盥洗室；实施苗木移栽工程，完成七叶树、广玉兰、青桐等苗木移栽定植，改善基地绿化环境</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8"/>
                <w:b/>
              </w:rPr>
              <w:t>二、招标范围</w:t>
            </w:r>
          </w:p>
          <w:p>
            <w:pPr>
              <w:pStyle w:val="null3"/>
            </w:pPr>
            <w:r>
              <w:rPr>
                <w:rFonts w:ascii="仿宋_GB2312" w:hAnsi="仿宋_GB2312" w:cs="仿宋_GB2312" w:eastAsia="仿宋_GB2312"/>
                <w:sz w:val="18"/>
              </w:rPr>
              <w:t>陕西农林职业技术大学</w:t>
            </w:r>
            <w:r>
              <w:rPr>
                <w:rFonts w:ascii="仿宋_GB2312" w:hAnsi="仿宋_GB2312" w:cs="仿宋_GB2312" w:eastAsia="仿宋_GB2312"/>
                <w:sz w:val="18"/>
              </w:rPr>
              <w:t>农机基地改造项目</w:t>
            </w:r>
            <w:r>
              <w:rPr>
                <w:rFonts w:ascii="仿宋_GB2312" w:hAnsi="仿宋_GB2312" w:cs="仿宋_GB2312" w:eastAsia="仿宋_GB2312"/>
                <w:sz w:val="18"/>
              </w:rPr>
              <w:t>的全部内容（详见施工图纸）和竞争性磋商文件、工程量清单、技术要求及与其有关的其他说明所包含的全部内容均包含在本次发包范围内。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b/>
              </w:rPr>
              <w:t>三、施工质量要求</w:t>
            </w:r>
          </w:p>
          <w:p>
            <w:pPr>
              <w:pStyle w:val="null3"/>
            </w:pPr>
            <w:r>
              <w:rPr>
                <w:rFonts w:ascii="仿宋_GB2312" w:hAnsi="仿宋_GB2312" w:cs="仿宋_GB2312" w:eastAsia="仿宋_GB2312"/>
                <w:sz w:val="18"/>
              </w:rPr>
              <w:t>符合国家相关质量验收标准及施工、质量验收规范要求，质量达到国家规定合格标准。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b/>
              </w:rPr>
              <w:t>四、完工期及施工地点</w:t>
            </w:r>
          </w:p>
          <w:p>
            <w:pPr>
              <w:pStyle w:val="null3"/>
              <w:jc w:val="left"/>
            </w:pPr>
            <w:r>
              <w:rPr>
                <w:rFonts w:ascii="仿宋_GB2312" w:hAnsi="仿宋_GB2312" w:cs="仿宋_GB2312" w:eastAsia="仿宋_GB2312"/>
                <w:sz w:val="18"/>
              </w:rPr>
              <w:t>1.完工期：接到开工令后</w:t>
            </w:r>
            <w:r>
              <w:rPr>
                <w:rFonts w:ascii="仿宋_GB2312" w:hAnsi="仿宋_GB2312" w:cs="仿宋_GB2312" w:eastAsia="仿宋_GB2312"/>
                <w:u w:val="single"/>
              </w:rPr>
              <w:t xml:space="preserve"> </w:t>
            </w:r>
            <w:r>
              <w:rPr>
                <w:rFonts w:ascii="仿宋_GB2312" w:hAnsi="仿宋_GB2312" w:cs="仿宋_GB2312" w:eastAsia="仿宋_GB2312"/>
                <w:sz w:val="18"/>
                <w:u w:val="single"/>
              </w:rPr>
              <w:t>35</w:t>
            </w:r>
            <w:r>
              <w:rPr>
                <w:rFonts w:ascii="仿宋_GB2312" w:hAnsi="仿宋_GB2312" w:cs="仿宋_GB2312" w:eastAsia="仿宋_GB2312"/>
                <w:sz w:val="18"/>
              </w:rPr>
              <w:t>个日历天完成交付；</w:t>
            </w:r>
          </w:p>
          <w:p>
            <w:pPr>
              <w:pStyle w:val="null3"/>
            </w:pPr>
            <w:r>
              <w:rPr>
                <w:rFonts w:ascii="仿宋_GB2312" w:hAnsi="仿宋_GB2312" w:cs="仿宋_GB2312" w:eastAsia="仿宋_GB2312"/>
                <w:sz w:val="18"/>
              </w:rPr>
              <w:t>2.施工地点：陕西农机装备发展与人才实训基地院内；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18"/>
                <w:b/>
              </w:rPr>
              <w:t>五、对供应商的其他要求</w:t>
            </w:r>
          </w:p>
          <w:p>
            <w:pPr>
              <w:pStyle w:val="null3"/>
              <w:jc w:val="left"/>
            </w:pPr>
            <w:r>
              <w:rPr>
                <w:rFonts w:ascii="仿宋_GB2312" w:hAnsi="仿宋_GB2312" w:cs="仿宋_GB2312" w:eastAsia="仿宋_GB2312"/>
                <w:sz w:val="18"/>
              </w:rPr>
              <w:t>1.本工程计价采用固定总价，各供应商依据企业自身情况自主报价、风险自负。所有磋商报价中的单价和合价均以人民币表示。</w:t>
            </w:r>
          </w:p>
          <w:p>
            <w:pPr>
              <w:pStyle w:val="null3"/>
              <w:jc w:val="left"/>
            </w:pPr>
            <w:r>
              <w:rPr>
                <w:rFonts w:ascii="仿宋_GB2312" w:hAnsi="仿宋_GB2312" w:cs="仿宋_GB2312" w:eastAsia="仿宋_GB2312"/>
                <w:sz w:val="18"/>
              </w:rPr>
              <w:t>2.供应商在投标前，应仔细查看磋商文件，磋商报价时按报价清单描述项目特征和工作内容、施工图纸等文件要求综合考虑、认真核算后报价，如有疑问请及时提出，若供应商中标后，提出此类问题，不予调整。</w:t>
            </w:r>
          </w:p>
          <w:p>
            <w:pPr>
              <w:pStyle w:val="null3"/>
              <w:jc w:val="left"/>
            </w:pPr>
            <w:r>
              <w:rPr>
                <w:rFonts w:ascii="仿宋_GB2312" w:hAnsi="仿宋_GB2312" w:cs="仿宋_GB2312" w:eastAsia="仿宋_GB2312"/>
                <w:sz w:val="18"/>
              </w:rPr>
              <w:t>3.供应商应按磋商文件中施工图纸、技术要求和工程量清单的要求编制响应文件,并在响应文件中注明材料、设备品牌。如供应商在响应文件中未按要求注明材料、设备品牌，则采购人有权按最有利于采购人的方式指定材料、设备品牌。</w:t>
            </w:r>
          </w:p>
          <w:p>
            <w:pPr>
              <w:pStyle w:val="null3"/>
              <w:jc w:val="left"/>
            </w:pPr>
            <w:r>
              <w:rPr>
                <w:rFonts w:ascii="仿宋_GB2312" w:hAnsi="仿宋_GB2312" w:cs="仿宋_GB2312" w:eastAsia="仿宋_GB2312"/>
                <w:sz w:val="18"/>
              </w:rPr>
              <w:t>4.供应商在报价中所报的单价和合价，以及磋商报价汇总表中的价格均包括完成该工程项目的成本、相关政府部门供电审批手续的办理、深化设计费用、利润、税金、保险费、开办费、技术措施费、大型机械进出场费、风险费、政策性文件规定费用和投标单位必须的其他费用以及合同明示或暗示的所有风险、责任和义务等全部费用。</w:t>
            </w:r>
          </w:p>
          <w:p>
            <w:pPr>
              <w:pStyle w:val="null3"/>
              <w:jc w:val="left"/>
            </w:pPr>
            <w:r>
              <w:rPr>
                <w:rFonts w:ascii="仿宋_GB2312" w:hAnsi="仿宋_GB2312" w:cs="仿宋_GB2312" w:eastAsia="仿宋_GB2312"/>
                <w:sz w:val="18"/>
              </w:rPr>
              <w:t>5.供应商在编制施工方案时应充分考虑对已完成品和施工场地的保护，磋商报价时应充分考虑施工破坏区域的原状恢复费用，结算时不再调整。</w:t>
            </w:r>
          </w:p>
          <w:p>
            <w:pPr>
              <w:pStyle w:val="null3"/>
              <w:jc w:val="left"/>
            </w:pPr>
            <w:r>
              <w:rPr>
                <w:rFonts w:ascii="仿宋_GB2312" w:hAnsi="仿宋_GB2312" w:cs="仿宋_GB2312" w:eastAsia="仿宋_GB2312"/>
                <w:sz w:val="18"/>
              </w:rPr>
              <w:t>6.投标报价应充分考虑材料设备的二次运输或多次倒运费用，结算时不再调整。</w:t>
            </w:r>
          </w:p>
          <w:p>
            <w:pPr>
              <w:pStyle w:val="null3"/>
              <w:jc w:val="left"/>
            </w:pPr>
            <w:r>
              <w:rPr>
                <w:rFonts w:ascii="仿宋_GB2312" w:hAnsi="仿宋_GB2312" w:cs="仿宋_GB2312" w:eastAsia="仿宋_GB2312"/>
                <w:sz w:val="18"/>
              </w:rPr>
              <w:t>7.施工场地用水、用电由成交人与发包人管理单位协商解决，费用均由成交人自行承担，投标时自行考虑，包含在磋商报价中。</w:t>
            </w:r>
          </w:p>
          <w:p>
            <w:pPr>
              <w:pStyle w:val="null3"/>
              <w:jc w:val="left"/>
            </w:pPr>
            <w:r>
              <w:rPr>
                <w:rFonts w:ascii="仿宋_GB2312" w:hAnsi="仿宋_GB2312" w:cs="仿宋_GB2312" w:eastAsia="仿宋_GB2312"/>
                <w:sz w:val="18"/>
              </w:rPr>
              <w:t>8.招标工程量清单的工程项目仅表达了主要工程做法，报价时各投标单位应依据图纸用料说明、相关图集，结合图纸、磋商文件、合同条款、技术规范及现场情况进行科学合理组价。</w:t>
            </w:r>
          </w:p>
          <w:p>
            <w:pPr>
              <w:pStyle w:val="null3"/>
              <w:jc w:val="left"/>
            </w:pPr>
            <w:r>
              <w:rPr>
                <w:rFonts w:ascii="仿宋_GB2312" w:hAnsi="仿宋_GB2312" w:cs="仿宋_GB2312" w:eastAsia="仿宋_GB2312"/>
                <w:sz w:val="18"/>
              </w:rPr>
              <w:t>9.供应商的分部分项工程量清单报价表中，项目特征与工程内容相同的清单项综合单价应一致。否则，评标过程中及至工程结算时，该清单项的综合单价以供应商的磋商报价中最不利于投标人的价格确定。</w:t>
            </w:r>
          </w:p>
          <w:p>
            <w:pPr>
              <w:pStyle w:val="null3"/>
              <w:jc w:val="left"/>
            </w:pPr>
            <w:r>
              <w:rPr>
                <w:rFonts w:ascii="仿宋_GB2312" w:hAnsi="仿宋_GB2312" w:cs="仿宋_GB2312" w:eastAsia="仿宋_GB2312"/>
                <w:sz w:val="18"/>
              </w:rPr>
              <w:t>10.本次招标计价软件采用</w:t>
            </w:r>
            <w:r>
              <w:rPr>
                <w:rFonts w:ascii="仿宋_GB2312" w:hAnsi="仿宋_GB2312" w:cs="仿宋_GB2312" w:eastAsia="仿宋_GB2312"/>
                <w:sz w:val="18"/>
              </w:rPr>
              <w:t>广联达云计价平台</w:t>
            </w:r>
            <w:r>
              <w:rPr>
                <w:rFonts w:ascii="仿宋_GB2312" w:hAnsi="仿宋_GB2312" w:cs="仿宋_GB2312" w:eastAsia="仿宋_GB2312"/>
                <w:sz w:val="18"/>
              </w:rPr>
              <w:t>GCCP7.0版本：7.5000.23.3</w:t>
            </w:r>
            <w:r>
              <w:rPr>
                <w:rFonts w:ascii="仿宋_GB2312" w:hAnsi="仿宋_GB2312" w:cs="仿宋_GB2312" w:eastAsia="仿宋_GB2312"/>
                <w:sz w:val="18"/>
              </w:rPr>
              <w:t>。</w:t>
            </w:r>
          </w:p>
          <w:p>
            <w:pPr>
              <w:pStyle w:val="null3"/>
            </w:pPr>
            <w:r>
              <w:rPr>
                <w:rFonts w:ascii="仿宋_GB2312" w:hAnsi="仿宋_GB2312" w:cs="仿宋_GB2312" w:eastAsia="仿宋_GB2312"/>
                <w:sz w:val="18"/>
              </w:rPr>
              <w:t>11.发标时，随磋商文件一并发给各供应商本项目的“工程量清单电子版”。其中采购人提供的清单数量及暂定价材料、设备及相关资料已在相应表中列明。不得对工程量、原表格形式进行增删、隐藏等改动，如改动将按无效投标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b/>
              </w:rPr>
              <w:t>六、工程承包方式</w:t>
            </w:r>
          </w:p>
          <w:p>
            <w:pPr>
              <w:pStyle w:val="null3"/>
              <w:jc w:val="left"/>
            </w:pPr>
            <w:r>
              <w:rPr>
                <w:rFonts w:ascii="仿宋_GB2312" w:hAnsi="仿宋_GB2312" w:cs="仿宋_GB2312" w:eastAsia="仿宋_GB2312"/>
                <w:sz w:val="18"/>
              </w:rPr>
              <w:t>1.本工程采用施工总承包发包模式；</w:t>
            </w:r>
          </w:p>
          <w:p>
            <w:pPr>
              <w:pStyle w:val="null3"/>
            </w:pPr>
            <w:r>
              <w:rPr>
                <w:rFonts w:ascii="仿宋_GB2312" w:hAnsi="仿宋_GB2312" w:cs="仿宋_GB2312" w:eastAsia="仿宋_GB2312"/>
                <w:sz w:val="18"/>
              </w:rPr>
              <w:t>2.合同形式为固定总价合同；</w:t>
            </w:r>
          </w:p>
          <w:p>
            <w:pPr>
              <w:pStyle w:val="null3"/>
            </w:pPr>
            <w:r>
              <w:rPr>
                <w:rFonts w:ascii="仿宋_GB2312" w:hAnsi="仿宋_GB2312" w:cs="仿宋_GB2312" w:eastAsia="仿宋_GB2312"/>
                <w:sz w:val="18"/>
              </w:rPr>
              <w:t>3.总承包单位在投标报价时应充分考虑市场波动等风险因素引起的材料及人工价格的上涨，工程施工及结算过程中，总价不予调整。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18"/>
                <w:b/>
              </w:rPr>
              <w:t>七、安全文明施工要求</w:t>
            </w:r>
          </w:p>
          <w:p>
            <w:pPr>
              <w:pStyle w:val="null3"/>
              <w:jc w:val="left"/>
            </w:pPr>
            <w:r>
              <w:rPr>
                <w:rFonts w:ascii="仿宋_GB2312" w:hAnsi="仿宋_GB2312" w:cs="仿宋_GB2312" w:eastAsia="仿宋_GB2312"/>
                <w:sz w:val="18"/>
              </w:rPr>
              <w:t>1.执行政府有关文明施工规定，加强安全文明施工培训和教育；施工现场周围设置围挡，张贴安全生产、文明施工、保证工程质量等警示标语和标志；</w:t>
            </w:r>
          </w:p>
          <w:p>
            <w:pPr>
              <w:pStyle w:val="null3"/>
              <w:jc w:val="left"/>
            </w:pPr>
            <w:r>
              <w:rPr>
                <w:rFonts w:ascii="仿宋_GB2312" w:hAnsi="仿宋_GB2312" w:cs="仿宋_GB2312" w:eastAsia="仿宋_GB2312"/>
                <w:sz w:val="18"/>
              </w:rPr>
              <w:t>2.做好降噪防尘及安全防护工作；</w:t>
            </w:r>
          </w:p>
          <w:p>
            <w:pPr>
              <w:pStyle w:val="null3"/>
              <w:jc w:val="left"/>
            </w:pPr>
            <w:r>
              <w:rPr>
                <w:rFonts w:ascii="仿宋_GB2312" w:hAnsi="仿宋_GB2312" w:cs="仿宋_GB2312" w:eastAsia="仿宋_GB2312"/>
                <w:sz w:val="18"/>
              </w:rPr>
              <w:t>3.遵守学院相关规章制度；</w:t>
            </w:r>
          </w:p>
          <w:p>
            <w:pPr>
              <w:pStyle w:val="null3"/>
              <w:jc w:val="left"/>
            </w:pPr>
            <w:r>
              <w:rPr>
                <w:rFonts w:ascii="仿宋_GB2312" w:hAnsi="仿宋_GB2312" w:cs="仿宋_GB2312" w:eastAsia="仿宋_GB2312"/>
                <w:sz w:val="18"/>
              </w:rPr>
              <w:t>4.加强现场防火教育，落实消防措施，配备足够的灭火器材；</w:t>
            </w:r>
          </w:p>
          <w:p>
            <w:pPr>
              <w:pStyle w:val="null3"/>
            </w:pPr>
            <w:r>
              <w:rPr>
                <w:rFonts w:ascii="仿宋_GB2312" w:hAnsi="仿宋_GB2312" w:cs="仿宋_GB2312" w:eastAsia="仿宋_GB2312"/>
                <w:sz w:val="18"/>
              </w:rPr>
              <w:t>5.加强施工现场防雨、防风、防冰雹、防雷电管理，做好现场临时用电的安全检查及隐患排查工作。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18"/>
                <w:b/>
              </w:rPr>
              <w:t>八、合同主要条款</w:t>
            </w:r>
          </w:p>
          <w:p>
            <w:pPr>
              <w:pStyle w:val="null3"/>
              <w:jc w:val="both"/>
            </w:pPr>
            <w:r>
              <w:rPr>
                <w:rFonts w:ascii="仿宋_GB2312" w:hAnsi="仿宋_GB2312" w:cs="仿宋_GB2312" w:eastAsia="仿宋_GB2312"/>
                <w:sz w:val="18"/>
              </w:rPr>
              <w:t>1.以供应商最终磋商报价做为合同签约价格。签订采购合同时依据成交供应商的首次磋商报价及最终磋商报价计算出最终报价下浮率，用于合同结算。</w:t>
            </w:r>
          </w:p>
          <w:p>
            <w:pPr>
              <w:pStyle w:val="null3"/>
              <w:jc w:val="left"/>
            </w:pPr>
            <w:r>
              <w:rPr>
                <w:rFonts w:ascii="仿宋_GB2312" w:hAnsi="仿宋_GB2312" w:cs="仿宋_GB2312" w:eastAsia="仿宋_GB2312"/>
                <w:sz w:val="18"/>
              </w:rPr>
              <w:t>最终报价下浮率（</w:t>
            </w:r>
            <w:r>
              <w:rPr>
                <w:rFonts w:ascii="仿宋_GB2312" w:hAnsi="仿宋_GB2312" w:cs="仿宋_GB2312" w:eastAsia="仿宋_GB2312"/>
                <w:sz w:val="18"/>
              </w:rPr>
              <w:t>%）=（首次磋商报价-最终磋商报价）÷首次磋商报价×100，保留小数点后两位小数。</w:t>
            </w:r>
          </w:p>
          <w:p>
            <w:pPr>
              <w:pStyle w:val="null3"/>
              <w:jc w:val="both"/>
            </w:pPr>
            <w:r>
              <w:rPr>
                <w:rFonts w:ascii="仿宋_GB2312" w:hAnsi="仿宋_GB2312" w:cs="仿宋_GB2312" w:eastAsia="仿宋_GB2312"/>
                <w:sz w:val="18"/>
              </w:rPr>
              <w:t>2.与工程所在地环保、综合执法、交警部门、市政、消防、住建等其他个人或相关社会组织的协调工作均由乙方负责，并承担由此产生的所有费用；</w:t>
            </w:r>
          </w:p>
          <w:p>
            <w:pPr>
              <w:pStyle w:val="null3"/>
              <w:jc w:val="both"/>
            </w:pPr>
            <w:r>
              <w:rPr>
                <w:rFonts w:ascii="仿宋_GB2312" w:hAnsi="仿宋_GB2312" w:cs="仿宋_GB2312" w:eastAsia="仿宋_GB2312"/>
                <w:sz w:val="18"/>
              </w:rPr>
              <w:t>3.乙方负责施工过程中的所有安全事故责任及成品保护，承担全部经济损失，与工程相关的安全责任及经济损失和甲方无关；</w:t>
            </w:r>
          </w:p>
          <w:p>
            <w:pPr>
              <w:pStyle w:val="null3"/>
              <w:jc w:val="both"/>
            </w:pPr>
            <w:r>
              <w:rPr>
                <w:rFonts w:ascii="仿宋_GB2312" w:hAnsi="仿宋_GB2312" w:cs="仿宋_GB2312" w:eastAsia="仿宋_GB2312"/>
                <w:sz w:val="18"/>
              </w:rPr>
              <w:t>4.中标单位非经甲方书面同意，不得擅自将本合同约定工作内容分包或转包给第三方，否则甲方有权单方面终止合同，并有权追究中标单位的法律责任及经济补偿。</w:t>
            </w:r>
          </w:p>
          <w:p>
            <w:pPr>
              <w:pStyle w:val="null3"/>
            </w:pPr>
            <w:r>
              <w:rPr>
                <w:rFonts w:ascii="仿宋_GB2312" w:hAnsi="仿宋_GB2312" w:cs="仿宋_GB2312" w:eastAsia="仿宋_GB2312"/>
                <w:sz w:val="18"/>
              </w:rPr>
              <w:t>5.审减额未超过送审价10%（不含）的，基本费由学校承担，列入建设工程项目造价成本，效益费按审减额的5%计，由施工单位承担，在结算时由财务部门从结算工程款中扣除。审减额超过送审价10%（含）的，结算审计审减额5%的效益费和基本费均由施工单位承担，结算时在工程款中予以扣除。</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18"/>
                <w:b/>
              </w:rPr>
              <w:t>九、付款时间、付款方式和付款条件</w:t>
            </w:r>
          </w:p>
          <w:p>
            <w:pPr>
              <w:pStyle w:val="null3"/>
              <w:ind w:firstLine="360"/>
              <w:jc w:val="both"/>
            </w:pPr>
            <w:r>
              <w:rPr>
                <w:rFonts w:ascii="仿宋_GB2312" w:hAnsi="仿宋_GB2312" w:cs="仿宋_GB2312" w:eastAsia="仿宋_GB2312"/>
                <w:sz w:val="18"/>
              </w:rPr>
              <w:t>本工程无预付款，待工程竣工验收合格向乙方支付合同价款</w:t>
            </w:r>
            <w:r>
              <w:rPr>
                <w:rFonts w:ascii="仿宋_GB2312" w:hAnsi="仿宋_GB2312" w:cs="仿宋_GB2312" w:eastAsia="仿宋_GB2312"/>
                <w:sz w:val="18"/>
              </w:rPr>
              <w:t>70%，结算审计后，甲方付至结算审核价的100%。乙方向甲方缴纳工程结算审核价的0.6%款为水电费，3%款为2年保修金（不计息），质保期起算日期以验收合格日期计，保修金待保修满后无质量问题予以退还。</w:t>
            </w:r>
          </w:p>
          <w:p>
            <w:pPr>
              <w:pStyle w:val="null3"/>
            </w:pPr>
            <w:r>
              <w:rPr>
                <w:rFonts w:ascii="仿宋_GB2312" w:hAnsi="仿宋_GB2312" w:cs="仿宋_GB2312" w:eastAsia="仿宋_GB2312"/>
                <w:sz w:val="18"/>
              </w:rPr>
              <w:t>备注：保修期应依据《建筑工程质量管理条例》确定。</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18"/>
                <w:b/>
              </w:rPr>
              <w:t>十、验收标准、时间</w:t>
            </w:r>
          </w:p>
          <w:p>
            <w:pPr>
              <w:pStyle w:val="null3"/>
            </w:pPr>
            <w:r>
              <w:rPr>
                <w:rFonts w:ascii="仿宋_GB2312" w:hAnsi="仿宋_GB2312" w:cs="仿宋_GB2312" w:eastAsia="仿宋_GB2312"/>
                <w:sz w:val="18"/>
              </w:rPr>
              <w:t>1.验收标准：符合国家相关质量验收标准及施工、质量验收规范要求，质量达到国家规定合格标准。</w:t>
            </w:r>
          </w:p>
          <w:p>
            <w:pPr>
              <w:pStyle w:val="null3"/>
            </w:pPr>
            <w:r>
              <w:rPr>
                <w:rFonts w:ascii="仿宋_GB2312" w:hAnsi="仿宋_GB2312" w:cs="仿宋_GB2312" w:eastAsia="仿宋_GB2312"/>
                <w:sz w:val="18"/>
              </w:rPr>
              <w:t>2.验收时间：工程竣工且具备验收条件后，由乙方通知甲方进行验收，甲方自接到乙方验收通知后 7 个工作日内组织甲乙双方共同验收。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18"/>
                <w:b/>
              </w:rPr>
              <w:t>十一、安全责任</w:t>
            </w:r>
          </w:p>
          <w:p>
            <w:pPr>
              <w:pStyle w:val="null3"/>
            </w:pPr>
            <w:r>
              <w:rPr>
                <w:rFonts w:ascii="仿宋_GB2312" w:hAnsi="仿宋_GB2312" w:cs="仿宋_GB2312" w:eastAsia="仿宋_GB2312"/>
                <w:sz w:val="18"/>
              </w:rPr>
              <w:t>在合同履行过程中，因成交单位自身原因发生的人身、财产、安全等事故责任均由成交单位承担。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《建筑电气与智能化通用规范》GB 55024-2022 《建筑拆除工程安全技术规范》JGJ 147-2016 《建筑装饰装修工程质量验收标准》GB 50210-2018 《房屋建筑与装饰工程工程量计算标准》GB/T 50854-2024 《民用建筑工程室内环境污染控制标准》GB 50325-2020 《砌体结构工程施工质量验收规范》GB 50203-2011 《屋面工程质量验收规范》GB 50207-2012 《钢结构工程施工质量验收标准》GB 50205-2020 《屋面工程质量验收规范》GB 50207-2012 《压型金属板工程应用技术规范》GB 50896-2013 《建筑工程施工质量验收统一标准》GB 50300-2013 《建筑钢结构防火技术规范》GB51249-2017 《建筑电气工程施工质量验收规范》GB50303-2015 《城市园林绿化工程施工及验收规范》CJJ82-2012及陕西省现行建筑工程相关质量、安全文明施工地方标准与规范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中国人民银行西安分行关于深入推进政府采购信用融资业务的通知-陕财办采〔2023〕5号；（15）《财政部 工业和信息化部关于贯彻落实&lt;国务院办公厅关于在政府采购中实施本国产品标准及相关政策的通知&gt;的意见》（财库〔2025〕30 号）；（16）《关于推动解决政府采购异常低价问题的通知》（财库〔2026〕 2号）；（17）如有最新颁布的政府采购政策，按最新的文件执行。 3.成交人成交后向招标代理公司提交纸质投标文件叁份（纸质投标文件应通过专用制作软件直接打印，确保与项目电子化交易系统中的电子响应文件保持一致，不允许修改和补充。）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并出具合法有效的营业执照或事业单位法人证书等国家规定的相关证明，自然人参与的提供其身份证明；2、财务状况报告：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提供基本银行账户信息，银行出具的存款证明不能代替资信证明，存款证明无效；3、具有履行合同所必需的设备和专业技术能力，提供承诺；4、税收缴纳证明：提供响应文件截止投标时间前六个月内任意一个月的纳税证明或完税证明（任意税种），纳税证明或完税证明上应有代收机构或税务机关的公章或业务专用章；依法免税的供应商应提供相关文件证明（复印件加盖供应商公章）；5、社会保障资金缴纳证明：提供响应文件截止投标时间前六个月内任意一个月的社会保障资金缴存单据或社保机构开具的社会保险参保缴费情况证明；依法不需要缴纳社会保障资金的供应商应提供相关文件证明；6、参加政府采购活动前三年内，在经营活动中没有重大违法记录，提供承诺；7、信用主体查询：供应商未被列入“信用中国”网站（www.creditchina.gov.cn）记录失信被执行人；不处于中国政府采购网（www.ccgp.gov.cn）政府采购严重违法失信行为信息记录中的禁止参加政府采购活动期间；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三种形式的资料提供任何一种即可）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或提供基本银行账户信息），银行出具的存款证明不能代替资信证明，存款证明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具有建设行政主管部门核发的建筑工程施工总承包三级及以上资质，并具有合格有效的安全生产许可证；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拟派项目经理须具有建筑工程专业注册建造师二级及以上资格和有效的安全生产考核合格证书B 证，在本单位注册且无在建项目，提供响应文件截止时间一年内至少三个月的社保证明。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供应商及拟派项目经理须在“ 陕西建设网（ http://js.shaanxi.gov.cn/ ）陕西省建筑市场监管与诚信信息发布平台”备案且可查询到基本信息。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标的清单 供应商类似项目业绩一览表 响应函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同时满足以下条款：（1）货币单位符合采购文件要求 ；（2）报价符合唯一性要求； （3）未超出采购预算或最高限价 ；（4）符合报价函、《已标价工程量清单》及《标的清单》的填报要求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开标活动的，应出具法定代表人证明书及法定代表人合法有效的身份证扫描件，且应与营业执照上信息一致；法定代表人授权代表参加磋商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磋商保证金符合磋商文件保证缴纳要求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符合法律、法规和竞争性磋商中规定的其他实质性要求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1、评审内容：供应商提供针对本项目的施工方案； 2、评审标准：（1）完整性：内容须全面，对评审内容中的各项要求有详细描述；（2）可实施性：切合本项目实际情况，实施步骤清晰、合理； （3）针对性：方案能够紧扣项目实际情况，内容科学合理。 3、赋分标准：每完全满足一项评审标准得3分，相对满足得2分,不满足得0 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确保工程质量的保证措施</w:t>
            </w:r>
          </w:p>
        </w:tc>
        <w:tc>
          <w:tcPr>
            <w:tcW w:type="dxa" w:w="2492"/>
          </w:tcPr>
          <w:p>
            <w:pPr>
              <w:pStyle w:val="null3"/>
            </w:pPr>
            <w:r>
              <w:rPr>
                <w:rFonts w:ascii="仿宋_GB2312" w:hAnsi="仿宋_GB2312" w:cs="仿宋_GB2312" w:eastAsia="仿宋_GB2312"/>
              </w:rPr>
              <w:t>1、评审内容：供应商提供针对本项目的工程质量保证措施； 2、评审标准：（1）完整性：内容须全面，对评审内容中的各项要求有详细描述；（2）可实施性：切合本项目实际情况，实施步骤清晰、合理；（3） 针对性：方案能够紧扣项目实际情况，内容科学合理。 3、赋分标准：每完全满足一项评审标准得2分，相对满足得1分,不满足得0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确保工期的保证措施</w:t>
            </w:r>
          </w:p>
        </w:tc>
        <w:tc>
          <w:tcPr>
            <w:tcW w:type="dxa" w:w="2492"/>
          </w:tcPr>
          <w:p>
            <w:pPr>
              <w:pStyle w:val="null3"/>
            </w:pPr>
            <w:r>
              <w:rPr>
                <w:rFonts w:ascii="仿宋_GB2312" w:hAnsi="仿宋_GB2312" w:cs="仿宋_GB2312" w:eastAsia="仿宋_GB2312"/>
              </w:rPr>
              <w:t>1、评审内容：供应商提供针对本项目的确保工期的保证措施； 2、评审标准：（1）完整性：内容须全面，对评审内容中的各项要求有详细描述；（2）可实施性：切合本项目实际情况，实施步骤清晰、合理； （3）针对性：方案能够紧扣项目实际情况，内容科学合理。 3、赋分标准：每完全满足一项评审标准得2 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确保工程安全的保证措施</w:t>
            </w:r>
          </w:p>
        </w:tc>
        <w:tc>
          <w:tcPr>
            <w:tcW w:type="dxa" w:w="2492"/>
          </w:tcPr>
          <w:p>
            <w:pPr>
              <w:pStyle w:val="null3"/>
            </w:pPr>
            <w:r>
              <w:rPr>
                <w:rFonts w:ascii="仿宋_GB2312" w:hAnsi="仿宋_GB2312" w:cs="仿宋_GB2312" w:eastAsia="仿宋_GB2312"/>
              </w:rPr>
              <w:t>1、评审内容供应商提供针对本项目的确保工程安全保证措施； 2、评审标准： （1）完整性：内容须全面，对评审内容中的各项要求有详细描述； （2）可实施性：切合本项目实际情况，实施步骤清晰、合理；（3）针对性：方案能够紧扣项目实际情况，内容科学合理。 3、赋分标准： 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确保文明施工、治污减霾和防尘污染的保证措施</w:t>
            </w:r>
          </w:p>
        </w:tc>
        <w:tc>
          <w:tcPr>
            <w:tcW w:type="dxa" w:w="2492"/>
          </w:tcPr>
          <w:p>
            <w:pPr>
              <w:pStyle w:val="null3"/>
            </w:pPr>
            <w:r>
              <w:rPr>
                <w:rFonts w:ascii="仿宋_GB2312" w:hAnsi="仿宋_GB2312" w:cs="仿宋_GB2312" w:eastAsia="仿宋_GB2312"/>
              </w:rPr>
              <w:t>1、评审内容：供应商提供针对本项目的确保文明、治污减霾和防尘污染的保证措施； 2、评审标准（1）完整性：内容须全面，对评审内容中的各项要求有详细描述；（2）可实施性：切合本项目实际情况，实施步骤清晰、合理；（3）针对性：方案能够紧扣项目实际情况，内容科学合理。 3、赋分标准：每完全满足一项评审标准得2分，相对满足得1分,不满足得0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1、评审内容：供应商提供相应的资源配备计划方案，方案内容包括但不限于①劳动力计划②主要材料供应计划③施工机械设备配备计划等进行综合评审等；2、评审标准：前述要求的内容均有描述且满足本项目要求的得6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0.5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评审内容：供应商提供相应的项目管理机构，内容包括但不限于①管理机构的人员配置情况②组织机构的岗位职责等进行综合评审等；2、评审标准：前述要求的内容均有描述且满足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0.5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保修责任及承诺</w:t>
            </w:r>
          </w:p>
        </w:tc>
        <w:tc>
          <w:tcPr>
            <w:tcW w:type="dxa" w:w="2492"/>
          </w:tcPr>
          <w:p>
            <w:pPr>
              <w:pStyle w:val="null3"/>
            </w:pPr>
            <w:r>
              <w:rPr>
                <w:rFonts w:ascii="仿宋_GB2312" w:hAnsi="仿宋_GB2312" w:cs="仿宋_GB2312" w:eastAsia="仿宋_GB2312"/>
              </w:rPr>
              <w:t>1、评审内容：供应商提供针对本项目的保修责任及承诺； 2、评审标准：（1）完整性：保修及承诺内容须全面，对各项要求有详细描述； （2）针对性：保修及承诺内容能够紧扣项目实际情况，符合采购需求，能有效保障本项目实施； 3、赋分标准： 每完全满足一项评审标准得2.5分，相对满足得1.5分,不满足得0 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供应商提供2023年1月1日起至今承担的类似项目业绩（以响应文件中合同扫描件为准、时间以合同签订时间为准），每提供1份有效业绩得2分，最多得10分。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 2.有效最低磋商报价为基准价得40分。 3.按（有效最低磋商报价/有效磋商报价）×40的公式计算其得分。 4.磋商报价不完整的，不进入评标标准价的计算，本项得0分。 5.经磋商小组一致认定，供应商的磋商总报价低于公认市场成本，或超过采购预算或最高限价的,其投标将被拒绝。</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