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版本号：ZGHJ-HZ-2026080120260807002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2026年略阳县黑河镇高家坎村黄桃分拣仓储建设项目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ZGHJ-HZ-20260801</w:t>
      </w:r>
      <w:r>
        <w:br/>
      </w:r>
      <w:r>
        <w:br/>
      </w:r>
      <w:r>
        <w:br/>
      </w:r>
    </w:p>
    <w:p>
      <w:pPr>
        <w:pStyle w:val="null3"/>
        <w:jc w:val="center"/>
        <w:outlineLvl w:val="2"/>
      </w:pPr>
      <w:r>
        <w:rPr>
          <w:rFonts w:ascii="仿宋_GB2312" w:hAnsi="仿宋_GB2312" w:cs="仿宋_GB2312" w:eastAsia="仿宋_GB2312"/>
          <w:sz w:val="28"/>
          <w:b/>
        </w:rPr>
        <w:t>略阳县黑河镇人民政府</w:t>
      </w:r>
    </w:p>
    <w:p>
      <w:pPr>
        <w:pStyle w:val="null3"/>
        <w:jc w:val="center"/>
        <w:outlineLvl w:val="2"/>
      </w:pPr>
      <w:r>
        <w:rPr>
          <w:rFonts w:ascii="仿宋_GB2312" w:hAnsi="仿宋_GB2312" w:cs="仿宋_GB2312" w:eastAsia="仿宋_GB2312"/>
          <w:sz w:val="28"/>
          <w:b/>
        </w:rPr>
        <w:t>中恭鸿建项目管理有限公司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中恭鸿建项目管理有限公司</w:t>
      </w:r>
      <w:r>
        <w:rPr>
          <w:rFonts w:ascii="仿宋_GB2312" w:hAnsi="仿宋_GB2312" w:cs="仿宋_GB2312" w:eastAsia="仿宋_GB2312"/>
        </w:rPr>
        <w:t>（以下简称“代理机构”）受</w:t>
      </w:r>
      <w:r>
        <w:rPr>
          <w:rFonts w:ascii="仿宋_GB2312" w:hAnsi="仿宋_GB2312" w:cs="仿宋_GB2312" w:eastAsia="仿宋_GB2312"/>
        </w:rPr>
        <w:t>略阳县黑河镇人民政府</w:t>
      </w:r>
      <w:r>
        <w:rPr>
          <w:rFonts w:ascii="仿宋_GB2312" w:hAnsi="仿宋_GB2312" w:cs="仿宋_GB2312" w:eastAsia="仿宋_GB2312"/>
        </w:rPr>
        <w:t>委托，拟对</w:t>
      </w:r>
      <w:r>
        <w:rPr>
          <w:rFonts w:ascii="仿宋_GB2312" w:hAnsi="仿宋_GB2312" w:cs="仿宋_GB2312" w:eastAsia="仿宋_GB2312"/>
        </w:rPr>
        <w:t>2026年略阳县黑河镇高家坎村黄桃分拣仓储建设项目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ZGHJ-HZ-20260801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2026年略阳县黑河镇高家坎村黄桃分拣仓储建设项目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分拣用房350平米，保鲜库200立方米，分拣台10个，地面硬化350平方米，挡墙300立方米，围挡800米，配套水电等相关附属设施。项目建设中，通过务工方式预计带动农户20户20人(重点帮扶群体10户10人)预计户均收入3000元。项目建成后，形成的经营性资产产权归村集体所有，村集体以自主经营方式运营,资产由村集体管护,预计项目可持续年限10年,预计村集体当年增收5万元以上，村集体制定经营性资产收益分配方案对农户进行差异化分红。同时通过务工、分红等方式带动农户80户90人(重点帮扶群体38户45人)，预计户均年增收2000元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采购包1（2026年略阳县黑河镇高家坎村黄桃分拣仓储建设项目）：属于专门面向中小企业采购。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供应商为具有独⽴承担⺠事责任能⼒的企业法⼈、事业法⼈、其他组织，提供营业执照复印件或电⼦件（事业单位须事业单位法⼈证、组织机构代码证等证明⽂件；其他组织应提供合法证明⽂ 件），供应商需在项⽬电⼦化交易系统中按要求上传相应证明⽂件并进⾏电⼦签章。</w:t>
      </w:r>
    </w:p>
    <w:p>
      <w:pPr>
        <w:pStyle w:val="null3"/>
      </w:pPr>
      <w:r>
        <w:rPr>
          <w:rFonts w:ascii="仿宋_GB2312" w:hAnsi="仿宋_GB2312" w:cs="仿宋_GB2312" w:eastAsia="仿宋_GB2312"/>
        </w:rPr>
        <w:t>2、供应商需提供法定代表⼈（或委托代理⼈）⾝份证明及授权委托书：供应商需提供法定代表⼈授权书（附法定代表⼈⾝份证复印件）及被授权⼈⾝份证复印件（法定 代表⼈直接参加投标只须提供法定代表⼈⾝份证复印件）。</w:t>
      </w:r>
    </w:p>
    <w:p>
      <w:pPr>
        <w:pStyle w:val="null3"/>
      </w:pPr>
      <w:r>
        <w:rPr>
          <w:rFonts w:ascii="仿宋_GB2312" w:hAnsi="仿宋_GB2312" w:cs="仿宋_GB2312" w:eastAsia="仿宋_GB2312"/>
        </w:rPr>
        <w:t>3、供应商资质要求：供应商具有建设⾏政主管部⻔核发的建筑⼯程施⼯总承包三级及以上资质，且具备合格有效的安全⽣产许可证；</w:t>
      </w:r>
    </w:p>
    <w:p>
      <w:pPr>
        <w:pStyle w:val="null3"/>
      </w:pPr>
      <w:r>
        <w:rPr>
          <w:rFonts w:ascii="仿宋_GB2312" w:hAnsi="仿宋_GB2312" w:cs="仿宋_GB2312" w:eastAsia="仿宋_GB2312"/>
        </w:rPr>
        <w:t>4、拟派项⽬负责⼈资质及专业要求：拟派项⽬经理具备建筑⼯程专业⼆级及以上注册建造师及安全⽣产考核合格证（建安 B 证），⽆在建⼯程承诺书；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5、供应商须提供《汉中市政府采购供应商资格承诺函》：供应商须具有良好的商业信誉和健全的财务会计制度、履⾏合同所必需的设备和专业技术能⼒、 依法缴纳税收和社会保障⾦的良好记录，以及参加本项⽬采购活动前三年内⽆重⼤违法活动记录 ，供应商应按照汉中市财政局《关于全⾯推⾏政府采购供应商基本资格条件承诺制的通知》（汉 采办采管〔2024〕20号）⽂件要求，提供资格承诺函，供应商需在项⽬电⼦化交易系统中按要 求上传相应证明⽂件并进⾏电⼦签章。</w:t>
      </w:r>
    </w:p>
    <w:p>
      <w:pPr>
        <w:pStyle w:val="null3"/>
      </w:pPr>
      <w:r>
        <w:rPr>
          <w:rFonts w:ascii="仿宋_GB2312" w:hAnsi="仿宋_GB2312" w:cs="仿宋_GB2312" w:eastAsia="仿宋_GB2312"/>
        </w:rPr>
        <w:t>6、本项⽬不接受联合体：提供⾮联合体声明磋商承诺。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略阳县黑河镇人民政府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陕西省汉中市略阳县黑河镇五郎坪村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略阳县黑河镇人民政府经办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09164915327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中恭鸿建项目管理有限公司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汉中市汉台区前进东路朱家营⼀组53号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17729060206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开户名称：中恭鸿建项目管理有限公司</w:t>
            </w:r>
          </w:p>
          <w:p>
            <w:pPr>
              <w:pStyle w:val="null3"/>
            </w:pPr>
            <w:r>
              <w:rPr>
                <w:rFonts w:ascii="仿宋_GB2312" w:hAnsi="仿宋_GB2312" w:cs="仿宋_GB2312" w:eastAsia="仿宋_GB2312"/>
              </w:rPr>
              <w:t>开户银行：中国工商银行股份有限公司西安凤城二路支行</w:t>
            </w:r>
          </w:p>
          <w:p>
            <w:pPr>
              <w:pStyle w:val="null3"/>
            </w:pPr>
            <w:r>
              <w:rPr>
                <w:rFonts w:ascii="仿宋_GB2312" w:hAnsi="仿宋_GB2312" w:cs="仿宋_GB2312" w:eastAsia="仿宋_GB2312"/>
              </w:rPr>
              <w:t>银行账号：3700022209200118208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说明：乙方向甲方缴纳合同价2%的工程质量保证金，在一年质保期结束后，由施工单位申请，甲、乙、施工监理等各参建单位及接收单位现场检查无质量问题后退还施工单位。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以成交⾦额为基数，参照《招标代理服务收费管理暂⾏办法》的通知（计价格[2002]1980号）和《关于招标代理服务收费有关问题的通知》（发改办价格[2003]857号）的有关规定收取代理服务费。 2、代理服务费的具体⾦额后续⻅本项⽬中标（成交）结果公告。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略阳县黑河镇人民政府</w:t>
      </w:r>
      <w:r>
        <w:rPr>
          <w:rFonts w:ascii="仿宋_GB2312" w:hAnsi="仿宋_GB2312" w:cs="仿宋_GB2312" w:eastAsia="仿宋_GB2312"/>
        </w:rPr>
        <w:t>和</w:t>
      </w:r>
      <w:r>
        <w:rPr>
          <w:rFonts w:ascii="仿宋_GB2312" w:hAnsi="仿宋_GB2312" w:cs="仿宋_GB2312" w:eastAsia="仿宋_GB2312"/>
        </w:rPr>
        <w:t>中恭鸿建项目管理有限公司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略阳县黑河镇人民政府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中恭鸿建项目管理有限公司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略阳县黑河镇人民政府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中恭鸿建项目管理有限公司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双方在合同中自行约定。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满足采购文件中要求及相关规定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联系电话：17729060206</w:t>
      </w:r>
    </w:p>
    <w:p>
      <w:pPr>
        <w:pStyle w:val="null3"/>
      </w:pPr>
      <w:r>
        <w:rPr>
          <w:rFonts w:ascii="仿宋_GB2312" w:hAnsi="仿宋_GB2312" w:cs="仿宋_GB2312" w:eastAsia="仿宋_GB2312"/>
        </w:rPr>
        <w:t>地址： 汉中市汉台区前进东路朱家营⼀组53号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1,178,905.57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2026年略阳县黑河镇高家坎村黄桃分拣仓储建设项目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标的名称：2026年略阳县黑河镇高家坎村黄桃分拣仓储建设项目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7"/>
                <w:b/>
              </w:rPr>
              <w:t>2026年略阳县黑河镇高家坎村黄桃分拣仓储建设</w:t>
            </w:r>
          </w:p>
          <w:p>
            <w:pPr>
              <w:pStyle w:val="null3"/>
              <w:jc w:val="center"/>
            </w:pPr>
            <w:r>
              <w:rPr>
                <w:rFonts w:ascii="仿宋_GB2312" w:hAnsi="仿宋_GB2312" w:cs="仿宋_GB2312" w:eastAsia="仿宋_GB2312"/>
                <w:sz w:val="27"/>
                <w:b/>
              </w:rPr>
              <w:t>项目编制说明</w:t>
            </w:r>
          </w:p>
          <w:p>
            <w:pPr>
              <w:pStyle w:val="null3"/>
            </w:pPr>
            <w:r>
              <w:rPr>
                <w:rFonts w:ascii="仿宋_GB2312" w:hAnsi="仿宋_GB2312" w:cs="仿宋_GB2312" w:eastAsia="仿宋_GB2312"/>
                <w:sz w:val="24"/>
                <w:b/>
              </w:rPr>
              <w:t xml:space="preserve">     工程概况：</w:t>
            </w:r>
          </w:p>
          <w:p>
            <w:pPr>
              <w:pStyle w:val="null3"/>
              <w:ind w:firstLine="640"/>
              <w:jc w:val="both"/>
            </w:pPr>
            <w:r>
              <w:rPr>
                <w:rFonts w:ascii="仿宋_GB2312" w:hAnsi="仿宋_GB2312" w:cs="仿宋_GB2312" w:eastAsia="仿宋_GB2312"/>
                <w:sz w:val="24"/>
              </w:rPr>
              <w:t>该工程位于</w:t>
            </w:r>
            <w:r>
              <w:rPr>
                <w:rFonts w:ascii="仿宋_GB2312" w:hAnsi="仿宋_GB2312" w:cs="仿宋_GB2312" w:eastAsia="仿宋_GB2312"/>
                <w:sz w:val="24"/>
              </w:rPr>
              <w:t>陕西省汉中市略阳县</w:t>
            </w:r>
            <w:r>
              <w:rPr>
                <w:rFonts w:ascii="仿宋_GB2312" w:hAnsi="仿宋_GB2312" w:cs="仿宋_GB2312" w:eastAsia="仿宋_GB2312"/>
                <w:sz w:val="24"/>
              </w:rPr>
              <w:t>。</w:t>
            </w:r>
            <w:r>
              <w:rPr>
                <w:rFonts w:ascii="仿宋_GB2312" w:hAnsi="仿宋_GB2312" w:cs="仿宋_GB2312" w:eastAsia="仿宋_GB2312"/>
                <w:sz w:val="24"/>
              </w:rPr>
              <w:t>主要工作内容有：新建分拣用房</w:t>
            </w:r>
            <w:r>
              <w:rPr>
                <w:rFonts w:ascii="仿宋_GB2312" w:hAnsi="仿宋_GB2312" w:cs="仿宋_GB2312" w:eastAsia="仿宋_GB2312"/>
                <w:sz w:val="24"/>
              </w:rPr>
              <w:t>350平米，保鲜库200立方米，分拣台10个，地面硬化350平方米，挡墙约280立方米，围挡800米，配套水电等相关附属设施。（具体详见工程量清单）</w:t>
            </w:r>
          </w:p>
          <w:p>
            <w:pPr>
              <w:pStyle w:val="null3"/>
              <w:ind w:firstLine="640"/>
              <w:jc w:val="both"/>
            </w:pPr>
            <w:r>
              <w:rPr>
                <w:rFonts w:ascii="仿宋_GB2312" w:hAnsi="仿宋_GB2312" w:cs="仿宋_GB2312" w:eastAsia="仿宋_GB2312"/>
                <w:sz w:val="24"/>
                <w:b/>
              </w:rPr>
              <w:t>编制依据：</w:t>
            </w:r>
          </w:p>
          <w:p>
            <w:pPr>
              <w:pStyle w:val="null3"/>
              <w:ind w:firstLine="640"/>
              <w:jc w:val="both"/>
            </w:pPr>
            <w:r>
              <w:rPr>
                <w:rFonts w:ascii="仿宋_GB2312" w:hAnsi="仿宋_GB2312" w:cs="仿宋_GB2312" w:eastAsia="仿宋_GB2312"/>
                <w:sz w:val="24"/>
              </w:rPr>
              <w:t>1、《陕西省建设工程工程量清单计价标准及计算标准（2025）》、《陕西省建设工程费用规则（2025）》、《陕西省通用安装工程消耗量定额（2025）》《陕西省市政工程消耗量定额（2025）》、《陕西省园林绿化工程消耗量定额（2025）》《陕西省建设工程施工机械台班、仪器仪表台班费用定额定额（2025）》、《陕西省房屋建筑与装饰工程、通用安装工程、市政工程、园林绿化工程基价表（2025）》；</w:t>
            </w:r>
          </w:p>
          <w:p>
            <w:pPr>
              <w:pStyle w:val="null3"/>
              <w:spacing w:before="165" w:after="165"/>
              <w:ind w:firstLine="640"/>
              <w:jc w:val="both"/>
            </w:pPr>
            <w:r>
              <w:rPr>
                <w:rFonts w:ascii="仿宋_GB2312" w:hAnsi="仿宋_GB2312" w:cs="仿宋_GB2312" w:eastAsia="仿宋_GB2312"/>
                <w:sz w:val="24"/>
              </w:rPr>
              <w:t>2.</w:t>
            </w:r>
            <w:r>
              <w:rPr>
                <w:rFonts w:ascii="仿宋_GB2312" w:hAnsi="仿宋_GB2312" w:cs="仿宋_GB2312" w:eastAsia="仿宋_GB2312"/>
                <w:sz w:val="24"/>
              </w:rPr>
              <w:t>营业税改征增值税执行陕建发〔</w:t>
            </w:r>
            <w:r>
              <w:rPr>
                <w:rFonts w:ascii="仿宋_GB2312" w:hAnsi="仿宋_GB2312" w:cs="仿宋_GB2312" w:eastAsia="仿宋_GB2312"/>
                <w:sz w:val="24"/>
              </w:rPr>
              <w:t>20</w:t>
            </w: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45</w:t>
            </w:r>
            <w:r>
              <w:rPr>
                <w:rFonts w:ascii="仿宋_GB2312" w:hAnsi="仿宋_GB2312" w:cs="仿宋_GB2312" w:eastAsia="仿宋_GB2312"/>
                <w:sz w:val="24"/>
              </w:rPr>
              <w:t>号文</w:t>
            </w:r>
            <w:r>
              <w:rPr>
                <w:rFonts w:ascii="仿宋_GB2312" w:hAnsi="仿宋_GB2312" w:cs="仿宋_GB2312" w:eastAsia="仿宋_GB2312"/>
                <w:sz w:val="24"/>
              </w:rPr>
              <w:t>；</w:t>
            </w:r>
          </w:p>
          <w:p>
            <w:pPr>
              <w:pStyle w:val="null3"/>
              <w:spacing w:before="165" w:after="165"/>
              <w:ind w:firstLine="640"/>
              <w:jc w:val="both"/>
            </w:pPr>
            <w:r>
              <w:rPr>
                <w:rFonts w:ascii="仿宋_GB2312" w:hAnsi="仿宋_GB2312" w:cs="仿宋_GB2312" w:eastAsia="仿宋_GB2312"/>
                <w:sz w:val="24"/>
              </w:rPr>
              <w:t>3.安全文明施工费调整</w:t>
            </w:r>
            <w:r>
              <w:rPr>
                <w:rFonts w:ascii="仿宋_GB2312" w:hAnsi="仿宋_GB2312" w:cs="仿宋_GB2312" w:eastAsia="仿宋_GB2312"/>
                <w:sz w:val="24"/>
              </w:rPr>
              <w:t>执行</w:t>
            </w:r>
            <w:r>
              <w:rPr>
                <w:rFonts w:ascii="仿宋_GB2312" w:hAnsi="仿宋_GB2312" w:cs="仿宋_GB2312" w:eastAsia="仿宋_GB2312"/>
                <w:sz w:val="24"/>
              </w:rPr>
              <w:t>陕建发</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1246号</w:t>
            </w:r>
            <w:r>
              <w:rPr>
                <w:rFonts w:ascii="仿宋_GB2312" w:hAnsi="仿宋_GB2312" w:cs="仿宋_GB2312" w:eastAsia="仿宋_GB2312"/>
                <w:sz w:val="24"/>
              </w:rPr>
              <w:t>文</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rPr>
              <w:t>4.</w:t>
            </w:r>
            <w:r>
              <w:rPr>
                <w:rFonts w:ascii="仿宋_GB2312" w:hAnsi="仿宋_GB2312" w:cs="仿宋_GB2312" w:eastAsia="仿宋_GB2312"/>
                <w:sz w:val="24"/>
              </w:rPr>
              <w:t>主要材料价格执行《汉中建设工程造价信息》</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第</w:t>
            </w:r>
            <w:r>
              <w:rPr>
                <w:rFonts w:ascii="仿宋_GB2312" w:hAnsi="仿宋_GB2312" w:cs="仿宋_GB2312" w:eastAsia="仿宋_GB2312"/>
                <w:sz w:val="24"/>
              </w:rPr>
              <w:t>5期略阳区域材料价并结合当前建筑材料市场价综合计入</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工期与质量等级：</w:t>
            </w:r>
          </w:p>
          <w:p>
            <w:pPr>
              <w:pStyle w:val="null3"/>
              <w:ind w:firstLine="640"/>
            </w:pPr>
            <w:r>
              <w:rPr>
                <w:rFonts w:ascii="仿宋_GB2312" w:hAnsi="仿宋_GB2312" w:cs="仿宋_GB2312" w:eastAsia="仿宋_GB2312"/>
                <w:sz w:val="24"/>
              </w:rPr>
              <w:t xml:space="preserve"> </w:t>
            </w:r>
            <w:r>
              <w:rPr>
                <w:rFonts w:ascii="仿宋_GB2312" w:hAnsi="仿宋_GB2312" w:cs="仿宋_GB2312" w:eastAsia="仿宋_GB2312"/>
                <w:sz w:val="24"/>
              </w:rPr>
              <w:t>工期：</w:t>
            </w:r>
            <w:r>
              <w:rPr>
                <w:rFonts w:ascii="仿宋_GB2312" w:hAnsi="仿宋_GB2312" w:cs="仿宋_GB2312" w:eastAsia="仿宋_GB2312"/>
                <w:sz w:val="24"/>
              </w:rPr>
              <w:t>180</w:t>
            </w:r>
            <w:r>
              <w:rPr>
                <w:rFonts w:ascii="仿宋_GB2312" w:hAnsi="仿宋_GB2312" w:cs="仿宋_GB2312" w:eastAsia="仿宋_GB2312"/>
                <w:sz w:val="24"/>
              </w:rPr>
              <w:t>天</w:t>
            </w:r>
            <w:r>
              <w:rPr>
                <w:rFonts w:ascii="仿宋_GB2312" w:hAnsi="仿宋_GB2312" w:cs="仿宋_GB2312" w:eastAsia="仿宋_GB2312"/>
                <w:sz w:val="24"/>
              </w:rPr>
              <w:t xml:space="preserve">                   </w:t>
            </w:r>
          </w:p>
          <w:p>
            <w:pPr>
              <w:pStyle w:val="null3"/>
              <w:ind w:firstLine="640"/>
            </w:pPr>
            <w:r>
              <w:rPr>
                <w:rFonts w:ascii="仿宋_GB2312" w:hAnsi="仿宋_GB2312" w:cs="仿宋_GB2312" w:eastAsia="仿宋_GB2312"/>
                <w:sz w:val="24"/>
              </w:rPr>
              <w:t xml:space="preserve"> </w:t>
            </w:r>
            <w:r>
              <w:rPr>
                <w:rFonts w:ascii="仿宋_GB2312" w:hAnsi="仿宋_GB2312" w:cs="仿宋_GB2312" w:eastAsia="仿宋_GB2312"/>
                <w:sz w:val="24"/>
              </w:rPr>
              <w:t>质量等级：合格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⼯期：180天，质量标准：合格。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项目建设中，通过务工方式预计带动农户20户20人(重点帮扶群体10户10人)预计户均收入3000元。项目建成后，形成的经营性资产产权归村集体所有，村集体以自主经营方式运营,资产由村集体管护,预计项目可持续年限10年,预计村集体当年增收5万元以上，村集体制定经营性资产收益分配方案对农户进行差异化分红。同时通过务工、分红等方式带动农户80户90人(重点帮扶群体38户45人)，预计户均年增收2000元以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w:t>
            </w:r>
          </w:p>
        </w:tc>
        <w:tc>
          <w:tcPr>
            <w:tcW w:type="dxa" w:w="3322"/>
          </w:tcPr>
          <w:p>
            <w:pPr>
              <w:pStyle w:val="null3"/>
            </w:pPr>
            <w:r>
              <w:rPr>
                <w:rFonts w:ascii="仿宋_GB2312" w:hAnsi="仿宋_GB2312" w:cs="仿宋_GB2312" w:eastAsia="仿宋_GB2312"/>
              </w:rPr>
              <w:t>供应商为具有独⽴承担⺠事责任能⼒的企业法⼈、事业法⼈、其他组织，提供营业执照复印件或电⼦件（事业单位须事业单位法⼈证、组织机构代码证等证明⽂件；其他组织应提供合法证明⽂ 件），供应商需在项⽬电⼦化交易系统中按要求上传相应证明⽂件并进⾏电⼦签章。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供应商需提供法定代表⼈（或委托代理⼈）⾝份证明及授权委托书</w:t>
            </w:r>
          </w:p>
        </w:tc>
        <w:tc>
          <w:tcPr>
            <w:tcW w:type="dxa" w:w="3322"/>
          </w:tcPr>
          <w:p>
            <w:pPr>
              <w:pStyle w:val="null3"/>
            </w:pPr>
            <w:r>
              <w:rPr>
                <w:rFonts w:ascii="仿宋_GB2312" w:hAnsi="仿宋_GB2312" w:cs="仿宋_GB2312" w:eastAsia="仿宋_GB2312"/>
              </w:rPr>
              <w:t>供应商需提供法定代表⼈授权书（附法定代表⼈⾝份证复印件）及被授权⼈⾝份证复印件（法定 代表⼈直接参加投标只须提供法定代表⼈⾝份证复印件）。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供应商具有建设⾏政主管部⻔核发的建筑⼯程施⼯总承包三级及以上资质，且具备合格有效的安全⽣产许可证；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拟派项⽬负责⼈资质及专业要求</w:t>
            </w:r>
          </w:p>
        </w:tc>
        <w:tc>
          <w:tcPr>
            <w:tcW w:type="dxa" w:w="3322"/>
          </w:tcPr>
          <w:p>
            <w:pPr>
              <w:pStyle w:val="null3"/>
            </w:pPr>
            <w:r>
              <w:rPr>
                <w:rFonts w:ascii="仿宋_GB2312" w:hAnsi="仿宋_GB2312" w:cs="仿宋_GB2312" w:eastAsia="仿宋_GB2312"/>
              </w:rPr>
              <w:t>拟派项⽬经理具备建筑⼯程专业⼆级及以上注册建造师及安全⽣产考核合格证（建安 B 证），⽆在建⼯程承诺书；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 依法缴纳税收和社会保障⾦的良好记录，以及参加本项⽬采购活动前三年内⽆重⼤违法活动记录 ，供应商应按照汉中市财政局《关于全⾯推⾏政府采购供应商基本资格条件承诺制的通知》（汉 采办采管〔2024〕20号）⽂件要求，提供资格承诺函，供应商需在项⽬电⼦化交易系统中按要 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本项⽬不接受联合体</w:t>
            </w:r>
          </w:p>
        </w:tc>
        <w:tc>
          <w:tcPr>
            <w:tcW w:type="dxa" w:w="3322"/>
          </w:tcPr>
          <w:p>
            <w:pPr>
              <w:pStyle w:val="null3"/>
            </w:pPr>
            <w:r>
              <w:rPr>
                <w:rFonts w:ascii="仿宋_GB2312" w:hAnsi="仿宋_GB2312" w:cs="仿宋_GB2312" w:eastAsia="仿宋_GB2312"/>
              </w:rPr>
              <w:t>提供⾮联合体声明磋商承诺。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按磋商文件要求报价，不得提交选择性报价，且每轮报价不超过最高限价。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⼀、评审内容：响应⼈提供本项⽬施⼯⽅案， 包括①施⼯⽅法（⼯艺) ②施⼯组织和施⼯程序③现场平⾯布置④技术组织措施。 ⼆、赋分标准： 1 、完整性：⽅案内容完整全⾯，对上述各项内容均有描述， 得2分；缺1项， 得1 .5分；缺2项， 得1分；缺3项， 得0 .5分；不提供不得分。 2 、针对性：针对性强， 得3分；每有⼀处缺陷的扣0 .5分。3 、可实施性：可实施性强， 得3分 ；每有⼀处缺陷的扣0 .5分。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⼀、评审内容：响应⼈提供本项⽬施⼯进度计划， 包括①施⼯进度⽬标和施⼯总进度计划表/图②分部分项 ⼯期⼀览表③重要⼯程的验收、检验的次序和时间。 ⼆、赋分标准 ： 1、完整性：⽅案内容完整全⾯ , 对上述各项内容均有描述， 得1分；缺1项， 得0 .7分；缺2 项， 得0.4分；不提供不得分。 2、针对性：针对性强， 得1分；每有⼀处缺陷的扣0.2分。 3、可实施性 ：可实施性强， 得1分；每有⼀处缺陷的扣0.2分。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 包括①施工组织与管理保证措施②施工技术措施。 二 、赋分标准： 1、完整性：方案内容完整全面， 对上述各项内容均有描述 , 得1分；缺1项，得0 .5分； 不提供不得分。 2、针对性：针对性强， 得1分；每有一处缺陷的扣0 .5分。3、可实施性：可实施性强 , 得1分；每有一处缺陷的扣0 .5分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 包括①工程质量目标②施工质量保证措施③施工质量管理与控制方案。 二、赋分标准： 1、完整性：方案内容完整全面， 对上述各项内容均有描述， 得1分 ；缺1项， 得0 .7分；缺2 项， 得0 . 4分；不提供不得分 。 2、针对性 ：针对性强， 得2分；每有一处缺陷的扣0 .5分。 3、可实施性：可实施性强， 得2分；每有一处缺陷的扣0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⼀、评审内容：响应⼈提供本项⽬安全技术措施， 包括①安全管理制度②安全责任归属划分③安全标识 ：安全警戒标语、施⼯⼈员安全警⽰服和安全帽穿配要求④安全教育培训。⼆、赋分标准： 1、完整性 ：⽅案内容完整全⾯， 对上述各项内容均有描述， 得 2 分；缺1 项，得 1.5 分；缺 2 项， 得 1 分；缺 3 项， 得 0.5 分；不提供不得分。 2、针对性：针对性强， 得 2分； 每有⼀处缺陷的扣0 .5分。 3、可实施性：可实施性强， 得 2分；每有⼀处缺陷的扣0 .5分。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 包括①成品保护措施和制度②施工现场的临时管理措施③文明施工保障措施④文物保护措施。 二、赋分标准： 1、完整性 ：方案内容完整全面， 对上述各项内容均有描述， 得 1 分；缺 1 项 , 得0.5 分；缺 2 项， 得0.3分；缺 3 项， 得 0.1 分；不提供不得分。 2、针对性：针对性强， 得 1分； 每有一处缺陷的扣0 .3分。 3、可实施性：可实施性强， 得 1 分；每有一处缺陷的扣0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 包括①环境保护管理体系②环保控制措施：污染物及废弃物的处理措施、噪音控制措施 、防尘及扬尘的控制措施。 二、赋分标准： 1、完整性：方案内容完整全面， 对上述各项内容均有描述 , 得 1 分；缺 1 项， 得0 .5 分；不提供不得分。 2、针对性：针对性强， 得 1 分；每有一处缺陷的扣0 . 5分。3、可实施性：可实施性强 , 得 1 分；每有一处缺陷的扣0 .5分。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 包括①新技术和新工艺的应用情况②新产品和新材料的应用情况。 二、赋分标准： 1、完整性：方案内容完整全面， 对上述各项内容均有描述， 得 1 分；缺 1 项， 得 0.5 分；不提供不得分。 2、针对性：针对性强 , 得 1分； 每有一处缺陷的扣0 .5分。 3、可实施性：可实施性强， 得 1 分；每有一处缺陷的扣0 .5分。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 包括①拟投入的主要施工机械设备计划②主要材料进场计划③劳动力投入计划。 二、 赋分标准： 1、完整性：方案内容完整全面， 对上述各项内容均有描述， 得 1 分；缺 1 项， 得 0.7 分 ；缺 2 项， 得 0.4 分；不提供不 得分。 2、针对性：针对性强， 得1 分；每有一处缺陷的扣0 .3分。 3 、可实施性：可实施性强， 得 1分 ；每有一处缺陷的扣0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 包括①施工重难点分析②重难点解决方案。 二、赋分标准： 1、完整性：方案内容完整全面， 对上述各项内容均有描述， 得1分；缺 1项， 得0.5分；不提供不得分。 2、针对性：针对性强， 得1 分；每有一处缺陷的扣0 .3分。3 、可实施性：可实施性强， 得 1 分 ；每有一处缺陷的扣0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 包括①工程保修期②维护次数和维修费用③维修人员配备和服务措施④响应时间。 二、赋分标准： 1、完整性：方案内容完整全面 , 对上述各项内容均有描述 , 得 1 分；缺 1 项， 得 0.5 分； 缺 2 项， 得 0.3 分；缺 3项， 得 0. 1分；不提供不得分。 2、针对性 ：针对性强， 得 1 分；每有一处缺陷的扣0 .3分。 3、可实施性：可实施性强， 得 1 分；每有一处缺陷的扣0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项目部人员组织机构</w:t>
            </w:r>
          </w:p>
        </w:tc>
        <w:tc>
          <w:tcPr>
            <w:tcW w:type="dxa" w:w="2492"/>
          </w:tcPr>
          <w:p>
            <w:pPr>
              <w:pStyle w:val="null3"/>
            </w:pPr>
            <w:r>
              <w:rPr>
                <w:rFonts w:ascii="仿宋_GB2312" w:hAnsi="仿宋_GB2312" w:cs="仿宋_GB2312" w:eastAsia="仿宋_GB2312"/>
              </w:rPr>
              <w:t>针对本项目提供实施具体人员配置清单(技术负责人、施工员、质量员、安全员、材料员、资料员)，包含:具体成员身份证、岗位证书(技术负责人提供中级及以上职称证书、安全员提供安全C证)。每人2分，提供不齐扣1分，不提供不得分。 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提供2023年1月1日以来类似项目业绩， 每提供一个得1分， 最高3分 , 没有不得分。 注 ：业绩以成交 (中标）通知书或施工合同（以合同签订日期为准）扫描件为准。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针对本项⽬特点提供切实可⾏的施⼯安全承诺、⽂明施⼯承诺、施⼯质量保证承诺、⼯期保证承诺、三年售后保证承诺。 每提供⼀项承诺得2分，满分10分。未提供此项内容不得分。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具有类似工程管理经验（2023年⾄今担任过类似工程项⽬的项⽬负责⼈），每有⼀项得1分，最⾼得2分，不提供的不得分； 评审依据：项⽬负责⼈业绩以成交 (中标）通知书或施工合同（以合同签订日期为准）扫描件为准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 即报价大于上限价视为报价无效； 2.按照财政部《政府采购 竞争性磋商采购方式管理暂行办法》（财库[201 4]214号）的有关规定：价格分采用低价 优先法计算， 即满足竞争性磋商文件要求且最后报价最低的供应商的价格为磋商基准价， 其价格分为满分。其他供应商的价格分统一按照下列公式计算： 磋商报价得分=（磋商基 准价/最终磋商报价）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