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344495">
      <w:pPr>
        <w:jc w:val="center"/>
        <w:rPr>
          <w:rFonts w:hint="eastAsia"/>
          <w:b/>
          <w:bCs/>
          <w:sz w:val="32"/>
          <w:szCs w:val="40"/>
          <w:lang w:val="en-US" w:eastAsia="zh-CN"/>
        </w:rPr>
      </w:pPr>
      <w:r>
        <w:rPr>
          <w:rFonts w:hint="eastAsia"/>
          <w:b/>
          <w:bCs/>
          <w:sz w:val="32"/>
          <w:szCs w:val="40"/>
        </w:rPr>
        <w:t>鄠邑区机关物业服务管理项目</w:t>
      </w:r>
      <w:r>
        <w:rPr>
          <w:rFonts w:hint="eastAsia"/>
          <w:b/>
          <w:bCs/>
          <w:sz w:val="32"/>
          <w:szCs w:val="40"/>
          <w:lang w:val="en-US" w:eastAsia="zh-CN"/>
        </w:rPr>
        <w:t>采购内容及要求</w:t>
      </w:r>
    </w:p>
    <w:p w14:paraId="1D8358B7">
      <w:pPr>
        <w:jc w:val="center"/>
        <w:rPr>
          <w:rFonts w:hint="eastAsia"/>
          <w:b/>
          <w:bCs/>
          <w:sz w:val="32"/>
          <w:szCs w:val="40"/>
          <w:lang w:val="en-US" w:eastAsia="zh-CN"/>
        </w:rPr>
      </w:pPr>
    </w:p>
    <w:p w14:paraId="6387153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b/>
          <w:bCs/>
          <w:sz w:val="24"/>
          <w:szCs w:val="24"/>
        </w:rPr>
      </w:pPr>
      <w:r>
        <w:rPr>
          <w:rFonts w:hint="eastAsia" w:ascii="宋体" w:hAnsi="宋体" w:eastAsia="宋体" w:cs="宋体"/>
          <w:b/>
          <w:bCs/>
          <w:color w:val="000000"/>
          <w:kern w:val="0"/>
          <w:sz w:val="24"/>
          <w:szCs w:val="24"/>
          <w:lang w:val="en-US" w:eastAsia="zh-CN" w:bidi="ar"/>
        </w:rPr>
        <w:t xml:space="preserve">一、项目概况 </w:t>
      </w:r>
    </w:p>
    <w:p w14:paraId="4723C83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该项目为西安市鄠邑区机关事务服务中心现管理的集中办公区域的物业服务，分别是机关大院（区委区政府大院）、机关南院（信访局大院）、机关西院（原甘亭工商所）、新农投大厦、会议中心5个地点的秩序维护、环境保洁、日常维修、绿化养护、会议服务、会议设备保障等物业服务保障工作。</w:t>
      </w:r>
      <w:r>
        <w:rPr>
          <w:rFonts w:hint="eastAsia" w:ascii="宋体" w:hAnsi="宋体" w:eastAsia="宋体" w:cs="宋体"/>
          <w:b w:val="0"/>
          <w:bCs w:val="0"/>
          <w:color w:val="000000"/>
          <w:kern w:val="0"/>
          <w:sz w:val="24"/>
          <w:szCs w:val="24"/>
          <w:lang w:val="en-US" w:eastAsia="zh-CN" w:bidi="ar"/>
        </w:rPr>
        <w:t>拟配备最低</w:t>
      </w:r>
      <w:r>
        <w:rPr>
          <w:rFonts w:hint="eastAsia" w:ascii="宋体" w:hAnsi="宋体" w:cs="宋体"/>
          <w:b w:val="0"/>
          <w:bCs w:val="0"/>
          <w:color w:val="000000"/>
          <w:kern w:val="0"/>
          <w:sz w:val="24"/>
          <w:szCs w:val="24"/>
          <w:lang w:val="en-US" w:eastAsia="zh-CN" w:bidi="ar"/>
        </w:rPr>
        <w:t>总</w:t>
      </w:r>
      <w:r>
        <w:rPr>
          <w:rFonts w:hint="eastAsia" w:ascii="宋体" w:hAnsi="宋体" w:eastAsia="宋体" w:cs="宋体"/>
          <w:b w:val="0"/>
          <w:bCs w:val="0"/>
          <w:color w:val="000000"/>
          <w:kern w:val="0"/>
          <w:sz w:val="24"/>
          <w:szCs w:val="24"/>
          <w:lang w:val="en-US" w:eastAsia="zh-CN" w:bidi="ar"/>
        </w:rPr>
        <w:t>人数</w:t>
      </w:r>
      <w:r>
        <w:rPr>
          <w:rFonts w:hint="eastAsia" w:ascii="宋体" w:hAnsi="宋体" w:cs="宋体"/>
          <w:b w:val="0"/>
          <w:bCs w:val="0"/>
          <w:color w:val="000000"/>
          <w:kern w:val="0"/>
          <w:sz w:val="24"/>
          <w:szCs w:val="24"/>
          <w:lang w:val="en-US" w:eastAsia="zh-CN" w:bidi="ar"/>
        </w:rPr>
        <w:t>不少于57人。</w:t>
      </w:r>
    </w:p>
    <w:p w14:paraId="7428727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4"/>
          <w:szCs w:val="24"/>
        </w:rPr>
      </w:pPr>
      <w:r>
        <w:rPr>
          <w:rFonts w:hint="eastAsia" w:ascii="宋体" w:hAnsi="宋体" w:eastAsia="宋体" w:cs="宋体"/>
          <w:b/>
          <w:bCs/>
          <w:color w:val="000000"/>
          <w:kern w:val="0"/>
          <w:sz w:val="24"/>
          <w:szCs w:val="24"/>
          <w:lang w:val="en-US" w:eastAsia="zh-CN" w:bidi="ar"/>
        </w:rPr>
        <w:t xml:space="preserve">二、服务要求 </w:t>
      </w:r>
    </w:p>
    <w:p w14:paraId="60E26FE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服务内容：4个集中办公区和1个会议中心的物业服务和保障。提供公共区域环境卫生、垃圾分类、秩序维护、区域内的日常维修、专用设施设备的维护和管理、绿化养护和美化、会议服务与保障等物业服务保障工作。 </w:t>
      </w:r>
    </w:p>
    <w:p w14:paraId="79E8C4D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color w:val="000000"/>
          <w:kern w:val="0"/>
          <w:sz w:val="24"/>
          <w:szCs w:val="24"/>
          <w:lang w:val="en-US" w:eastAsia="zh-CN" w:bidi="ar"/>
        </w:rPr>
        <w:t xml:space="preserve">要求 </w:t>
      </w:r>
      <w:r>
        <w:rPr>
          <w:rFonts w:hint="eastAsia" w:ascii="宋体" w:hAnsi="宋体" w:cs="宋体"/>
          <w:b w:val="0"/>
          <w:bCs w:val="0"/>
          <w:color w:val="000000"/>
          <w:kern w:val="0"/>
          <w:sz w:val="24"/>
          <w:szCs w:val="24"/>
          <w:lang w:val="en-US" w:eastAsia="zh-CN" w:bidi="ar"/>
        </w:rPr>
        <w:t>：</w:t>
      </w:r>
    </w:p>
    <w:p w14:paraId="4DB4023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1、服务周期：本项目服务期为 1 年。 </w:t>
      </w:r>
    </w:p>
    <w:p w14:paraId="776F148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2、服务期满后，采购人根据中标供应商服务情况进行考核，满意后续约，每次可以签订履行期限不超过 2 年的服务合同。 </w:t>
      </w:r>
    </w:p>
    <w:p w14:paraId="2FEF8A0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3、项目实施地点：鄠邑区机关事务服务中心现管理机关大院、机关南院、机关西院、新农投大厦、会议中心5 个物业服务区域。 </w:t>
      </w:r>
    </w:p>
    <w:p w14:paraId="69ACF8E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4、付款条件： </w:t>
      </w:r>
    </w:p>
    <w:p w14:paraId="585965B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合同金额以中标价为准，根据财政资金安排，平均到每月按月结合考核情况支付。</w:t>
      </w:r>
    </w:p>
    <w:p w14:paraId="35899D4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5、业情况</w:t>
      </w:r>
    </w:p>
    <w:p w14:paraId="7A3EF546">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物业类型：</w:t>
      </w:r>
      <w:r>
        <w:rPr>
          <w:rFonts w:hint="eastAsia" w:ascii="宋体" w:hAnsi="宋体" w:eastAsia="宋体" w:cs="宋体"/>
          <w:sz w:val="24"/>
          <w:szCs w:val="24"/>
          <w:lang w:val="en-US" w:eastAsia="zh-CN"/>
        </w:rPr>
        <w:t>办公楼</w:t>
      </w:r>
    </w:p>
    <w:p w14:paraId="4EFBC35E">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5.1、</w:t>
      </w:r>
      <w:r>
        <w:rPr>
          <w:rFonts w:hint="eastAsia" w:ascii="宋体" w:hAnsi="宋体" w:eastAsia="宋体" w:cs="宋体"/>
          <w:color w:val="000000"/>
          <w:kern w:val="0"/>
          <w:sz w:val="24"/>
          <w:szCs w:val="24"/>
          <w:lang w:val="en-US" w:eastAsia="zh-CN" w:bidi="ar"/>
        </w:rPr>
        <w:t>机关大院（区委区政府大院）</w:t>
      </w:r>
      <w:r>
        <w:rPr>
          <w:rFonts w:hint="eastAsia" w:ascii="宋体" w:hAnsi="宋体" w:eastAsia="宋体" w:cs="宋体"/>
          <w:sz w:val="24"/>
          <w:szCs w:val="24"/>
        </w:rPr>
        <w:t>座落位置：西安市鄠邑区东街7号，占地面积：23554平方米，建筑面积：25042.38平方米。</w:t>
      </w:r>
    </w:p>
    <w:p w14:paraId="1383B2E3">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5.2、农投大厦</w:t>
      </w:r>
      <w:r>
        <w:rPr>
          <w:rFonts w:hint="eastAsia" w:ascii="宋体" w:hAnsi="宋体" w:eastAsia="宋体" w:cs="宋体"/>
          <w:sz w:val="24"/>
          <w:szCs w:val="24"/>
        </w:rPr>
        <w:t>座落位置：</w:t>
      </w:r>
      <w:r>
        <w:rPr>
          <w:rFonts w:ascii="Arial" w:hAnsi="Arial" w:eastAsia="Arial" w:cs="Arial"/>
          <w:i w:val="0"/>
          <w:iCs w:val="0"/>
          <w:caps w:val="0"/>
          <w:color w:val="333333"/>
          <w:spacing w:val="0"/>
          <w:sz w:val="24"/>
          <w:szCs w:val="24"/>
          <w:shd w:val="clear" w:color="auto" w:fill="FFFFFF"/>
        </w:rPr>
        <w:t>西安市鄠邑区甘亭街道人民路</w:t>
      </w:r>
      <w:r>
        <w:rPr>
          <w:rFonts w:hint="eastAsia" w:ascii="宋体" w:hAnsi="宋体" w:eastAsia="宋体" w:cs="宋体"/>
          <w:sz w:val="24"/>
          <w:szCs w:val="24"/>
        </w:rPr>
        <w:t>，占地面积：4675.2平方米，建筑面积：16920平方米。</w:t>
      </w:r>
    </w:p>
    <w:p w14:paraId="2EDFAF5C">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5.3、</w:t>
      </w:r>
      <w:r>
        <w:rPr>
          <w:rFonts w:hint="eastAsia" w:ascii="宋体" w:hAnsi="宋体" w:eastAsia="宋体" w:cs="宋体"/>
          <w:color w:val="000000"/>
          <w:kern w:val="0"/>
          <w:sz w:val="24"/>
          <w:szCs w:val="24"/>
          <w:lang w:val="en-US" w:eastAsia="zh-CN" w:bidi="ar"/>
        </w:rPr>
        <w:t>机关南院（信访局大院）</w:t>
      </w:r>
      <w:r>
        <w:rPr>
          <w:rFonts w:hint="eastAsia" w:ascii="宋体" w:hAnsi="宋体" w:eastAsia="宋体" w:cs="宋体"/>
          <w:sz w:val="24"/>
          <w:szCs w:val="24"/>
        </w:rPr>
        <w:t>座落位置：陕西省西安市鄠邑区甘亭街道府兴巷6号，占地面积：2680.396平方米，建筑面积：1286.38平方米。</w:t>
      </w:r>
    </w:p>
    <w:p w14:paraId="2885EE72">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5.4、</w:t>
      </w:r>
      <w:r>
        <w:rPr>
          <w:rFonts w:hint="eastAsia" w:ascii="宋体" w:hAnsi="宋体" w:eastAsia="宋体" w:cs="宋体"/>
          <w:color w:val="000000"/>
          <w:kern w:val="0"/>
          <w:sz w:val="24"/>
          <w:szCs w:val="24"/>
          <w:lang w:val="en-US" w:eastAsia="zh-CN" w:bidi="ar"/>
        </w:rPr>
        <w:t>机关西院（原甘亭工商所）</w:t>
      </w:r>
      <w:r>
        <w:rPr>
          <w:rFonts w:hint="eastAsia" w:ascii="宋体" w:hAnsi="宋体" w:eastAsia="宋体" w:cs="宋体"/>
          <w:sz w:val="24"/>
          <w:szCs w:val="24"/>
        </w:rPr>
        <w:t>座落位置：陕西省西安市鄠邑区北街11号，占地面积：769.5平方米，建筑面积：1433.3平方米</w:t>
      </w:r>
    </w:p>
    <w:p w14:paraId="248AB520">
      <w:pPr>
        <w:keepNext w:val="0"/>
        <w:keepLines w:val="0"/>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5.5、会议中心</w:t>
      </w:r>
      <w:r>
        <w:rPr>
          <w:rFonts w:hint="eastAsia" w:ascii="宋体" w:hAnsi="宋体" w:eastAsia="宋体" w:cs="宋体"/>
          <w:sz w:val="24"/>
          <w:szCs w:val="24"/>
        </w:rPr>
        <w:t>座落位置：西安市鄠邑区东街7号，建筑面积：4809.5平方米。</w:t>
      </w:r>
    </w:p>
    <w:p w14:paraId="7181BDE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both"/>
        <w:textAlignment w:val="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6、人员配置要求</w:t>
      </w:r>
    </w:p>
    <w:tbl>
      <w:tblPr>
        <w:tblStyle w:val="6"/>
        <w:tblW w:w="962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46"/>
        <w:gridCol w:w="2145"/>
        <w:gridCol w:w="1158"/>
        <w:gridCol w:w="1899"/>
        <w:gridCol w:w="2873"/>
      </w:tblGrid>
      <w:tr w14:paraId="00192F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jc w:val="center"/>
        </w:trPr>
        <w:tc>
          <w:tcPr>
            <w:tcW w:w="1546" w:type="dxa"/>
            <w:tcBorders>
              <w:bottom w:val="single" w:color="auto" w:sz="4" w:space="0"/>
            </w:tcBorders>
            <w:vAlign w:val="center"/>
          </w:tcPr>
          <w:p w14:paraId="054D0AA9">
            <w:pPr>
              <w:keepNext w:val="0"/>
              <w:keepLines w:val="0"/>
              <w:pageBreakBefore w:val="0"/>
              <w:widowControl w:val="0"/>
              <w:kinsoku/>
              <w:wordWrap/>
              <w:overflowPunct/>
              <w:topLinePunct w:val="0"/>
              <w:autoSpaceDE/>
              <w:autoSpaceDN/>
              <w:bidi w:val="0"/>
              <w:adjustRightInd/>
              <w:snapToGrid/>
              <w:spacing w:line="186" w:lineRule="auto"/>
              <w:ind w:left="0"/>
              <w:jc w:val="center"/>
              <w:textAlignment w:val="auto"/>
              <w:rPr>
                <w:rFonts w:hint="eastAsia" w:ascii="宋体" w:hAnsi="宋体" w:eastAsia="宋体" w:cs="宋体"/>
                <w:sz w:val="24"/>
                <w:szCs w:val="24"/>
              </w:rPr>
            </w:pPr>
            <w:r>
              <w:rPr>
                <w:rFonts w:hint="eastAsia" w:ascii="宋体" w:hAnsi="宋体" w:eastAsia="宋体" w:cs="宋体"/>
                <w:b/>
                <w:bCs/>
                <w:spacing w:val="-1"/>
                <w:sz w:val="24"/>
                <w:szCs w:val="24"/>
              </w:rPr>
              <w:t>部门职能</w:t>
            </w:r>
          </w:p>
        </w:tc>
        <w:tc>
          <w:tcPr>
            <w:tcW w:w="2145" w:type="dxa"/>
            <w:tcBorders>
              <w:bottom w:val="single" w:color="auto" w:sz="4" w:space="0"/>
            </w:tcBorders>
            <w:vAlign w:val="center"/>
          </w:tcPr>
          <w:p w14:paraId="442A87B4">
            <w:pPr>
              <w:keepNext w:val="0"/>
              <w:keepLines w:val="0"/>
              <w:pageBreakBefore w:val="0"/>
              <w:widowControl w:val="0"/>
              <w:kinsoku/>
              <w:wordWrap/>
              <w:overflowPunct/>
              <w:topLinePunct w:val="0"/>
              <w:autoSpaceDE/>
              <w:autoSpaceDN/>
              <w:bidi w:val="0"/>
              <w:adjustRightInd/>
              <w:snapToGrid/>
              <w:spacing w:line="186" w:lineRule="auto"/>
              <w:ind w:left="0"/>
              <w:jc w:val="center"/>
              <w:textAlignment w:val="auto"/>
              <w:rPr>
                <w:rFonts w:hint="eastAsia" w:ascii="宋体" w:hAnsi="宋体" w:eastAsia="宋体" w:cs="宋体"/>
                <w:sz w:val="24"/>
                <w:szCs w:val="24"/>
              </w:rPr>
            </w:pPr>
            <w:r>
              <w:rPr>
                <w:rFonts w:hint="eastAsia" w:ascii="宋体" w:hAnsi="宋体" w:eastAsia="宋体" w:cs="宋体"/>
                <w:b/>
                <w:bCs/>
                <w:spacing w:val="-4"/>
                <w:sz w:val="24"/>
                <w:szCs w:val="24"/>
              </w:rPr>
              <w:t>岗位</w:t>
            </w:r>
          </w:p>
        </w:tc>
        <w:tc>
          <w:tcPr>
            <w:tcW w:w="1158" w:type="dxa"/>
            <w:tcBorders>
              <w:bottom w:val="single" w:color="auto" w:sz="4" w:space="0"/>
            </w:tcBorders>
            <w:vAlign w:val="center"/>
          </w:tcPr>
          <w:p w14:paraId="4D8DCFCB">
            <w:pPr>
              <w:keepNext w:val="0"/>
              <w:keepLines w:val="0"/>
              <w:pageBreakBefore w:val="0"/>
              <w:widowControl w:val="0"/>
              <w:kinsoku/>
              <w:wordWrap/>
              <w:overflowPunct/>
              <w:topLinePunct w:val="0"/>
              <w:autoSpaceDE/>
              <w:autoSpaceDN/>
              <w:bidi w:val="0"/>
              <w:adjustRightInd/>
              <w:snapToGrid/>
              <w:spacing w:line="186" w:lineRule="auto"/>
              <w:ind w:left="0"/>
              <w:jc w:val="center"/>
              <w:textAlignment w:val="auto"/>
              <w:rPr>
                <w:rFonts w:hint="eastAsia" w:ascii="宋体" w:hAnsi="宋体" w:eastAsia="宋体" w:cs="宋体"/>
                <w:sz w:val="24"/>
                <w:szCs w:val="24"/>
              </w:rPr>
            </w:pPr>
            <w:r>
              <w:rPr>
                <w:rFonts w:hint="eastAsia" w:ascii="宋体" w:hAnsi="宋体" w:eastAsia="宋体" w:cs="宋体"/>
                <w:b/>
                <w:bCs/>
                <w:spacing w:val="-2"/>
                <w:sz w:val="24"/>
                <w:szCs w:val="24"/>
              </w:rPr>
              <w:t>同时在岗人数</w:t>
            </w:r>
          </w:p>
        </w:tc>
        <w:tc>
          <w:tcPr>
            <w:tcW w:w="1899" w:type="dxa"/>
            <w:tcBorders>
              <w:bottom w:val="single" w:color="auto" w:sz="4" w:space="0"/>
            </w:tcBorders>
            <w:vAlign w:val="center"/>
          </w:tcPr>
          <w:p w14:paraId="7790FCD8">
            <w:pPr>
              <w:keepNext w:val="0"/>
              <w:keepLines w:val="0"/>
              <w:pageBreakBefore w:val="0"/>
              <w:widowControl w:val="0"/>
              <w:kinsoku/>
              <w:wordWrap/>
              <w:overflowPunct/>
              <w:topLinePunct w:val="0"/>
              <w:autoSpaceDE/>
              <w:autoSpaceDN/>
              <w:bidi w:val="0"/>
              <w:adjustRightInd/>
              <w:snapToGrid/>
              <w:spacing w:line="186" w:lineRule="auto"/>
              <w:ind w:left="0"/>
              <w:jc w:val="center"/>
              <w:textAlignment w:val="auto"/>
              <w:rPr>
                <w:rFonts w:hint="eastAsia" w:ascii="宋体" w:hAnsi="宋体" w:eastAsia="宋体" w:cs="宋体"/>
                <w:sz w:val="24"/>
                <w:szCs w:val="24"/>
              </w:rPr>
            </w:pPr>
            <w:r>
              <w:rPr>
                <w:rFonts w:hint="eastAsia" w:ascii="宋体" w:hAnsi="宋体" w:eastAsia="宋体" w:cs="宋体"/>
                <w:b/>
                <w:bCs/>
                <w:spacing w:val="-2"/>
                <w:sz w:val="24"/>
                <w:szCs w:val="24"/>
              </w:rPr>
              <w:t>岗位所需总人数</w:t>
            </w:r>
          </w:p>
        </w:tc>
        <w:tc>
          <w:tcPr>
            <w:tcW w:w="2873" w:type="dxa"/>
            <w:tcBorders>
              <w:bottom w:val="single" w:color="auto" w:sz="4" w:space="0"/>
            </w:tcBorders>
            <w:vAlign w:val="center"/>
          </w:tcPr>
          <w:p w14:paraId="0D695A69">
            <w:pPr>
              <w:keepNext w:val="0"/>
              <w:keepLines w:val="0"/>
              <w:pageBreakBefore w:val="0"/>
              <w:widowControl w:val="0"/>
              <w:kinsoku/>
              <w:wordWrap/>
              <w:overflowPunct/>
              <w:topLinePunct w:val="0"/>
              <w:autoSpaceDE/>
              <w:autoSpaceDN/>
              <w:bidi w:val="0"/>
              <w:adjustRightInd/>
              <w:snapToGrid/>
              <w:spacing w:line="180" w:lineRule="auto"/>
              <w:ind w:left="0"/>
              <w:jc w:val="center"/>
              <w:textAlignment w:val="auto"/>
              <w:rPr>
                <w:rFonts w:hint="eastAsia" w:ascii="宋体" w:hAnsi="宋体" w:eastAsia="宋体" w:cs="宋体"/>
                <w:sz w:val="24"/>
                <w:szCs w:val="24"/>
              </w:rPr>
            </w:pPr>
            <w:r>
              <w:rPr>
                <w:rFonts w:hint="eastAsia" w:ascii="宋体" w:hAnsi="宋体" w:eastAsia="宋体" w:cs="宋体"/>
                <w:b/>
                <w:bCs/>
                <w:spacing w:val="-3"/>
                <w:sz w:val="24"/>
                <w:szCs w:val="24"/>
              </w:rPr>
              <w:t>备注（岗位所需服务时长或时段、需具备的上岗资格证、</w:t>
            </w:r>
          </w:p>
          <w:p w14:paraId="17F309D8">
            <w:pPr>
              <w:keepNext w:val="0"/>
              <w:keepLines w:val="0"/>
              <w:pageBreakBefore w:val="0"/>
              <w:widowControl w:val="0"/>
              <w:kinsoku/>
              <w:wordWrap/>
              <w:overflowPunct/>
              <w:topLinePunct w:val="0"/>
              <w:autoSpaceDE/>
              <w:autoSpaceDN/>
              <w:bidi w:val="0"/>
              <w:adjustRightInd/>
              <w:snapToGrid/>
              <w:spacing w:line="181" w:lineRule="auto"/>
              <w:ind w:left="0"/>
              <w:jc w:val="center"/>
              <w:textAlignment w:val="auto"/>
              <w:rPr>
                <w:rFonts w:hint="eastAsia" w:ascii="宋体" w:hAnsi="宋体" w:eastAsia="宋体" w:cs="宋体"/>
                <w:sz w:val="24"/>
                <w:szCs w:val="24"/>
              </w:rPr>
            </w:pPr>
            <w:r>
              <w:rPr>
                <w:rFonts w:hint="eastAsia" w:ascii="宋体" w:hAnsi="宋体" w:eastAsia="宋体" w:cs="宋体"/>
                <w:b/>
                <w:bCs/>
                <w:spacing w:val="1"/>
                <w:sz w:val="24"/>
                <w:szCs w:val="24"/>
              </w:rPr>
              <w:t>人员学历、工作经验等要求）</w:t>
            </w:r>
          </w:p>
        </w:tc>
      </w:tr>
      <w:tr w14:paraId="4679C4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jc w:val="center"/>
        </w:trPr>
        <w:tc>
          <w:tcPr>
            <w:tcW w:w="1546" w:type="dxa"/>
            <w:vMerge w:val="restart"/>
            <w:tcBorders>
              <w:top w:val="single" w:color="auto" w:sz="4" w:space="0"/>
              <w:left w:val="single" w:color="auto" w:sz="4" w:space="0"/>
              <w:right w:val="single" w:color="auto" w:sz="4" w:space="0"/>
            </w:tcBorders>
            <w:vAlign w:val="center"/>
          </w:tcPr>
          <w:p w14:paraId="33E555DD">
            <w:pPr>
              <w:pStyle w:val="7"/>
              <w:spacing w:before="89" w:line="221" w:lineRule="auto"/>
              <w:ind w:left="116"/>
              <w:jc w:val="center"/>
              <w:rPr>
                <w:rFonts w:hint="eastAsia" w:ascii="宋体" w:hAnsi="宋体" w:eastAsia="宋体" w:cs="宋体"/>
                <w:sz w:val="24"/>
                <w:szCs w:val="24"/>
              </w:rPr>
            </w:pPr>
            <w:r>
              <w:rPr>
                <w:rFonts w:hint="eastAsia" w:ascii="宋体" w:hAnsi="宋体" w:eastAsia="宋体" w:cs="宋体"/>
                <w:spacing w:val="-2"/>
                <w:sz w:val="24"/>
                <w:szCs w:val="24"/>
              </w:rPr>
              <w:t>服务中心</w:t>
            </w:r>
          </w:p>
        </w:tc>
        <w:tc>
          <w:tcPr>
            <w:tcW w:w="2145" w:type="dxa"/>
            <w:tcBorders>
              <w:top w:val="single" w:color="auto" w:sz="4" w:space="0"/>
              <w:left w:val="single" w:color="auto" w:sz="4" w:space="0"/>
              <w:bottom w:val="single" w:color="auto" w:sz="4" w:space="0"/>
              <w:right w:val="single" w:color="auto" w:sz="4" w:space="0"/>
            </w:tcBorders>
            <w:vAlign w:val="top"/>
          </w:tcPr>
          <w:p w14:paraId="73D0663C">
            <w:pPr>
              <w:pStyle w:val="7"/>
              <w:spacing w:before="89" w:line="221" w:lineRule="auto"/>
              <w:ind w:left="112"/>
              <w:rPr>
                <w:rFonts w:hint="eastAsia" w:ascii="宋体" w:hAnsi="宋体" w:eastAsia="宋体" w:cs="宋体"/>
                <w:sz w:val="24"/>
                <w:szCs w:val="24"/>
              </w:rPr>
            </w:pPr>
            <w:r>
              <w:rPr>
                <w:rFonts w:hint="eastAsia" w:ascii="宋体" w:hAnsi="宋体" w:eastAsia="宋体" w:cs="宋体"/>
                <w:spacing w:val="-3"/>
                <w:sz w:val="24"/>
                <w:szCs w:val="24"/>
              </w:rPr>
              <w:t>项目经理</w:t>
            </w:r>
          </w:p>
        </w:tc>
        <w:tc>
          <w:tcPr>
            <w:tcW w:w="1158" w:type="dxa"/>
            <w:tcBorders>
              <w:top w:val="single" w:color="auto" w:sz="4" w:space="0"/>
              <w:left w:val="single" w:color="auto" w:sz="4" w:space="0"/>
              <w:bottom w:val="single" w:color="auto" w:sz="4" w:space="0"/>
              <w:right w:val="single" w:color="auto" w:sz="4" w:space="0"/>
            </w:tcBorders>
            <w:vAlign w:val="center"/>
          </w:tcPr>
          <w:p w14:paraId="58BEC94D">
            <w:pPr>
              <w:keepNext w:val="0"/>
              <w:keepLines w:val="0"/>
              <w:pageBreakBefore w:val="0"/>
              <w:widowControl w:val="0"/>
              <w:kinsoku/>
              <w:wordWrap/>
              <w:overflowPunct/>
              <w:topLinePunct w:val="0"/>
              <w:autoSpaceDE/>
              <w:autoSpaceDN/>
              <w:bidi w:val="0"/>
              <w:adjustRightInd/>
              <w:snapToGrid/>
              <w:spacing w:line="268" w:lineRule="exact"/>
              <w:ind w:left="0"/>
              <w:jc w:val="center"/>
              <w:textAlignment w:val="auto"/>
              <w:rPr>
                <w:rFonts w:hint="eastAsia" w:ascii="宋体" w:hAnsi="宋体" w:eastAsia="宋体" w:cs="宋体"/>
                <w:sz w:val="24"/>
                <w:szCs w:val="24"/>
              </w:rPr>
            </w:pPr>
            <w:r>
              <w:rPr>
                <w:rFonts w:hint="eastAsia" w:ascii="宋体" w:hAnsi="宋体" w:eastAsia="宋体" w:cs="宋体"/>
                <w:position w:val="1"/>
                <w:sz w:val="24"/>
                <w:szCs w:val="24"/>
                <w:lang w:val="en-US" w:eastAsia="zh-CN"/>
              </w:rPr>
              <w:t>1</w:t>
            </w:r>
          </w:p>
        </w:tc>
        <w:tc>
          <w:tcPr>
            <w:tcW w:w="1899" w:type="dxa"/>
            <w:tcBorders>
              <w:top w:val="single" w:color="auto" w:sz="4" w:space="0"/>
              <w:left w:val="single" w:color="auto" w:sz="4" w:space="0"/>
              <w:bottom w:val="single" w:color="auto" w:sz="4" w:space="0"/>
              <w:right w:val="single" w:color="auto" w:sz="4" w:space="0"/>
            </w:tcBorders>
            <w:vAlign w:val="center"/>
          </w:tcPr>
          <w:p w14:paraId="3B3091F9">
            <w:pPr>
              <w:keepNext w:val="0"/>
              <w:keepLines w:val="0"/>
              <w:pageBreakBefore w:val="0"/>
              <w:widowControl w:val="0"/>
              <w:kinsoku/>
              <w:wordWrap/>
              <w:overflowPunct/>
              <w:topLinePunct w:val="0"/>
              <w:autoSpaceDE/>
              <w:autoSpaceDN/>
              <w:bidi w:val="0"/>
              <w:adjustRightInd/>
              <w:snapToGrid/>
              <w:spacing w:line="268" w:lineRule="exact"/>
              <w:ind w:left="0"/>
              <w:jc w:val="center"/>
              <w:textAlignment w:val="auto"/>
              <w:rPr>
                <w:rFonts w:hint="eastAsia" w:ascii="宋体" w:hAnsi="宋体" w:eastAsia="宋体" w:cs="宋体"/>
                <w:sz w:val="24"/>
                <w:szCs w:val="24"/>
              </w:rPr>
            </w:pPr>
            <w:r>
              <w:rPr>
                <w:rFonts w:hint="eastAsia" w:ascii="宋体" w:hAnsi="宋体" w:eastAsia="宋体" w:cs="宋体"/>
                <w:position w:val="1"/>
                <w:sz w:val="24"/>
                <w:szCs w:val="24"/>
              </w:rPr>
              <w:t>1</w:t>
            </w:r>
          </w:p>
        </w:tc>
        <w:tc>
          <w:tcPr>
            <w:tcW w:w="2873" w:type="dxa"/>
            <w:tcBorders>
              <w:top w:val="single" w:color="auto" w:sz="4" w:space="0"/>
              <w:left w:val="single" w:color="auto" w:sz="4" w:space="0"/>
              <w:bottom w:val="single" w:color="auto" w:sz="4" w:space="0"/>
              <w:right w:val="single" w:color="auto" w:sz="4" w:space="0"/>
            </w:tcBorders>
            <w:vAlign w:val="top"/>
          </w:tcPr>
          <w:p w14:paraId="762AA7B1">
            <w:pPr>
              <w:pStyle w:val="7"/>
              <w:keepNext w:val="0"/>
              <w:keepLines w:val="0"/>
              <w:pageBreakBefore w:val="0"/>
              <w:widowControl w:val="0"/>
              <w:kinsoku/>
              <w:wordWrap/>
              <w:overflowPunct/>
              <w:topLinePunct w:val="0"/>
              <w:autoSpaceDE/>
              <w:autoSpaceDN/>
              <w:bidi w:val="0"/>
              <w:adjustRightInd/>
              <w:snapToGrid/>
              <w:spacing w:line="241" w:lineRule="auto"/>
              <w:ind w:left="0"/>
              <w:textAlignment w:val="auto"/>
              <w:rPr>
                <w:rFonts w:hint="eastAsia" w:ascii="宋体" w:hAnsi="宋体" w:eastAsia="宋体" w:cs="宋体"/>
                <w:sz w:val="24"/>
                <w:szCs w:val="24"/>
              </w:rPr>
            </w:pPr>
            <w:r>
              <w:rPr>
                <w:rFonts w:hint="eastAsia" w:ascii="宋体" w:hAnsi="宋体" w:eastAsia="宋体" w:cs="宋体"/>
                <w:spacing w:val="-2"/>
                <w:sz w:val="24"/>
                <w:szCs w:val="24"/>
              </w:rPr>
              <w:t>如：8小时</w:t>
            </w:r>
            <w:r>
              <w:rPr>
                <w:rFonts w:hint="eastAsia" w:cs="宋体"/>
                <w:spacing w:val="-2"/>
                <w:sz w:val="24"/>
                <w:szCs w:val="24"/>
                <w:lang w:val="en-US" w:eastAsia="zh-CN"/>
              </w:rPr>
              <w:t>在岗</w:t>
            </w:r>
            <w:r>
              <w:rPr>
                <w:rFonts w:hint="eastAsia" w:ascii="宋体" w:hAnsi="宋体" w:eastAsia="宋体" w:cs="宋体"/>
                <w:spacing w:val="-2"/>
                <w:sz w:val="24"/>
                <w:szCs w:val="24"/>
              </w:rPr>
              <w:t>，合同期内在岗率</w:t>
            </w:r>
            <w:r>
              <w:rPr>
                <w:rFonts w:hint="eastAsia" w:ascii="宋体" w:hAnsi="宋体" w:eastAsia="宋体" w:cs="宋体"/>
                <w:spacing w:val="-105"/>
                <w:sz w:val="24"/>
                <w:szCs w:val="24"/>
              </w:rPr>
              <w:t xml:space="preserve"> </w:t>
            </w:r>
            <w:r>
              <w:rPr>
                <w:rFonts w:hint="eastAsia" w:ascii="宋体" w:hAnsi="宋体" w:eastAsia="宋体" w:cs="宋体"/>
                <w:spacing w:val="-2"/>
                <w:sz w:val="24"/>
                <w:szCs w:val="24"/>
                <w:u w:val="single" w:color="auto"/>
              </w:rPr>
              <w:t xml:space="preserve">      </w:t>
            </w:r>
            <w:r>
              <w:rPr>
                <w:rFonts w:hint="eastAsia" w:ascii="宋体" w:hAnsi="宋体" w:eastAsia="宋体" w:cs="宋体"/>
                <w:spacing w:val="-2"/>
                <w:sz w:val="24"/>
                <w:szCs w:val="24"/>
              </w:rPr>
              <w:t>。</w:t>
            </w:r>
          </w:p>
        </w:tc>
      </w:tr>
      <w:tr w14:paraId="4D8524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jc w:val="center"/>
        </w:trPr>
        <w:tc>
          <w:tcPr>
            <w:tcW w:w="1546" w:type="dxa"/>
            <w:vMerge w:val="continue"/>
            <w:tcBorders>
              <w:left w:val="single" w:color="auto" w:sz="4" w:space="0"/>
              <w:right w:val="single" w:color="auto" w:sz="4" w:space="0"/>
            </w:tcBorders>
            <w:vAlign w:val="top"/>
          </w:tcPr>
          <w:p w14:paraId="0DE294A2">
            <w:pPr>
              <w:pStyle w:val="7"/>
              <w:spacing w:before="89" w:line="221" w:lineRule="auto"/>
              <w:ind w:left="116"/>
              <w:rPr>
                <w:rFonts w:hint="eastAsia" w:ascii="宋体" w:hAnsi="宋体" w:eastAsia="宋体" w:cs="宋体"/>
                <w:spacing w:val="-2"/>
                <w:sz w:val="24"/>
                <w:szCs w:val="24"/>
              </w:rPr>
            </w:pPr>
          </w:p>
        </w:tc>
        <w:tc>
          <w:tcPr>
            <w:tcW w:w="2145" w:type="dxa"/>
            <w:tcBorders>
              <w:top w:val="single" w:color="auto" w:sz="4" w:space="0"/>
              <w:left w:val="single" w:color="auto" w:sz="4" w:space="0"/>
              <w:bottom w:val="single" w:color="auto" w:sz="4" w:space="0"/>
              <w:right w:val="single" w:color="auto" w:sz="4" w:space="0"/>
            </w:tcBorders>
            <w:vAlign w:val="top"/>
          </w:tcPr>
          <w:p w14:paraId="22345CB7">
            <w:pPr>
              <w:pStyle w:val="7"/>
              <w:spacing w:before="89" w:line="221" w:lineRule="auto"/>
              <w:ind w:left="112"/>
              <w:rPr>
                <w:rFonts w:hint="eastAsia" w:ascii="宋体" w:hAnsi="宋体" w:eastAsia="宋体" w:cs="宋体"/>
                <w:spacing w:val="-3"/>
                <w:sz w:val="24"/>
                <w:szCs w:val="24"/>
              </w:rPr>
            </w:pPr>
            <w:r>
              <w:rPr>
                <w:rFonts w:hint="eastAsia" w:ascii="宋体" w:hAnsi="宋体" w:eastAsia="宋体" w:cs="宋体"/>
                <w:spacing w:val="-3"/>
                <w:sz w:val="24"/>
                <w:szCs w:val="24"/>
              </w:rPr>
              <w:t>办公室</w:t>
            </w:r>
          </w:p>
        </w:tc>
        <w:tc>
          <w:tcPr>
            <w:tcW w:w="1158" w:type="dxa"/>
            <w:tcBorders>
              <w:top w:val="single" w:color="auto" w:sz="4" w:space="0"/>
              <w:left w:val="single" w:color="auto" w:sz="4" w:space="0"/>
              <w:bottom w:val="single" w:color="auto" w:sz="4" w:space="0"/>
              <w:right w:val="single" w:color="auto" w:sz="4" w:space="0"/>
            </w:tcBorders>
            <w:vAlign w:val="center"/>
          </w:tcPr>
          <w:p w14:paraId="496ADF12">
            <w:pPr>
              <w:keepNext w:val="0"/>
              <w:keepLines w:val="0"/>
              <w:pageBreakBefore w:val="0"/>
              <w:widowControl w:val="0"/>
              <w:kinsoku/>
              <w:wordWrap/>
              <w:overflowPunct/>
              <w:topLinePunct w:val="0"/>
              <w:autoSpaceDE/>
              <w:autoSpaceDN/>
              <w:bidi w:val="0"/>
              <w:adjustRightInd/>
              <w:snapToGrid/>
              <w:spacing w:line="268" w:lineRule="exact"/>
              <w:ind w:left="0"/>
              <w:jc w:val="center"/>
              <w:textAlignment w:val="auto"/>
              <w:rPr>
                <w:rFonts w:hint="eastAsia" w:ascii="宋体" w:hAnsi="宋体" w:eastAsia="宋体" w:cs="宋体"/>
                <w:position w:val="1"/>
                <w:sz w:val="24"/>
                <w:szCs w:val="24"/>
                <w:lang w:val="en-US" w:eastAsia="zh-CN"/>
              </w:rPr>
            </w:pPr>
          </w:p>
        </w:tc>
        <w:tc>
          <w:tcPr>
            <w:tcW w:w="1899" w:type="dxa"/>
            <w:tcBorders>
              <w:top w:val="single" w:color="auto" w:sz="4" w:space="0"/>
              <w:left w:val="single" w:color="auto" w:sz="4" w:space="0"/>
              <w:bottom w:val="single" w:color="auto" w:sz="4" w:space="0"/>
              <w:right w:val="single" w:color="auto" w:sz="4" w:space="0"/>
            </w:tcBorders>
            <w:vAlign w:val="center"/>
          </w:tcPr>
          <w:p w14:paraId="240714E0">
            <w:pPr>
              <w:keepNext w:val="0"/>
              <w:keepLines w:val="0"/>
              <w:pageBreakBefore w:val="0"/>
              <w:widowControl w:val="0"/>
              <w:kinsoku/>
              <w:wordWrap/>
              <w:overflowPunct/>
              <w:topLinePunct w:val="0"/>
              <w:autoSpaceDE/>
              <w:autoSpaceDN/>
              <w:bidi w:val="0"/>
              <w:adjustRightInd/>
              <w:snapToGrid/>
              <w:spacing w:line="268" w:lineRule="exact"/>
              <w:ind w:left="0"/>
              <w:jc w:val="center"/>
              <w:textAlignment w:val="auto"/>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t>2</w:t>
            </w:r>
          </w:p>
        </w:tc>
        <w:tc>
          <w:tcPr>
            <w:tcW w:w="2873" w:type="dxa"/>
            <w:tcBorders>
              <w:top w:val="single" w:color="auto" w:sz="4" w:space="0"/>
              <w:left w:val="single" w:color="auto" w:sz="4" w:space="0"/>
              <w:bottom w:val="single" w:color="auto" w:sz="4" w:space="0"/>
              <w:right w:val="single" w:color="auto" w:sz="4" w:space="0"/>
            </w:tcBorders>
            <w:vAlign w:val="top"/>
          </w:tcPr>
          <w:p w14:paraId="12DE64A7">
            <w:pPr>
              <w:pStyle w:val="7"/>
              <w:keepNext w:val="0"/>
              <w:keepLines w:val="0"/>
              <w:pageBreakBefore w:val="0"/>
              <w:widowControl w:val="0"/>
              <w:kinsoku/>
              <w:wordWrap/>
              <w:overflowPunct/>
              <w:topLinePunct w:val="0"/>
              <w:autoSpaceDE/>
              <w:autoSpaceDN/>
              <w:bidi w:val="0"/>
              <w:adjustRightInd/>
              <w:snapToGrid/>
              <w:spacing w:line="241" w:lineRule="auto"/>
              <w:ind w:left="0"/>
              <w:textAlignment w:val="auto"/>
              <w:rPr>
                <w:rFonts w:hint="eastAsia" w:ascii="宋体" w:hAnsi="宋体" w:eastAsia="宋体" w:cs="宋体"/>
                <w:spacing w:val="-2"/>
                <w:sz w:val="24"/>
                <w:szCs w:val="24"/>
              </w:rPr>
            </w:pPr>
          </w:p>
        </w:tc>
      </w:tr>
      <w:tr w14:paraId="163D71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jc w:val="center"/>
        </w:trPr>
        <w:tc>
          <w:tcPr>
            <w:tcW w:w="1546" w:type="dxa"/>
            <w:vMerge w:val="continue"/>
            <w:tcBorders>
              <w:left w:val="single" w:color="auto" w:sz="4" w:space="0"/>
              <w:right w:val="single" w:color="auto" w:sz="4" w:space="0"/>
            </w:tcBorders>
            <w:vAlign w:val="top"/>
          </w:tcPr>
          <w:p w14:paraId="727E6C58">
            <w:pPr>
              <w:pStyle w:val="7"/>
              <w:spacing w:before="89" w:line="221" w:lineRule="auto"/>
              <w:ind w:left="116"/>
              <w:rPr>
                <w:rFonts w:hint="eastAsia" w:ascii="宋体" w:hAnsi="宋体" w:eastAsia="宋体" w:cs="宋体"/>
                <w:spacing w:val="-2"/>
                <w:sz w:val="24"/>
                <w:szCs w:val="24"/>
              </w:rPr>
            </w:pPr>
          </w:p>
        </w:tc>
        <w:tc>
          <w:tcPr>
            <w:tcW w:w="2145" w:type="dxa"/>
            <w:tcBorders>
              <w:top w:val="single" w:color="auto" w:sz="4" w:space="0"/>
              <w:left w:val="single" w:color="auto" w:sz="4" w:space="0"/>
              <w:bottom w:val="single" w:color="auto" w:sz="4" w:space="0"/>
              <w:right w:val="single" w:color="auto" w:sz="4" w:space="0"/>
            </w:tcBorders>
            <w:vAlign w:val="top"/>
          </w:tcPr>
          <w:p w14:paraId="10081737">
            <w:pPr>
              <w:pStyle w:val="7"/>
              <w:spacing w:before="89" w:line="221" w:lineRule="auto"/>
              <w:ind w:left="112"/>
              <w:rPr>
                <w:rFonts w:hint="eastAsia" w:ascii="宋体" w:hAnsi="宋体" w:eastAsia="宋体" w:cs="宋体"/>
                <w:spacing w:val="-3"/>
                <w:sz w:val="24"/>
                <w:szCs w:val="24"/>
              </w:rPr>
            </w:pPr>
            <w:r>
              <w:rPr>
                <w:rFonts w:hint="eastAsia" w:ascii="宋体" w:hAnsi="宋体" w:eastAsia="宋体" w:cs="宋体"/>
                <w:spacing w:val="-3"/>
                <w:sz w:val="24"/>
                <w:szCs w:val="24"/>
              </w:rPr>
              <w:t>主管(农投会议楼)</w:t>
            </w:r>
          </w:p>
        </w:tc>
        <w:tc>
          <w:tcPr>
            <w:tcW w:w="1158" w:type="dxa"/>
            <w:tcBorders>
              <w:top w:val="single" w:color="auto" w:sz="4" w:space="0"/>
              <w:left w:val="single" w:color="auto" w:sz="4" w:space="0"/>
              <w:bottom w:val="single" w:color="auto" w:sz="4" w:space="0"/>
              <w:right w:val="single" w:color="auto" w:sz="4" w:space="0"/>
            </w:tcBorders>
            <w:vAlign w:val="center"/>
          </w:tcPr>
          <w:p w14:paraId="34148486">
            <w:pPr>
              <w:keepNext w:val="0"/>
              <w:keepLines w:val="0"/>
              <w:pageBreakBefore w:val="0"/>
              <w:widowControl w:val="0"/>
              <w:kinsoku/>
              <w:wordWrap/>
              <w:overflowPunct/>
              <w:topLinePunct w:val="0"/>
              <w:autoSpaceDE/>
              <w:autoSpaceDN/>
              <w:bidi w:val="0"/>
              <w:adjustRightInd/>
              <w:snapToGrid/>
              <w:spacing w:line="268" w:lineRule="exact"/>
              <w:ind w:left="0"/>
              <w:jc w:val="center"/>
              <w:textAlignment w:val="auto"/>
              <w:rPr>
                <w:rFonts w:hint="eastAsia" w:ascii="宋体" w:hAnsi="宋体" w:eastAsia="宋体" w:cs="宋体"/>
                <w:position w:val="1"/>
                <w:sz w:val="24"/>
                <w:szCs w:val="24"/>
                <w:lang w:val="en-US" w:eastAsia="zh-CN"/>
              </w:rPr>
            </w:pPr>
          </w:p>
        </w:tc>
        <w:tc>
          <w:tcPr>
            <w:tcW w:w="1899" w:type="dxa"/>
            <w:tcBorders>
              <w:top w:val="single" w:color="auto" w:sz="4" w:space="0"/>
              <w:left w:val="single" w:color="auto" w:sz="4" w:space="0"/>
              <w:bottom w:val="single" w:color="auto" w:sz="4" w:space="0"/>
              <w:right w:val="single" w:color="auto" w:sz="4" w:space="0"/>
            </w:tcBorders>
            <w:vAlign w:val="center"/>
          </w:tcPr>
          <w:p w14:paraId="07F9DB7F">
            <w:pPr>
              <w:keepNext w:val="0"/>
              <w:keepLines w:val="0"/>
              <w:pageBreakBefore w:val="0"/>
              <w:widowControl w:val="0"/>
              <w:kinsoku/>
              <w:wordWrap/>
              <w:overflowPunct/>
              <w:topLinePunct w:val="0"/>
              <w:autoSpaceDE/>
              <w:autoSpaceDN/>
              <w:bidi w:val="0"/>
              <w:adjustRightInd/>
              <w:snapToGrid/>
              <w:spacing w:line="268" w:lineRule="exact"/>
              <w:ind w:left="0"/>
              <w:jc w:val="center"/>
              <w:textAlignment w:val="auto"/>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t>2</w:t>
            </w:r>
          </w:p>
        </w:tc>
        <w:tc>
          <w:tcPr>
            <w:tcW w:w="2873" w:type="dxa"/>
            <w:tcBorders>
              <w:top w:val="single" w:color="auto" w:sz="4" w:space="0"/>
              <w:left w:val="single" w:color="auto" w:sz="4" w:space="0"/>
              <w:bottom w:val="single" w:color="auto" w:sz="4" w:space="0"/>
              <w:right w:val="single" w:color="auto" w:sz="4" w:space="0"/>
            </w:tcBorders>
            <w:vAlign w:val="top"/>
          </w:tcPr>
          <w:p w14:paraId="72CF80B5">
            <w:pPr>
              <w:pStyle w:val="7"/>
              <w:keepNext w:val="0"/>
              <w:keepLines w:val="0"/>
              <w:pageBreakBefore w:val="0"/>
              <w:widowControl w:val="0"/>
              <w:kinsoku/>
              <w:wordWrap/>
              <w:overflowPunct/>
              <w:topLinePunct w:val="0"/>
              <w:autoSpaceDE/>
              <w:autoSpaceDN/>
              <w:bidi w:val="0"/>
              <w:adjustRightInd/>
              <w:snapToGrid/>
              <w:spacing w:line="241" w:lineRule="auto"/>
              <w:ind w:left="0"/>
              <w:textAlignment w:val="auto"/>
              <w:rPr>
                <w:rFonts w:hint="eastAsia" w:ascii="宋体" w:hAnsi="宋体" w:eastAsia="宋体" w:cs="宋体"/>
                <w:spacing w:val="-2"/>
                <w:sz w:val="24"/>
                <w:szCs w:val="24"/>
              </w:rPr>
            </w:pPr>
          </w:p>
        </w:tc>
      </w:tr>
      <w:tr w14:paraId="4BA708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jc w:val="center"/>
        </w:trPr>
        <w:tc>
          <w:tcPr>
            <w:tcW w:w="1546" w:type="dxa"/>
            <w:vMerge w:val="restart"/>
            <w:tcBorders>
              <w:top w:val="single" w:color="auto" w:sz="4" w:space="0"/>
              <w:left w:val="single" w:color="auto" w:sz="4" w:space="0"/>
              <w:bottom w:val="single" w:color="auto" w:sz="4" w:space="0"/>
              <w:right w:val="single" w:color="auto" w:sz="4" w:space="0"/>
            </w:tcBorders>
            <w:vAlign w:val="top"/>
          </w:tcPr>
          <w:p w14:paraId="7933D117">
            <w:pPr>
              <w:pStyle w:val="7"/>
              <w:spacing w:before="68" w:line="300" w:lineRule="auto"/>
              <w:ind w:left="119" w:right="105" w:firstLine="3"/>
              <w:rPr>
                <w:rFonts w:hint="eastAsia" w:ascii="宋体" w:hAnsi="宋体" w:eastAsia="宋体" w:cs="宋体"/>
                <w:sz w:val="24"/>
                <w:szCs w:val="24"/>
              </w:rPr>
            </w:pPr>
            <w:r>
              <w:rPr>
                <w:rFonts w:hint="eastAsia" w:ascii="宋体" w:hAnsi="宋体" w:eastAsia="宋体" w:cs="宋体"/>
                <w:spacing w:val="8"/>
                <w:sz w:val="24"/>
                <w:szCs w:val="24"/>
              </w:rPr>
              <w:t>公用设施设备</w:t>
            </w:r>
            <w:r>
              <w:rPr>
                <w:rFonts w:hint="eastAsia" w:ascii="宋体" w:hAnsi="宋体" w:eastAsia="宋体" w:cs="宋体"/>
                <w:spacing w:val="-3"/>
                <w:sz w:val="24"/>
                <w:szCs w:val="24"/>
              </w:rPr>
              <w:t>维护服务</w:t>
            </w:r>
          </w:p>
        </w:tc>
        <w:tc>
          <w:tcPr>
            <w:tcW w:w="2145" w:type="dxa"/>
            <w:tcBorders>
              <w:top w:val="single" w:color="auto" w:sz="4" w:space="0"/>
              <w:left w:val="single" w:color="auto" w:sz="4" w:space="0"/>
            </w:tcBorders>
            <w:shd w:val="clear" w:color="auto" w:fill="auto"/>
            <w:vAlign w:val="top"/>
          </w:tcPr>
          <w:p w14:paraId="22E90FA6">
            <w:pPr>
              <w:pStyle w:val="7"/>
              <w:spacing w:before="92" w:line="221" w:lineRule="auto"/>
              <w:ind w:left="111" w:leftChars="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工程主管</w:t>
            </w:r>
          </w:p>
        </w:tc>
        <w:tc>
          <w:tcPr>
            <w:tcW w:w="1158" w:type="dxa"/>
            <w:tcBorders>
              <w:top w:val="single" w:color="auto" w:sz="4" w:space="0"/>
            </w:tcBorders>
            <w:shd w:val="clear" w:color="auto" w:fill="auto"/>
            <w:vAlign w:val="center"/>
          </w:tcPr>
          <w:p w14:paraId="24E83408">
            <w:pPr>
              <w:keepNext w:val="0"/>
              <w:keepLines w:val="0"/>
              <w:pageBreakBefore w:val="0"/>
              <w:widowControl w:val="0"/>
              <w:kinsoku/>
              <w:wordWrap/>
              <w:overflowPunct/>
              <w:topLinePunct w:val="0"/>
              <w:autoSpaceDE/>
              <w:autoSpaceDN/>
              <w:bidi w:val="0"/>
              <w:adjustRightInd/>
              <w:snapToGrid/>
              <w:ind w:left="0" w:leftChars="0"/>
              <w:jc w:val="center"/>
              <w:textAlignment w:val="auto"/>
              <w:rPr>
                <w:rFonts w:hint="eastAsia" w:ascii="宋体" w:hAnsi="宋体" w:eastAsia="宋体" w:cs="宋体"/>
                <w:kern w:val="2"/>
                <w:sz w:val="24"/>
                <w:szCs w:val="24"/>
                <w:lang w:val="en-US" w:eastAsia="zh-CN" w:bidi="ar-SA"/>
              </w:rPr>
            </w:pPr>
          </w:p>
        </w:tc>
        <w:tc>
          <w:tcPr>
            <w:tcW w:w="1899" w:type="dxa"/>
            <w:tcBorders>
              <w:top w:val="single" w:color="auto" w:sz="4" w:space="0"/>
            </w:tcBorders>
            <w:shd w:val="clear" w:color="auto" w:fill="auto"/>
            <w:vAlign w:val="center"/>
          </w:tcPr>
          <w:p w14:paraId="4D97DF2D">
            <w:pPr>
              <w:keepNext w:val="0"/>
              <w:keepLines w:val="0"/>
              <w:pageBreakBefore w:val="0"/>
              <w:widowControl w:val="0"/>
              <w:kinsoku/>
              <w:wordWrap/>
              <w:overflowPunct/>
              <w:topLinePunct w:val="0"/>
              <w:autoSpaceDE/>
              <w:autoSpaceDN/>
              <w:bidi w:val="0"/>
              <w:adjustRightInd/>
              <w:snapToGrid/>
              <w:ind w:left="0" w:leftChars="0"/>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w:t>
            </w:r>
          </w:p>
        </w:tc>
        <w:tc>
          <w:tcPr>
            <w:tcW w:w="2873" w:type="dxa"/>
            <w:tcBorders>
              <w:top w:val="single" w:color="auto" w:sz="4" w:space="0"/>
            </w:tcBorders>
            <w:shd w:val="clear" w:color="auto" w:fill="auto"/>
            <w:vAlign w:val="top"/>
          </w:tcPr>
          <w:p w14:paraId="325A7DDC">
            <w:pPr>
              <w:pStyle w:val="7"/>
              <w:keepNext w:val="0"/>
              <w:keepLines w:val="0"/>
              <w:pageBreakBefore w:val="0"/>
              <w:widowControl w:val="0"/>
              <w:kinsoku/>
              <w:wordWrap/>
              <w:overflowPunct/>
              <w:topLinePunct w:val="0"/>
              <w:autoSpaceDE/>
              <w:autoSpaceDN/>
              <w:bidi w:val="0"/>
              <w:adjustRightInd/>
              <w:snapToGrid/>
              <w:spacing w:line="221" w:lineRule="auto"/>
              <w:ind w:left="0" w:leftChars="0"/>
              <w:textAlignment w:val="auto"/>
              <w:rPr>
                <w:rFonts w:hint="eastAsia" w:ascii="宋体" w:hAnsi="宋体" w:eastAsia="宋体" w:cs="宋体"/>
                <w:kern w:val="2"/>
                <w:sz w:val="24"/>
                <w:szCs w:val="24"/>
                <w:lang w:val="en-US" w:eastAsia="en-US" w:bidi="ar-SA"/>
              </w:rPr>
            </w:pPr>
          </w:p>
        </w:tc>
      </w:tr>
      <w:tr w14:paraId="09D907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jc w:val="center"/>
        </w:trPr>
        <w:tc>
          <w:tcPr>
            <w:tcW w:w="1546" w:type="dxa"/>
            <w:vMerge w:val="continue"/>
            <w:tcBorders>
              <w:top w:val="single" w:color="auto" w:sz="4" w:space="0"/>
              <w:left w:val="single" w:color="auto" w:sz="4" w:space="0"/>
              <w:bottom w:val="single" w:color="auto" w:sz="4" w:space="0"/>
              <w:right w:val="single" w:color="auto" w:sz="4" w:space="0"/>
            </w:tcBorders>
            <w:vAlign w:val="top"/>
          </w:tcPr>
          <w:p w14:paraId="063DED7D">
            <w:pPr>
              <w:rPr>
                <w:rFonts w:hint="eastAsia" w:ascii="宋体" w:hAnsi="宋体" w:eastAsia="宋体" w:cs="宋体"/>
                <w:sz w:val="24"/>
                <w:szCs w:val="24"/>
              </w:rPr>
            </w:pPr>
          </w:p>
        </w:tc>
        <w:tc>
          <w:tcPr>
            <w:tcW w:w="2145" w:type="dxa"/>
            <w:tcBorders>
              <w:left w:val="single" w:color="auto" w:sz="4" w:space="0"/>
            </w:tcBorders>
            <w:vAlign w:val="top"/>
          </w:tcPr>
          <w:p w14:paraId="3955BD8C">
            <w:pPr>
              <w:pStyle w:val="7"/>
              <w:spacing w:before="91" w:line="221" w:lineRule="auto"/>
              <w:ind w:left="112"/>
              <w:rPr>
                <w:rFonts w:hint="eastAsia" w:ascii="宋体" w:hAnsi="宋体" w:eastAsia="宋体" w:cs="宋体"/>
                <w:sz w:val="24"/>
                <w:szCs w:val="24"/>
                <w:lang w:eastAsia="zh-CN"/>
              </w:rPr>
            </w:pPr>
            <w:r>
              <w:rPr>
                <w:rFonts w:hint="eastAsia" w:ascii="宋体" w:hAnsi="宋体" w:eastAsia="宋体" w:cs="宋体"/>
                <w:spacing w:val="-2"/>
                <w:sz w:val="24"/>
                <w:szCs w:val="24"/>
              </w:rPr>
              <w:t>水电工</w:t>
            </w:r>
          </w:p>
        </w:tc>
        <w:tc>
          <w:tcPr>
            <w:tcW w:w="1158" w:type="dxa"/>
            <w:vAlign w:val="center"/>
          </w:tcPr>
          <w:p w14:paraId="196CA56F">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宋体" w:hAnsi="宋体" w:eastAsia="宋体" w:cs="宋体"/>
                <w:sz w:val="24"/>
                <w:szCs w:val="24"/>
              </w:rPr>
            </w:pPr>
          </w:p>
        </w:tc>
        <w:tc>
          <w:tcPr>
            <w:tcW w:w="1899" w:type="dxa"/>
            <w:vAlign w:val="center"/>
          </w:tcPr>
          <w:p w14:paraId="677B1283">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2873" w:type="dxa"/>
            <w:vAlign w:val="top"/>
          </w:tcPr>
          <w:p w14:paraId="0B318816">
            <w:pPr>
              <w:keepNext w:val="0"/>
              <w:keepLines w:val="0"/>
              <w:pageBreakBefore w:val="0"/>
              <w:widowControl w:val="0"/>
              <w:kinsoku/>
              <w:wordWrap/>
              <w:overflowPunct/>
              <w:topLinePunct w:val="0"/>
              <w:autoSpaceDE/>
              <w:autoSpaceDN/>
              <w:bidi w:val="0"/>
              <w:adjustRightInd/>
              <w:snapToGrid/>
              <w:ind w:left="0"/>
              <w:textAlignment w:val="auto"/>
              <w:rPr>
                <w:rFonts w:hint="eastAsia" w:ascii="宋体" w:hAnsi="宋体" w:eastAsia="宋体" w:cs="宋体"/>
                <w:sz w:val="24"/>
                <w:szCs w:val="24"/>
              </w:rPr>
            </w:pPr>
            <w:r>
              <w:rPr>
                <w:rFonts w:hint="eastAsia" w:ascii="宋体" w:hAnsi="宋体" w:eastAsia="宋体" w:cs="宋体"/>
                <w:spacing w:val="-1"/>
                <w:sz w:val="24"/>
                <w:szCs w:val="24"/>
              </w:rPr>
              <w:t>如：特种作业操作证（低压电工作业）</w:t>
            </w:r>
          </w:p>
        </w:tc>
      </w:tr>
      <w:tr w14:paraId="3F72E4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jc w:val="center"/>
        </w:trPr>
        <w:tc>
          <w:tcPr>
            <w:tcW w:w="1546" w:type="dxa"/>
            <w:vMerge w:val="restart"/>
            <w:tcBorders>
              <w:top w:val="single" w:color="auto" w:sz="4" w:space="0"/>
              <w:left w:val="single" w:color="auto" w:sz="4" w:space="0"/>
              <w:bottom w:val="single" w:color="auto" w:sz="4" w:space="0"/>
              <w:right w:val="single" w:color="auto" w:sz="4" w:space="0"/>
            </w:tcBorders>
            <w:vAlign w:val="top"/>
          </w:tcPr>
          <w:p w14:paraId="21242DC7">
            <w:pPr>
              <w:spacing w:line="243" w:lineRule="auto"/>
              <w:rPr>
                <w:rFonts w:hint="eastAsia" w:ascii="宋体" w:hAnsi="宋体" w:eastAsia="宋体" w:cs="宋体"/>
                <w:sz w:val="24"/>
                <w:szCs w:val="24"/>
              </w:rPr>
            </w:pPr>
          </w:p>
          <w:p w14:paraId="5592E815">
            <w:pPr>
              <w:pStyle w:val="7"/>
              <w:spacing w:before="68" w:line="221" w:lineRule="auto"/>
              <w:ind w:left="116"/>
              <w:rPr>
                <w:rFonts w:hint="eastAsia" w:ascii="宋体" w:hAnsi="宋体" w:eastAsia="宋体" w:cs="宋体"/>
                <w:sz w:val="24"/>
                <w:szCs w:val="24"/>
              </w:rPr>
            </w:pPr>
            <w:r>
              <w:rPr>
                <w:rFonts w:hint="eastAsia" w:ascii="宋体" w:hAnsi="宋体" w:eastAsia="宋体" w:cs="宋体"/>
                <w:spacing w:val="-2"/>
                <w:sz w:val="24"/>
                <w:szCs w:val="24"/>
              </w:rPr>
              <w:t>保洁服务</w:t>
            </w:r>
          </w:p>
        </w:tc>
        <w:tc>
          <w:tcPr>
            <w:tcW w:w="2145" w:type="dxa"/>
            <w:tcBorders>
              <w:left w:val="single" w:color="auto" w:sz="4" w:space="0"/>
            </w:tcBorders>
            <w:vAlign w:val="top"/>
          </w:tcPr>
          <w:p w14:paraId="1368DA77">
            <w:pPr>
              <w:pStyle w:val="7"/>
              <w:spacing w:before="94" w:line="221" w:lineRule="auto"/>
              <w:ind w:left="110"/>
              <w:rPr>
                <w:rFonts w:hint="eastAsia" w:ascii="宋体" w:hAnsi="宋体" w:eastAsia="宋体" w:cs="宋体"/>
                <w:sz w:val="24"/>
                <w:szCs w:val="24"/>
              </w:rPr>
            </w:pPr>
            <w:r>
              <w:rPr>
                <w:rFonts w:hint="eastAsia" w:ascii="宋体" w:hAnsi="宋体" w:eastAsia="宋体" w:cs="宋体"/>
                <w:spacing w:val="-2"/>
                <w:sz w:val="24"/>
                <w:szCs w:val="24"/>
              </w:rPr>
              <w:t>主管</w:t>
            </w:r>
          </w:p>
        </w:tc>
        <w:tc>
          <w:tcPr>
            <w:tcW w:w="1158" w:type="dxa"/>
            <w:vAlign w:val="center"/>
          </w:tcPr>
          <w:p w14:paraId="2FDC7112">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宋体" w:hAnsi="宋体" w:eastAsia="宋体" w:cs="宋体"/>
                <w:sz w:val="24"/>
                <w:szCs w:val="24"/>
              </w:rPr>
            </w:pPr>
          </w:p>
        </w:tc>
        <w:tc>
          <w:tcPr>
            <w:tcW w:w="1899" w:type="dxa"/>
            <w:vAlign w:val="center"/>
          </w:tcPr>
          <w:p w14:paraId="392C7005">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2873" w:type="dxa"/>
            <w:vAlign w:val="top"/>
          </w:tcPr>
          <w:p w14:paraId="47FCF586">
            <w:pPr>
              <w:keepNext w:val="0"/>
              <w:keepLines w:val="0"/>
              <w:pageBreakBefore w:val="0"/>
              <w:widowControl w:val="0"/>
              <w:kinsoku/>
              <w:wordWrap/>
              <w:overflowPunct/>
              <w:topLinePunct w:val="0"/>
              <w:autoSpaceDE/>
              <w:autoSpaceDN/>
              <w:bidi w:val="0"/>
              <w:adjustRightInd/>
              <w:snapToGrid/>
              <w:ind w:left="0"/>
              <w:textAlignment w:val="auto"/>
              <w:rPr>
                <w:rFonts w:hint="eastAsia" w:ascii="宋体" w:hAnsi="宋体" w:eastAsia="宋体" w:cs="宋体"/>
                <w:sz w:val="24"/>
                <w:szCs w:val="24"/>
              </w:rPr>
            </w:pPr>
          </w:p>
        </w:tc>
      </w:tr>
      <w:tr w14:paraId="335AAB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jc w:val="center"/>
        </w:trPr>
        <w:tc>
          <w:tcPr>
            <w:tcW w:w="1546" w:type="dxa"/>
            <w:vMerge w:val="continue"/>
            <w:tcBorders>
              <w:top w:val="single" w:color="auto" w:sz="4" w:space="0"/>
              <w:left w:val="single" w:color="auto" w:sz="4" w:space="0"/>
              <w:bottom w:val="single" w:color="auto" w:sz="4" w:space="0"/>
              <w:right w:val="single" w:color="auto" w:sz="4" w:space="0"/>
            </w:tcBorders>
            <w:vAlign w:val="top"/>
          </w:tcPr>
          <w:p w14:paraId="69922729">
            <w:pPr>
              <w:rPr>
                <w:rFonts w:hint="eastAsia" w:ascii="宋体" w:hAnsi="宋体" w:eastAsia="宋体" w:cs="宋体"/>
                <w:sz w:val="24"/>
                <w:szCs w:val="24"/>
              </w:rPr>
            </w:pPr>
          </w:p>
        </w:tc>
        <w:tc>
          <w:tcPr>
            <w:tcW w:w="2145" w:type="dxa"/>
            <w:tcBorders>
              <w:left w:val="single" w:color="auto" w:sz="4" w:space="0"/>
            </w:tcBorders>
            <w:vAlign w:val="top"/>
          </w:tcPr>
          <w:p w14:paraId="5F8ABE9D">
            <w:pPr>
              <w:pStyle w:val="7"/>
              <w:spacing w:before="95" w:line="221" w:lineRule="auto"/>
              <w:ind w:left="109"/>
              <w:rPr>
                <w:rFonts w:hint="eastAsia" w:ascii="宋体" w:hAnsi="宋体" w:eastAsia="宋体" w:cs="宋体"/>
                <w:sz w:val="24"/>
                <w:szCs w:val="24"/>
              </w:rPr>
            </w:pPr>
            <w:r>
              <w:rPr>
                <w:rFonts w:hint="eastAsia" w:ascii="宋体" w:hAnsi="宋体" w:eastAsia="宋体" w:cs="宋体"/>
                <w:spacing w:val="-2"/>
                <w:sz w:val="24"/>
                <w:szCs w:val="24"/>
              </w:rPr>
              <w:t>保洁员</w:t>
            </w:r>
          </w:p>
        </w:tc>
        <w:tc>
          <w:tcPr>
            <w:tcW w:w="1158" w:type="dxa"/>
            <w:vAlign w:val="center"/>
          </w:tcPr>
          <w:p w14:paraId="2E588F98">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宋体" w:hAnsi="宋体" w:eastAsia="宋体" w:cs="宋体"/>
                <w:sz w:val="24"/>
                <w:szCs w:val="24"/>
              </w:rPr>
            </w:pPr>
          </w:p>
        </w:tc>
        <w:tc>
          <w:tcPr>
            <w:tcW w:w="1899" w:type="dxa"/>
            <w:vAlign w:val="center"/>
          </w:tcPr>
          <w:p w14:paraId="5E080E9F">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w:t>
            </w:r>
          </w:p>
        </w:tc>
        <w:tc>
          <w:tcPr>
            <w:tcW w:w="2873" w:type="dxa"/>
            <w:vAlign w:val="top"/>
          </w:tcPr>
          <w:p w14:paraId="69EB3743">
            <w:pPr>
              <w:keepNext w:val="0"/>
              <w:keepLines w:val="0"/>
              <w:pageBreakBefore w:val="0"/>
              <w:widowControl w:val="0"/>
              <w:kinsoku/>
              <w:wordWrap/>
              <w:overflowPunct/>
              <w:topLinePunct w:val="0"/>
              <w:autoSpaceDE/>
              <w:autoSpaceDN/>
              <w:bidi w:val="0"/>
              <w:adjustRightInd/>
              <w:snapToGrid/>
              <w:ind w:left="0"/>
              <w:textAlignment w:val="auto"/>
              <w:rPr>
                <w:rFonts w:hint="eastAsia" w:ascii="宋体" w:hAnsi="宋体" w:eastAsia="宋体" w:cs="宋体"/>
                <w:sz w:val="24"/>
                <w:szCs w:val="24"/>
              </w:rPr>
            </w:pPr>
          </w:p>
        </w:tc>
      </w:tr>
      <w:tr w14:paraId="69D1A5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jc w:val="center"/>
        </w:trPr>
        <w:tc>
          <w:tcPr>
            <w:tcW w:w="1546" w:type="dxa"/>
            <w:tcBorders>
              <w:top w:val="single" w:color="auto" w:sz="4" w:space="0"/>
            </w:tcBorders>
            <w:vAlign w:val="top"/>
          </w:tcPr>
          <w:p w14:paraId="6CAD08CE">
            <w:pPr>
              <w:pStyle w:val="7"/>
              <w:spacing w:before="93" w:line="221" w:lineRule="auto"/>
              <w:ind w:left="117"/>
              <w:rPr>
                <w:rFonts w:hint="eastAsia" w:ascii="宋体" w:hAnsi="宋体" w:eastAsia="宋体" w:cs="宋体"/>
                <w:sz w:val="24"/>
                <w:szCs w:val="24"/>
              </w:rPr>
            </w:pPr>
            <w:r>
              <w:rPr>
                <w:rFonts w:hint="eastAsia" w:ascii="宋体" w:hAnsi="宋体" w:eastAsia="宋体" w:cs="宋体"/>
                <w:spacing w:val="-2"/>
                <w:sz w:val="24"/>
                <w:szCs w:val="24"/>
              </w:rPr>
              <w:t>绿化服务</w:t>
            </w:r>
          </w:p>
        </w:tc>
        <w:tc>
          <w:tcPr>
            <w:tcW w:w="2145" w:type="dxa"/>
            <w:vAlign w:val="top"/>
          </w:tcPr>
          <w:p w14:paraId="1BBB8CA3">
            <w:pPr>
              <w:pStyle w:val="7"/>
              <w:spacing w:before="94" w:line="222" w:lineRule="auto"/>
              <w:ind w:left="110"/>
              <w:rPr>
                <w:rFonts w:hint="eastAsia" w:ascii="宋体" w:hAnsi="宋体" w:eastAsia="宋体" w:cs="宋体"/>
                <w:sz w:val="24"/>
                <w:szCs w:val="24"/>
              </w:rPr>
            </w:pPr>
            <w:r>
              <w:rPr>
                <w:rFonts w:hint="eastAsia" w:ascii="宋体" w:hAnsi="宋体" w:eastAsia="宋体" w:cs="宋体"/>
                <w:spacing w:val="-2"/>
                <w:sz w:val="24"/>
                <w:szCs w:val="24"/>
              </w:rPr>
              <w:t>绿化工</w:t>
            </w:r>
          </w:p>
        </w:tc>
        <w:tc>
          <w:tcPr>
            <w:tcW w:w="1158" w:type="dxa"/>
            <w:vAlign w:val="center"/>
          </w:tcPr>
          <w:p w14:paraId="05745A12">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宋体" w:hAnsi="宋体" w:eastAsia="宋体" w:cs="宋体"/>
                <w:sz w:val="24"/>
                <w:szCs w:val="24"/>
              </w:rPr>
            </w:pPr>
          </w:p>
        </w:tc>
        <w:tc>
          <w:tcPr>
            <w:tcW w:w="1899" w:type="dxa"/>
            <w:vAlign w:val="center"/>
          </w:tcPr>
          <w:p w14:paraId="4A8F00FB">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2873" w:type="dxa"/>
            <w:vAlign w:val="top"/>
          </w:tcPr>
          <w:p w14:paraId="332178B8">
            <w:pPr>
              <w:keepNext w:val="0"/>
              <w:keepLines w:val="0"/>
              <w:pageBreakBefore w:val="0"/>
              <w:widowControl w:val="0"/>
              <w:kinsoku/>
              <w:wordWrap/>
              <w:overflowPunct/>
              <w:topLinePunct w:val="0"/>
              <w:autoSpaceDE/>
              <w:autoSpaceDN/>
              <w:bidi w:val="0"/>
              <w:adjustRightInd/>
              <w:snapToGrid/>
              <w:ind w:left="0"/>
              <w:textAlignment w:val="auto"/>
              <w:rPr>
                <w:rFonts w:hint="eastAsia" w:ascii="宋体" w:hAnsi="宋体" w:eastAsia="宋体" w:cs="宋体"/>
                <w:sz w:val="24"/>
                <w:szCs w:val="24"/>
              </w:rPr>
            </w:pPr>
          </w:p>
        </w:tc>
      </w:tr>
      <w:tr w14:paraId="6D38C4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jc w:val="center"/>
        </w:trPr>
        <w:tc>
          <w:tcPr>
            <w:tcW w:w="1546" w:type="dxa"/>
            <w:vMerge w:val="restart"/>
            <w:tcBorders>
              <w:bottom w:val="nil"/>
            </w:tcBorders>
            <w:vAlign w:val="center"/>
          </w:tcPr>
          <w:p w14:paraId="2E0EA647">
            <w:pPr>
              <w:pStyle w:val="7"/>
              <w:spacing w:before="69" w:line="221"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pacing w:val="-2"/>
                <w:sz w:val="24"/>
                <w:szCs w:val="24"/>
              </w:rPr>
              <w:t>保安服务</w:t>
            </w:r>
          </w:p>
        </w:tc>
        <w:tc>
          <w:tcPr>
            <w:tcW w:w="2145" w:type="dxa"/>
            <w:vAlign w:val="top"/>
          </w:tcPr>
          <w:p w14:paraId="65C9D382">
            <w:pPr>
              <w:pStyle w:val="7"/>
              <w:spacing w:before="90" w:line="221" w:lineRule="auto"/>
              <w:ind w:left="110"/>
              <w:rPr>
                <w:rFonts w:hint="eastAsia" w:ascii="宋体" w:hAnsi="宋体" w:eastAsia="宋体" w:cs="宋体"/>
                <w:sz w:val="24"/>
                <w:szCs w:val="24"/>
              </w:rPr>
            </w:pPr>
            <w:r>
              <w:rPr>
                <w:rFonts w:hint="eastAsia" w:ascii="宋体" w:hAnsi="宋体" w:eastAsia="宋体" w:cs="宋体"/>
                <w:spacing w:val="-2"/>
                <w:sz w:val="24"/>
                <w:szCs w:val="24"/>
              </w:rPr>
              <w:t>主管</w:t>
            </w:r>
          </w:p>
        </w:tc>
        <w:tc>
          <w:tcPr>
            <w:tcW w:w="1158" w:type="dxa"/>
            <w:vAlign w:val="center"/>
          </w:tcPr>
          <w:p w14:paraId="40FE5241">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宋体" w:hAnsi="宋体" w:eastAsia="宋体" w:cs="宋体"/>
                <w:sz w:val="24"/>
                <w:szCs w:val="24"/>
              </w:rPr>
            </w:pPr>
          </w:p>
        </w:tc>
        <w:tc>
          <w:tcPr>
            <w:tcW w:w="1899" w:type="dxa"/>
            <w:vAlign w:val="center"/>
          </w:tcPr>
          <w:p w14:paraId="2EB7BCBE">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2873" w:type="dxa"/>
            <w:vAlign w:val="top"/>
          </w:tcPr>
          <w:p w14:paraId="2956E11A">
            <w:pPr>
              <w:keepNext w:val="0"/>
              <w:keepLines w:val="0"/>
              <w:pageBreakBefore w:val="0"/>
              <w:widowControl w:val="0"/>
              <w:kinsoku/>
              <w:wordWrap/>
              <w:overflowPunct/>
              <w:topLinePunct w:val="0"/>
              <w:autoSpaceDE/>
              <w:autoSpaceDN/>
              <w:bidi w:val="0"/>
              <w:adjustRightInd/>
              <w:snapToGrid/>
              <w:ind w:left="0"/>
              <w:textAlignment w:val="auto"/>
              <w:rPr>
                <w:rFonts w:hint="eastAsia" w:ascii="宋体" w:hAnsi="宋体" w:eastAsia="宋体" w:cs="宋体"/>
                <w:sz w:val="24"/>
                <w:szCs w:val="24"/>
              </w:rPr>
            </w:pPr>
          </w:p>
        </w:tc>
      </w:tr>
      <w:tr w14:paraId="50DA8B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1546" w:type="dxa"/>
            <w:vMerge w:val="continue"/>
            <w:tcBorders>
              <w:top w:val="nil"/>
              <w:bottom w:val="nil"/>
            </w:tcBorders>
            <w:vAlign w:val="top"/>
          </w:tcPr>
          <w:p w14:paraId="22ABD690">
            <w:pPr>
              <w:rPr>
                <w:rFonts w:hint="eastAsia" w:ascii="宋体" w:hAnsi="宋体" w:eastAsia="宋体" w:cs="宋体"/>
                <w:sz w:val="24"/>
                <w:szCs w:val="24"/>
              </w:rPr>
            </w:pPr>
          </w:p>
        </w:tc>
        <w:tc>
          <w:tcPr>
            <w:tcW w:w="2145" w:type="dxa"/>
            <w:shd w:val="clear" w:color="auto" w:fill="auto"/>
            <w:vAlign w:val="top"/>
          </w:tcPr>
          <w:p w14:paraId="3A7CCC6A">
            <w:pPr>
              <w:pStyle w:val="7"/>
              <w:spacing w:before="92" w:line="221" w:lineRule="auto"/>
              <w:ind w:left="132" w:leftChars="0"/>
              <w:rPr>
                <w:rFonts w:hint="eastAsia" w:ascii="宋体" w:hAnsi="宋体" w:eastAsia="宋体" w:cs="宋体"/>
                <w:kern w:val="2"/>
                <w:sz w:val="24"/>
                <w:szCs w:val="24"/>
                <w:lang w:val="en-US" w:eastAsia="en-US" w:bidi="ar-SA"/>
              </w:rPr>
            </w:pPr>
            <w:r>
              <w:rPr>
                <w:rFonts w:hint="eastAsia" w:ascii="宋体" w:hAnsi="宋体" w:eastAsia="宋体" w:cs="宋体"/>
                <w:spacing w:val="-8"/>
                <w:sz w:val="24"/>
                <w:szCs w:val="24"/>
              </w:rPr>
              <w:t>门岗</w:t>
            </w:r>
          </w:p>
        </w:tc>
        <w:tc>
          <w:tcPr>
            <w:tcW w:w="1158" w:type="dxa"/>
            <w:shd w:val="clear" w:color="auto" w:fill="auto"/>
            <w:vAlign w:val="center"/>
          </w:tcPr>
          <w:p w14:paraId="69624B28">
            <w:pPr>
              <w:keepNext w:val="0"/>
              <w:keepLines w:val="0"/>
              <w:pageBreakBefore w:val="0"/>
              <w:widowControl w:val="0"/>
              <w:kinsoku/>
              <w:wordWrap/>
              <w:overflowPunct/>
              <w:topLinePunct w:val="0"/>
              <w:autoSpaceDE/>
              <w:autoSpaceDN/>
              <w:bidi w:val="0"/>
              <w:adjustRightInd/>
              <w:snapToGrid/>
              <w:ind w:left="0" w:leftChars="0"/>
              <w:jc w:val="center"/>
              <w:textAlignment w:val="auto"/>
              <w:rPr>
                <w:rFonts w:hint="eastAsia" w:ascii="宋体" w:hAnsi="宋体" w:eastAsia="宋体" w:cs="宋体"/>
                <w:kern w:val="2"/>
                <w:sz w:val="24"/>
                <w:szCs w:val="24"/>
                <w:lang w:val="en-US" w:eastAsia="zh-CN" w:bidi="ar-SA"/>
              </w:rPr>
            </w:pPr>
          </w:p>
        </w:tc>
        <w:tc>
          <w:tcPr>
            <w:tcW w:w="1899" w:type="dxa"/>
            <w:shd w:val="clear" w:color="auto" w:fill="auto"/>
            <w:vAlign w:val="center"/>
          </w:tcPr>
          <w:p w14:paraId="1930007C">
            <w:pPr>
              <w:keepNext w:val="0"/>
              <w:keepLines w:val="0"/>
              <w:pageBreakBefore w:val="0"/>
              <w:widowControl w:val="0"/>
              <w:kinsoku/>
              <w:wordWrap/>
              <w:overflowPunct/>
              <w:topLinePunct w:val="0"/>
              <w:autoSpaceDE/>
              <w:autoSpaceDN/>
              <w:bidi w:val="0"/>
              <w:adjustRightInd/>
              <w:snapToGrid/>
              <w:ind w:left="0" w:leftChars="0"/>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17</w:t>
            </w:r>
          </w:p>
        </w:tc>
        <w:tc>
          <w:tcPr>
            <w:tcW w:w="2873" w:type="dxa"/>
            <w:shd w:val="clear" w:color="auto" w:fill="auto"/>
            <w:vAlign w:val="top"/>
          </w:tcPr>
          <w:p w14:paraId="00B4D388">
            <w:pPr>
              <w:pStyle w:val="7"/>
              <w:keepNext w:val="0"/>
              <w:keepLines w:val="0"/>
              <w:pageBreakBefore w:val="0"/>
              <w:widowControl w:val="0"/>
              <w:kinsoku/>
              <w:wordWrap/>
              <w:overflowPunct/>
              <w:topLinePunct w:val="0"/>
              <w:autoSpaceDE/>
              <w:autoSpaceDN/>
              <w:bidi w:val="0"/>
              <w:adjustRightInd/>
              <w:snapToGrid/>
              <w:spacing w:line="220" w:lineRule="auto"/>
              <w:ind w:left="0" w:leftChars="0"/>
              <w:textAlignment w:val="auto"/>
              <w:rPr>
                <w:rFonts w:hint="eastAsia" w:ascii="宋体" w:hAnsi="宋体" w:eastAsia="宋体" w:cs="宋体"/>
                <w:kern w:val="2"/>
                <w:sz w:val="24"/>
                <w:szCs w:val="24"/>
                <w:lang w:val="en-US" w:eastAsia="en-US" w:bidi="ar-SA"/>
              </w:rPr>
            </w:pPr>
            <w:r>
              <w:rPr>
                <w:rFonts w:hint="eastAsia" w:ascii="宋体" w:hAnsi="宋体" w:eastAsia="宋体" w:cs="宋体"/>
                <w:spacing w:val="-1"/>
                <w:sz w:val="24"/>
                <w:szCs w:val="24"/>
              </w:rPr>
              <w:t>比如：包括但不限于保安员证，由供应商出</w:t>
            </w:r>
            <w:r>
              <w:rPr>
                <w:rFonts w:hint="eastAsia" w:ascii="宋体" w:hAnsi="宋体" w:eastAsia="宋体" w:cs="宋体"/>
                <w:spacing w:val="-2"/>
                <w:sz w:val="24"/>
                <w:szCs w:val="24"/>
              </w:rPr>
              <w:t>具承诺书</w:t>
            </w:r>
          </w:p>
        </w:tc>
      </w:tr>
      <w:tr w14:paraId="67A8DD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jc w:val="center"/>
        </w:trPr>
        <w:tc>
          <w:tcPr>
            <w:tcW w:w="1546" w:type="dxa"/>
            <w:vMerge w:val="restart"/>
            <w:vAlign w:val="top"/>
          </w:tcPr>
          <w:p w14:paraId="49AB2EE4">
            <w:pPr>
              <w:pStyle w:val="7"/>
              <w:spacing w:before="95" w:line="220" w:lineRule="auto"/>
              <w:ind w:left="115" w:firstLine="238" w:firstLineChars="100"/>
              <w:rPr>
                <w:rFonts w:hint="eastAsia" w:ascii="宋体" w:hAnsi="宋体" w:eastAsia="宋体" w:cs="宋体"/>
                <w:sz w:val="24"/>
                <w:szCs w:val="24"/>
              </w:rPr>
            </w:pPr>
            <w:r>
              <w:rPr>
                <w:rFonts w:hint="eastAsia" w:ascii="宋体" w:hAnsi="宋体" w:eastAsia="宋体" w:cs="宋体"/>
                <w:spacing w:val="-1"/>
                <w:sz w:val="24"/>
                <w:szCs w:val="24"/>
              </w:rPr>
              <w:t>会议服务</w:t>
            </w:r>
          </w:p>
        </w:tc>
        <w:tc>
          <w:tcPr>
            <w:tcW w:w="2145" w:type="dxa"/>
            <w:vAlign w:val="top"/>
          </w:tcPr>
          <w:p w14:paraId="349E26F8">
            <w:pPr>
              <w:pStyle w:val="7"/>
              <w:spacing w:before="95" w:line="220" w:lineRule="auto"/>
              <w:ind w:left="107"/>
              <w:rPr>
                <w:rFonts w:hint="eastAsia" w:ascii="宋体" w:hAnsi="宋体" w:eastAsia="宋体" w:cs="宋体"/>
                <w:sz w:val="24"/>
                <w:szCs w:val="24"/>
              </w:rPr>
            </w:pPr>
            <w:r>
              <w:rPr>
                <w:rFonts w:hint="eastAsia" w:ascii="宋体" w:hAnsi="宋体" w:eastAsia="宋体" w:cs="宋体"/>
                <w:sz w:val="24"/>
                <w:szCs w:val="24"/>
              </w:rPr>
              <w:t>调试员</w:t>
            </w:r>
          </w:p>
        </w:tc>
        <w:tc>
          <w:tcPr>
            <w:tcW w:w="1158" w:type="dxa"/>
            <w:vAlign w:val="center"/>
          </w:tcPr>
          <w:p w14:paraId="45C37255">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宋体" w:hAnsi="宋体" w:eastAsia="宋体" w:cs="宋体"/>
                <w:sz w:val="24"/>
                <w:szCs w:val="24"/>
              </w:rPr>
            </w:pPr>
          </w:p>
        </w:tc>
        <w:tc>
          <w:tcPr>
            <w:tcW w:w="1899" w:type="dxa"/>
            <w:vAlign w:val="center"/>
          </w:tcPr>
          <w:p w14:paraId="4090EB47">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2873" w:type="dxa"/>
            <w:vAlign w:val="top"/>
          </w:tcPr>
          <w:p w14:paraId="28958ECD">
            <w:pPr>
              <w:pStyle w:val="7"/>
              <w:keepNext w:val="0"/>
              <w:keepLines w:val="0"/>
              <w:pageBreakBefore w:val="0"/>
              <w:widowControl w:val="0"/>
              <w:kinsoku/>
              <w:wordWrap/>
              <w:overflowPunct/>
              <w:topLinePunct w:val="0"/>
              <w:autoSpaceDE/>
              <w:autoSpaceDN/>
              <w:bidi w:val="0"/>
              <w:adjustRightInd/>
              <w:snapToGrid/>
              <w:spacing w:line="242" w:lineRule="auto"/>
              <w:ind w:left="0"/>
              <w:textAlignment w:val="auto"/>
              <w:rPr>
                <w:rFonts w:hint="eastAsia" w:ascii="宋体" w:hAnsi="宋体" w:eastAsia="宋体" w:cs="宋体"/>
                <w:sz w:val="24"/>
                <w:szCs w:val="24"/>
              </w:rPr>
            </w:pPr>
          </w:p>
        </w:tc>
      </w:tr>
      <w:tr w14:paraId="67E88C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jc w:val="center"/>
        </w:trPr>
        <w:tc>
          <w:tcPr>
            <w:tcW w:w="1546" w:type="dxa"/>
            <w:vMerge w:val="continue"/>
            <w:vAlign w:val="top"/>
          </w:tcPr>
          <w:p w14:paraId="15163C34">
            <w:pPr>
              <w:pStyle w:val="7"/>
              <w:spacing w:before="95" w:line="220" w:lineRule="auto"/>
              <w:ind w:left="115"/>
              <w:rPr>
                <w:rFonts w:hint="eastAsia" w:ascii="宋体" w:hAnsi="宋体" w:eastAsia="宋体" w:cs="宋体"/>
                <w:spacing w:val="-1"/>
                <w:sz w:val="24"/>
                <w:szCs w:val="24"/>
              </w:rPr>
            </w:pPr>
          </w:p>
        </w:tc>
        <w:tc>
          <w:tcPr>
            <w:tcW w:w="2145" w:type="dxa"/>
            <w:shd w:val="clear" w:color="auto" w:fill="auto"/>
            <w:vAlign w:val="top"/>
          </w:tcPr>
          <w:p w14:paraId="7BD96C8C">
            <w:pPr>
              <w:pStyle w:val="7"/>
              <w:spacing w:before="95" w:line="220" w:lineRule="auto"/>
              <w:ind w:left="107" w:leftChars="0"/>
              <w:rPr>
                <w:rFonts w:hint="eastAsia" w:ascii="宋体" w:hAnsi="宋体" w:eastAsia="宋体" w:cs="宋体"/>
                <w:kern w:val="2"/>
                <w:sz w:val="24"/>
                <w:szCs w:val="24"/>
                <w:lang w:val="en-US" w:eastAsia="en-US" w:bidi="ar-SA"/>
              </w:rPr>
            </w:pPr>
            <w:r>
              <w:rPr>
                <w:rFonts w:hint="eastAsia" w:ascii="宋体" w:hAnsi="宋体" w:eastAsia="宋体" w:cs="宋体"/>
                <w:spacing w:val="-2"/>
                <w:sz w:val="24"/>
                <w:szCs w:val="24"/>
              </w:rPr>
              <w:t>会务</w:t>
            </w:r>
          </w:p>
        </w:tc>
        <w:tc>
          <w:tcPr>
            <w:tcW w:w="1158" w:type="dxa"/>
            <w:shd w:val="clear" w:color="auto" w:fill="auto"/>
            <w:vAlign w:val="center"/>
          </w:tcPr>
          <w:p w14:paraId="5001457D">
            <w:pPr>
              <w:keepNext w:val="0"/>
              <w:keepLines w:val="0"/>
              <w:pageBreakBefore w:val="0"/>
              <w:widowControl w:val="0"/>
              <w:kinsoku/>
              <w:wordWrap/>
              <w:overflowPunct/>
              <w:topLinePunct w:val="0"/>
              <w:autoSpaceDE/>
              <w:autoSpaceDN/>
              <w:bidi w:val="0"/>
              <w:adjustRightInd/>
              <w:snapToGrid/>
              <w:ind w:left="0" w:leftChars="0"/>
              <w:jc w:val="center"/>
              <w:textAlignment w:val="auto"/>
              <w:rPr>
                <w:rFonts w:hint="eastAsia" w:ascii="宋体" w:hAnsi="宋体" w:eastAsia="宋体" w:cs="宋体"/>
                <w:kern w:val="2"/>
                <w:sz w:val="24"/>
                <w:szCs w:val="24"/>
                <w:lang w:val="en-US" w:eastAsia="zh-CN" w:bidi="ar-SA"/>
              </w:rPr>
            </w:pPr>
          </w:p>
        </w:tc>
        <w:tc>
          <w:tcPr>
            <w:tcW w:w="1899" w:type="dxa"/>
            <w:shd w:val="clear" w:color="auto" w:fill="auto"/>
            <w:vAlign w:val="center"/>
          </w:tcPr>
          <w:p w14:paraId="1CA2180C">
            <w:pPr>
              <w:keepNext w:val="0"/>
              <w:keepLines w:val="0"/>
              <w:pageBreakBefore w:val="0"/>
              <w:widowControl w:val="0"/>
              <w:kinsoku/>
              <w:wordWrap/>
              <w:overflowPunct/>
              <w:topLinePunct w:val="0"/>
              <w:autoSpaceDE/>
              <w:autoSpaceDN/>
              <w:bidi w:val="0"/>
              <w:adjustRightInd/>
              <w:snapToGrid/>
              <w:ind w:left="0" w:leftChars="0"/>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6</w:t>
            </w:r>
          </w:p>
        </w:tc>
        <w:tc>
          <w:tcPr>
            <w:tcW w:w="2873" w:type="dxa"/>
            <w:shd w:val="clear" w:color="auto" w:fill="auto"/>
            <w:vAlign w:val="top"/>
          </w:tcPr>
          <w:p w14:paraId="20F499EC">
            <w:pPr>
              <w:pStyle w:val="7"/>
              <w:keepNext w:val="0"/>
              <w:keepLines w:val="0"/>
              <w:pageBreakBefore w:val="0"/>
              <w:widowControl w:val="0"/>
              <w:kinsoku/>
              <w:wordWrap/>
              <w:overflowPunct/>
              <w:topLinePunct w:val="0"/>
              <w:autoSpaceDE/>
              <w:autoSpaceDN/>
              <w:bidi w:val="0"/>
              <w:adjustRightInd/>
              <w:snapToGrid/>
              <w:spacing w:line="242" w:lineRule="auto"/>
              <w:ind w:left="0" w:leftChars="0"/>
              <w:textAlignment w:val="auto"/>
              <w:rPr>
                <w:rFonts w:hint="eastAsia" w:ascii="宋体" w:hAnsi="宋体" w:eastAsia="宋体" w:cs="宋体"/>
                <w:kern w:val="2"/>
                <w:sz w:val="24"/>
                <w:szCs w:val="24"/>
                <w:lang w:val="en-US" w:eastAsia="en-US" w:bidi="ar-SA"/>
              </w:rPr>
            </w:pPr>
            <w:r>
              <w:rPr>
                <w:rFonts w:hint="eastAsia" w:ascii="宋体" w:hAnsi="宋体" w:eastAsia="宋体" w:cs="宋体"/>
                <w:spacing w:val="-3"/>
                <w:sz w:val="24"/>
                <w:szCs w:val="24"/>
              </w:rPr>
              <w:t>如：08</w:t>
            </w:r>
            <w:r>
              <w:rPr>
                <w:rFonts w:hint="eastAsia" w:ascii="宋体" w:hAnsi="宋体" w:eastAsia="宋体" w:cs="宋体"/>
                <w:spacing w:val="-18"/>
                <w:sz w:val="24"/>
                <w:szCs w:val="24"/>
              </w:rPr>
              <w:t xml:space="preserve"> </w:t>
            </w:r>
            <w:r>
              <w:rPr>
                <w:rFonts w:hint="eastAsia" w:ascii="宋体" w:hAnsi="宋体" w:eastAsia="宋体" w:cs="宋体"/>
                <w:spacing w:val="-3"/>
                <w:sz w:val="24"/>
                <w:szCs w:val="24"/>
              </w:rPr>
              <w:t>：00-17：00</w:t>
            </w:r>
          </w:p>
        </w:tc>
      </w:tr>
    </w:tbl>
    <w:p w14:paraId="64331DF9">
      <w:pPr>
        <w:jc w:val="both"/>
        <w:rPr>
          <w:rFonts w:hint="default"/>
          <w:b/>
          <w:bCs/>
          <w:sz w:val="24"/>
          <w:szCs w:val="24"/>
          <w:lang w:val="en-US" w:eastAsia="zh-CN"/>
        </w:rPr>
      </w:pPr>
    </w:p>
    <w:p w14:paraId="05461E8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cs="宋体"/>
          <w:b/>
          <w:bCs/>
          <w:color w:val="000000"/>
          <w:kern w:val="0"/>
          <w:sz w:val="24"/>
          <w:szCs w:val="24"/>
          <w:lang w:val="en-US" w:eastAsia="zh-CN" w:bidi="ar"/>
        </w:rPr>
        <w:t>三、具体实施方案</w:t>
      </w:r>
    </w:p>
    <w:p w14:paraId="143B350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公共区域保洁</w:t>
      </w:r>
      <w:r>
        <w:rPr>
          <w:rFonts w:hint="eastAsia" w:ascii="宋体" w:hAnsi="宋体" w:cs="宋体"/>
          <w:b/>
          <w:bCs/>
          <w:color w:val="000000"/>
          <w:kern w:val="0"/>
          <w:sz w:val="24"/>
          <w:szCs w:val="24"/>
          <w:lang w:val="en-US" w:eastAsia="zh-CN" w:bidi="ar"/>
        </w:rPr>
        <w:t>标准</w:t>
      </w:r>
      <w:r>
        <w:rPr>
          <w:rFonts w:hint="eastAsia" w:ascii="宋体" w:hAnsi="宋体" w:eastAsia="宋体" w:cs="宋体"/>
          <w:b/>
          <w:bCs/>
          <w:color w:val="000000"/>
          <w:kern w:val="0"/>
          <w:sz w:val="24"/>
          <w:szCs w:val="24"/>
          <w:lang w:val="en-US" w:eastAsia="zh-CN" w:bidi="ar"/>
        </w:rPr>
        <w:t xml:space="preserve"> </w:t>
      </w:r>
    </w:p>
    <w:p w14:paraId="38E97C7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1、楼口楼梯与无障碍通道 </w:t>
      </w:r>
    </w:p>
    <w:p w14:paraId="6E899C77">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（1）地面干净无积尘，扶手和栏杆表面光亮、无灰尘、无絮状物。 </w:t>
      </w:r>
    </w:p>
    <w:p w14:paraId="719AFF28">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（2）雨后雪后及时清洁，地面无积水积雪，冬季地面无结冰，扶手和栏杆无水渍、无积雪。 </w:t>
      </w:r>
    </w:p>
    <w:p w14:paraId="40E505A0">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（3）视雨、雪大小在门厅口铺设防滑毯。 </w:t>
      </w:r>
    </w:p>
    <w:p w14:paraId="3FD1152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2、墙面 </w:t>
      </w:r>
    </w:p>
    <w:p w14:paraId="064DD869">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（1）墙纸 无斑点、无污渍。 </w:t>
      </w:r>
    </w:p>
    <w:p w14:paraId="4A16DA9C">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（2）高密度板(复合板)：色泽均一、无擦痕、无积灰、无污渍。 </w:t>
      </w:r>
    </w:p>
    <w:p w14:paraId="72B50A7F">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（3）涂料 无灰尘、无污渍。 </w:t>
      </w:r>
    </w:p>
    <w:p w14:paraId="6E39CC20">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（4）玻璃 保持洁净、光亮、无灰尘、无污迹、无水迹。 </w:t>
      </w:r>
    </w:p>
    <w:p w14:paraId="1FEAAA05">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（5）墙面装饰件目视清洁、外框无擦痕、无积灰。 </w:t>
      </w:r>
    </w:p>
    <w:p w14:paraId="14DE650F">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（6）墙面各种开关、插座、接线插口、配电箱内外洁净无灰尘、无污迹、无指印，灯泡、灯管、灯罩无灰尘、无污迹。 </w:t>
      </w:r>
    </w:p>
    <w:p w14:paraId="2B0A110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3、地面 </w:t>
      </w:r>
    </w:p>
    <w:p w14:paraId="4F18DDC8">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（1）硬化地面 地表面、接缝、角落、边线等处洁净，地面干净，大理石地面有光泽，无垃圾、杂物、灰尘、污迹、划痕等。 </w:t>
      </w:r>
    </w:p>
    <w:p w14:paraId="3BE8E9FB">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（2）软地面 地毯色泽均一、无褪色、无毛边、柔软、地毯清洁后纤维顺方向保持一致。 </w:t>
      </w:r>
    </w:p>
    <w:p w14:paraId="1277E0B0">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（3）塑胶地垫 表面平整、色泽均一、无残留物、无污渍、无板结。 </w:t>
      </w:r>
    </w:p>
    <w:p w14:paraId="7B5BD957">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（4）木制地板 表面光亮、四周边角无积灰、无污渍。 </w:t>
      </w:r>
    </w:p>
    <w:p w14:paraId="28F27A5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4、门、窗台、楼梯扶手、栏杆、指示牌 </w:t>
      </w:r>
    </w:p>
    <w:p w14:paraId="46DAA5FC">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（1）门框、窗框、窗台、金属件表面光亮、无灰尘、无污渍、无絮状物，旋转门、门中轴、门框、门边缝部位光亮、无痕迹、无灰尘。 </w:t>
      </w:r>
    </w:p>
    <w:p w14:paraId="7E00FA60">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（2）门把手干净、无痕迹、定时消毒。 </w:t>
      </w:r>
    </w:p>
    <w:p w14:paraId="5D60E2C9">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（3）楼梯扶手和栏杆表面光亮、无灰尘、无絮状物。 </w:t>
      </w:r>
    </w:p>
    <w:p w14:paraId="1448DEA6">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（4）空调出风口暖气防尘罩无灰尘、无污迹。 </w:t>
      </w:r>
    </w:p>
    <w:p w14:paraId="269A5C7A">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（5）指示牌、展台无灰尘、无污迹、无擦痕。 </w:t>
      </w:r>
    </w:p>
    <w:p w14:paraId="5CE4A2A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5、电梯轿厢 </w:t>
      </w:r>
    </w:p>
    <w:p w14:paraId="5DABA80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保持空气清新、无异味，轿厢四壁光洁明亮,操作面板无污迹、无灰尘、无擦痕；按时消毒并公示工作记录。 </w:t>
      </w:r>
    </w:p>
    <w:p w14:paraId="542F506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6、茶水间 </w:t>
      </w:r>
    </w:p>
    <w:p w14:paraId="0527841B">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（1）保持干净、整洁、无垃圾，做好防疫消毒和记录。 </w:t>
      </w:r>
    </w:p>
    <w:p w14:paraId="6B76B729">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（2）饮水机和热水器外壳应无污迹、水渍。不锈钢台面无水迹、无污渍、无擦痕。不锈钢水槽干净、无斑点、无污迹、无杂物、水垢，落水口无污垢。 </w:t>
      </w:r>
    </w:p>
    <w:p w14:paraId="6A9500F5">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（3）冷、热水笼头表面光亮、无污渍、无水垢。下水道无异味、定期滴入消毒液。 </w:t>
      </w:r>
    </w:p>
    <w:p w14:paraId="376DB38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7、公共卫生间 </w:t>
      </w:r>
    </w:p>
    <w:p w14:paraId="524CB582">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（1）卫生间内经常通风、无异味。 </w:t>
      </w:r>
    </w:p>
    <w:p w14:paraId="787BAADC">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（2）厕内、小便池内刷洗干净、喷洒消毒，保持无异味、无污迹、无水渍、无垃圾。 </w:t>
      </w:r>
    </w:p>
    <w:p w14:paraId="1A4D0FAB">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（3）镜面明净、无水渍、无擦痕、镜框边缘无灰尘。 </w:t>
      </w:r>
    </w:p>
    <w:p w14:paraId="1A9D903A">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（4）洁具应表面光洁、明亮、内外侧无水垢、无污渍、无毛发、无异味、定时消毒。 </w:t>
      </w:r>
    </w:p>
    <w:p w14:paraId="31CC37E8">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（5）面盆无水垢，云石台面无水迹、无皂迹、无毛发，光洁明亮。 </w:t>
      </w:r>
    </w:p>
    <w:p w14:paraId="561CD34C">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（6）备用储水桶外表洁净，桶盖洁净，桶内及舀水盆定期刷洗，无沉积水垢。 </w:t>
      </w:r>
    </w:p>
    <w:p w14:paraId="5D230B84">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（7）废物箱表面无污迹、无灰尘、无异味、桶内垃圾不能超过四分之三、及时清倒、定时消毒。 </w:t>
      </w:r>
    </w:p>
    <w:p w14:paraId="366DBDB2">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（8）外露水管连接处无碱性污垢,管道表面光亮、无灰尘。 </w:t>
      </w:r>
    </w:p>
    <w:p w14:paraId="3C3991CF">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（9）所有保洁用品统一标识，分类使用和摆放，位置统一，拖布沥水盆定期清洗，无沉积水垢。 </w:t>
      </w:r>
    </w:p>
    <w:p w14:paraId="55767B2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8、消防栓、消防箱、公共设施 </w:t>
      </w:r>
    </w:p>
    <w:p w14:paraId="043FF5B4">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（1）保持表面干净，无灰尘、无污渍。 </w:t>
      </w:r>
    </w:p>
    <w:p w14:paraId="2BDC55AD">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（2）报警器、火警通讯电话插座、灭火器表面光亮、无灰尘、无污迹，喷淋盖、烟感器、喇叭无灰尘、无污渍。 </w:t>
      </w:r>
    </w:p>
    <w:p w14:paraId="5F040A1E">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（3）监控摄像头、门警器表面光亮、无灰尘、无斑点、无絮状物。 </w:t>
      </w:r>
    </w:p>
    <w:p w14:paraId="5C1F8B0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9、采购人指定的设备机房、管道及管道间无杂物堆放、无卫生死角、目视无蜘蛛网、无污渍、无水渍。 </w:t>
      </w:r>
    </w:p>
    <w:p w14:paraId="4284699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10、平台、屋顶定期清扫，无垃圾，排水管口无积物。 </w:t>
      </w:r>
    </w:p>
    <w:p w14:paraId="4F83E1E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11、根据防疫卫生要求，做好病媒生物防治、消毒等工作。 </w:t>
      </w:r>
    </w:p>
    <w:p w14:paraId="6515022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12、采购人在签订合同时提供《鄠邑区机关事务服务中心后勤管理工作标准》，按照工作指南严格执行。 </w:t>
      </w:r>
    </w:p>
    <w:p w14:paraId="117770E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b/>
          <w:bCs/>
          <w:color w:val="000000"/>
          <w:kern w:val="0"/>
          <w:sz w:val="24"/>
          <w:szCs w:val="24"/>
          <w:lang w:val="en-US" w:eastAsia="zh-CN" w:bidi="ar"/>
        </w:rPr>
        <w:t>秩序维护</w:t>
      </w:r>
      <w:r>
        <w:rPr>
          <w:rFonts w:hint="eastAsia" w:ascii="宋体" w:hAnsi="宋体" w:cs="宋体"/>
          <w:b/>
          <w:bCs/>
          <w:color w:val="000000"/>
          <w:kern w:val="0"/>
          <w:sz w:val="24"/>
          <w:szCs w:val="24"/>
          <w:lang w:val="en-US" w:eastAsia="zh-CN" w:bidi="ar"/>
        </w:rPr>
        <w:t>服务标准</w:t>
      </w:r>
    </w:p>
    <w:p w14:paraId="21FC82F3">
      <w:pPr>
        <w:keepNext w:val="0"/>
        <w:keepLines w:val="0"/>
        <w:pageBreakBefore w:val="0"/>
        <w:widowControl/>
        <w:tabs>
          <w:tab w:val="left" w:pos="2143"/>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1、做好进出人员排查工作，对进出人员进行认真登记，防止闲杂人员混入机关内部。</w:t>
      </w:r>
    </w:p>
    <w:p w14:paraId="4BCEBEFC">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2、配合做好各种大型会议的安保工作，杜绝意外事件发生。</w:t>
      </w:r>
    </w:p>
    <w:p w14:paraId="32128CC9">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3、对区域定期进行巡查，如有问题及时汇报，将安全防范工作落到实处。</w:t>
      </w:r>
    </w:p>
    <w:p w14:paraId="195F810D">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4、对涉及各类安全隐患的点位进行全面排查，深入查找薄弱环节，确保不留死角、不留盲点。</w:t>
      </w:r>
    </w:p>
    <w:p w14:paraId="3994610B">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5、结合工作实际，合理安排人员值守，加强车辆疏导，清理乱停、乱放车辆，保障车辆有序停放。</w:t>
      </w:r>
    </w:p>
    <w:p w14:paraId="04E3E7E0">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6、做好防窃防盗等治安管理，防范恶性事件、突发事件发生，如果遇到突发事件，保安要冷静地按照应急处置方案处理。</w:t>
      </w:r>
    </w:p>
    <w:p w14:paraId="34BE4BC2">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7、配合信访局、公安局做好上访人员的劝访和引导工作，防止堵门、闹事。</w:t>
      </w:r>
    </w:p>
    <w:p w14:paraId="6E20E17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会议中心服务和保障</w:t>
      </w:r>
    </w:p>
    <w:p w14:paraId="1FD45C1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1、会议中心内所有会议室的会务服务，提供会议的服务与设备调试保障、资产管理等物业服务保障工作。 </w:t>
      </w:r>
    </w:p>
    <w:p w14:paraId="12ABC89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2、对所有召开会议进行会议服务与保障，主要包括会前准备、会中服务、会后总结、记录等。 </w:t>
      </w:r>
    </w:p>
    <w:p w14:paraId="712773F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3、做好所有会议室、接待室的保养和保洁工作，保持随时可用状态。 </w:t>
      </w:r>
    </w:p>
    <w:p w14:paraId="3FF77EB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4、对会议室资产设施、设备、物品、备品备件等进行登记管理，定期盘点，与采购人进行资产核对。 </w:t>
      </w:r>
    </w:p>
    <w:p w14:paraId="60C009E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color w:val="000000"/>
          <w:kern w:val="0"/>
          <w:sz w:val="24"/>
          <w:szCs w:val="24"/>
          <w:lang w:val="en-US" w:eastAsia="zh-CN" w:bidi="ar"/>
        </w:rPr>
        <w:t xml:space="preserve">5、采购人在签订合同时提供《鄠邑区机关事务服务中心会务服务工作标准》，按照工作指南严格执行。 </w:t>
      </w:r>
    </w:p>
    <w:p w14:paraId="7A0149DC">
      <w:pPr>
        <w:keepNext w:val="0"/>
        <w:keepLines w:val="0"/>
        <w:pageBreakBefore w:val="0"/>
        <w:widowControl/>
        <w:tabs>
          <w:tab w:val="left" w:pos="4039"/>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6、做好防疫卫生消毒工作，其他未列明事宜，在项目实施过程中具体按照采购人要求执行。 </w:t>
      </w:r>
    </w:p>
    <w:p w14:paraId="064D5DA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绿化养护</w:t>
      </w:r>
      <w:r>
        <w:rPr>
          <w:rFonts w:hint="eastAsia" w:ascii="宋体" w:hAnsi="宋体" w:cs="宋体"/>
          <w:b/>
          <w:bCs/>
          <w:color w:val="000000"/>
          <w:kern w:val="0"/>
          <w:sz w:val="24"/>
          <w:szCs w:val="24"/>
          <w:lang w:val="en-US" w:eastAsia="zh-CN" w:bidi="ar"/>
        </w:rPr>
        <w:t>服务标准</w:t>
      </w:r>
    </w:p>
    <w:p w14:paraId="036B412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对集中办公区域的绿地进行养护，建立区域绿化养护方案和绿化管理制度，并做好工作记录；根据区域绿化实际需要，配置专、兼职绿化服务人员；绿化养护人员应根据季节要求，按照养护规范对植物、草地、花卉等进行定期养护。要求： </w:t>
      </w:r>
    </w:p>
    <w:p w14:paraId="199BC15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1、修剪 </w:t>
      </w:r>
    </w:p>
    <w:p w14:paraId="5CBE1DD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（1）草地：根据长势状况定期修剪整形，草的高度不超过 9cm 且保持一致，草坪无杂草草屑。 </w:t>
      </w:r>
    </w:p>
    <w:p w14:paraId="31A9457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（2）灌木：根据长势状况定期修剪整形，植物主枝分布均匀，通风透气，造型美观，绿篱整齐一致，无枯枝无杂草。 </w:t>
      </w:r>
    </w:p>
    <w:p w14:paraId="27A86BE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（3）乔木：每年定期修剪，树冠圆整、树势均匀，45 度剪口靠节光滑。针叶树应保持明显顶端优势。 </w:t>
      </w:r>
    </w:p>
    <w:p w14:paraId="62A1752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2、灌溉 </w:t>
      </w:r>
    </w:p>
    <w:p w14:paraId="4544CE2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具体灌溉次数视天气情况而定，供水充足，保持植物长势良好，不出现大面积枯萎等缺水现象。 </w:t>
      </w:r>
    </w:p>
    <w:p w14:paraId="4D6A886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3、除杂草、松土 </w:t>
      </w:r>
    </w:p>
    <w:p w14:paraId="4BE247B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定期除草地内杂草，草地上无开花杂草，花木丛中无高于花木的杂草；花木丛中无高于花木的杂草；定期疏松表土，土壤疏松通透。 </w:t>
      </w:r>
    </w:p>
    <w:p w14:paraId="5C0C93F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4、施肥定期进行施肥，施肥均匀、充足、适度，保证绿化植物强壮、枝叶茂盛。 </w:t>
      </w:r>
    </w:p>
    <w:p w14:paraId="0D9ABB9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5、病虫害防治及时防治，病株、虫害现象不成灾。 </w:t>
      </w:r>
    </w:p>
    <w:p w14:paraId="682417B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6、扶正、加固对新植和弱小树木、植物做好综合防护，及时扶正加固。 </w:t>
      </w:r>
    </w:p>
    <w:p w14:paraId="076B34C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7、补植 </w:t>
      </w:r>
    </w:p>
    <w:p w14:paraId="0CFF89C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对因生长不良造成的残缺花草树木及时补种，能满足植物生长的条件下无黄土裸露。 </w:t>
      </w:r>
    </w:p>
    <w:p w14:paraId="3AD5734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8、防风防汛 </w:t>
      </w:r>
    </w:p>
    <w:p w14:paraId="5C58102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灾前积极预防，对树木加固，灾后及时清除倒树断枝，疏通道路，清理扶植，尽快恢复原状。 </w:t>
      </w:r>
    </w:p>
    <w:p w14:paraId="165F4AF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9、清理绿化垃圾 </w:t>
      </w:r>
    </w:p>
    <w:p w14:paraId="15324C9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修剪下来的树枝和杂草，当天清理运至垃圾场，专人跟踪保洁。 </w:t>
      </w:r>
    </w:p>
    <w:p w14:paraId="20AAE6D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10、防寒 </w:t>
      </w:r>
    </w:p>
    <w:p w14:paraId="7B75838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寒冷季节应有防冻保温措施。 </w:t>
      </w:r>
    </w:p>
    <w:p w14:paraId="1FC4769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日常维修维护</w:t>
      </w:r>
      <w:r>
        <w:rPr>
          <w:rFonts w:hint="eastAsia" w:ascii="宋体" w:hAnsi="宋体" w:cs="宋体"/>
          <w:b/>
          <w:bCs/>
          <w:color w:val="000000"/>
          <w:kern w:val="0"/>
          <w:sz w:val="24"/>
          <w:szCs w:val="24"/>
          <w:lang w:val="en-US" w:eastAsia="zh-CN" w:bidi="ar"/>
        </w:rPr>
        <w:t>服务标准</w:t>
      </w:r>
    </w:p>
    <w:p w14:paraId="3E546F6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1、做好公共区域水电暖设备设施的日常巡查、检查、维修等工作。</w:t>
      </w:r>
    </w:p>
    <w:p w14:paraId="45F383E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2、协助采购人指导各入驻单位和人员正确使用房屋，指导其遵守房屋安全使用的相关规范。 </w:t>
      </w:r>
    </w:p>
    <w:p w14:paraId="720D56B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3、建立房屋和日常巡查制度，根据房屋实际使用年限，定期检查房屋的使用状况；大风、暴雨等极端天气之前进行应急检查。 </w:t>
      </w:r>
    </w:p>
    <w:p w14:paraId="5D30AF7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4、巡查中发现各类损坏需要维修时，在保修期内的应及时联系相关单位进行维修。超出保修期的，应根据现场情况尽快组织修复，小修不过夜，其他情况按入驻单位要求时效及时组织完成；经采购人同意需要使用专项维修资金的，应及时编制维修计划报请采购人，根据采购人意见，组织维修。 </w:t>
      </w:r>
    </w:p>
    <w:p w14:paraId="59DF5B3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5、每年制订水电暖等设备实施的年度维护保养计划，经甲方同意后，组织实施。 </w:t>
      </w:r>
    </w:p>
    <w:p w14:paraId="3F75AB7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6、应对区域内楼宇及周边各项标识进行有效管理，主要包括：</w:t>
      </w:r>
    </w:p>
    <w:p w14:paraId="57E2069F">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（1）各主要出入口的平面示意图；</w:t>
      </w:r>
    </w:p>
    <w:p w14:paraId="5F55F998">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（2）主要道路、停车场、泊车导向等标识；</w:t>
      </w:r>
    </w:p>
    <w:p w14:paraId="5906678D">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（3）办公区域、公共区域内的紧急出口、消防通道、禁烟区等警示性标识；</w:t>
      </w:r>
    </w:p>
    <w:p w14:paraId="3BB23160">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（4）各楼层指示、引导标识；</w:t>
      </w:r>
    </w:p>
    <w:p w14:paraId="25413F29">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（5）公共卫生间、服务台等公共服务设施引导和位置标识；</w:t>
      </w:r>
    </w:p>
    <w:p w14:paraId="6BF9A9DA">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（6）公共场所的安全设备设施、消防设备设施标识；</w:t>
      </w:r>
    </w:p>
    <w:p w14:paraId="4A05A699">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（7）共用设备设施的安全警示标识；</w:t>
      </w:r>
    </w:p>
    <w:p w14:paraId="406084C8">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（8）临时性服务标识；</w:t>
      </w:r>
    </w:p>
    <w:p w14:paraId="2E7813D5">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（9）其他标识。 </w:t>
      </w:r>
    </w:p>
    <w:p w14:paraId="125A522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7、作业过程中做好卫生清理及防疫卫生消毒工作。 </w:t>
      </w:r>
    </w:p>
    <w:p w14:paraId="7EA856C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8、做好对硬化地面、道路、路灯（景观灯)、水池小景等设施的日常维修养护工作。 </w:t>
      </w:r>
    </w:p>
    <w:p w14:paraId="5267DDD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公用专项设施设备维护 </w:t>
      </w:r>
    </w:p>
    <w:p w14:paraId="261DCED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1、公共照明节能要求 </w:t>
      </w:r>
    </w:p>
    <w:p w14:paraId="11E90B43">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（1）公共照明灯按时开启，满足区域内使用要求</w:t>
      </w:r>
    </w:p>
    <w:p w14:paraId="4F54C990">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（2）定期巡视院落、出入口、道路、大堂、电梯厅、楼道、停车场等公共部位照明设施，及时维修损坏的开关、灯具、插座等。 </w:t>
      </w:r>
    </w:p>
    <w:p w14:paraId="0D1BBF4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2、电梯 </w:t>
      </w:r>
    </w:p>
    <w:p w14:paraId="72506174">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（1）电梯要经有资质的部门检验合格，并取得《安全检验合格证》张贴后投入使用。 </w:t>
      </w:r>
    </w:p>
    <w:p w14:paraId="239BCAB8">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（2）由取得相应资质的专业维修保养单位对电梯进行保养和维修，明确各检修类别和期限，供应商按照采购人所签定设备维保合同对其提供的服务进行监督管理。 </w:t>
      </w:r>
    </w:p>
    <w:p w14:paraId="040EC337">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（3）电梯日常运行平稳舒适，动作准确可靠，直梯轿厢内外按钮、灯具、监控等配件保持完好。 </w:t>
      </w:r>
    </w:p>
    <w:p w14:paraId="4F77E4FF">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（4）建立应急事件处理机制，培训本单位技术人员解决一般的电梯故障，发生故障时维保单位要第一时间到达现场参与处置。 </w:t>
      </w:r>
    </w:p>
    <w:p w14:paraId="1576011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3、空调系统 </w:t>
      </w:r>
    </w:p>
    <w:p w14:paraId="0BFC1F48">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（1）明确维保项目和内容，明确检修、检测、保养、清洗等作业频次，按时限完成并做好记录。 </w:t>
      </w:r>
    </w:p>
    <w:p w14:paraId="25A90136">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（2）每年不少于两次对新风、排风系统进行测定。 </w:t>
      </w:r>
    </w:p>
    <w:p w14:paraId="5A1B807C">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（3）应委托取得资质的专业机构定期对空调系统进行清洗保养，清洗内容和频次符合相关规定。 </w:t>
      </w:r>
    </w:p>
    <w:p w14:paraId="23E9EF56">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（4）由取得相应资质的专业维修保养单位对空调系统进行保养和维修，供应商负责按照采购人所签定设备维保合同对其提供的服务进行监督。 </w:t>
      </w:r>
    </w:p>
    <w:p w14:paraId="6D4C62E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4、给排水设施 </w:t>
      </w:r>
    </w:p>
    <w:p w14:paraId="6F8370E4">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（1）每日对各类水泵、阀门等进行检查，确保给排水系统通畅，各种管道阀门完好，杜绝跑冒滴漏。 </w:t>
      </w:r>
    </w:p>
    <w:p w14:paraId="18C352FB">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（2）确保公共区域饮水机正常工作，外观洁净，水质安全，明确维保作业频次，系统无异味和噪声，对各类公共加热水器进行保养。 </w:t>
      </w:r>
    </w:p>
    <w:p w14:paraId="104052ED">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（3）每季度对楼宇排水总管进行检查，每年至少 1 次对水泵、管道除锈刷漆、对轴承润滑、对污水处理系统全面维护保养。 </w:t>
      </w:r>
    </w:p>
    <w:p w14:paraId="4319B8E2">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（4）每周对室内集水井进行检查，适时清理，每年不少于两次对区域内排水管线进行疏通。 </w:t>
      </w:r>
    </w:p>
    <w:p w14:paraId="30511EB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5、自动化系统 </w:t>
      </w:r>
    </w:p>
    <w:p w14:paraId="15866FCE">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（1）每年对传感器、执行器等仪器仪表相关设备进行校对检查。 </w:t>
      </w:r>
    </w:p>
    <w:p w14:paraId="3A6D648B">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（2）建立机房管理制度，对采购人指定的机房和控制室实行封闭管理，配备符合要求的灭火器材。 </w:t>
      </w:r>
    </w:p>
    <w:p w14:paraId="2F490927">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lang w:val="en-US" w:eastAsia="zh-CN"/>
        </w:rPr>
      </w:pPr>
      <w:r>
        <w:rPr>
          <w:rFonts w:hint="eastAsia" w:ascii="宋体" w:hAnsi="宋体" w:eastAsia="宋体" w:cs="宋体"/>
          <w:color w:val="000000"/>
          <w:kern w:val="0"/>
          <w:sz w:val="24"/>
          <w:szCs w:val="24"/>
          <w:lang w:val="en-US" w:eastAsia="zh-CN" w:bidi="ar"/>
        </w:rPr>
        <w:t xml:space="preserve">（3）参与电子巡更及防盗报警系统的管理。 </w:t>
      </w:r>
    </w:p>
    <w:p w14:paraId="37A5CDC6">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（4）巡更器具工作正常、巡更点位安装牢固、工作正常；各类防盗探测器安装牢固、线路无损、工作正常、整洁；防盗报警控制器线路无损、工作正常、整洁。 </w:t>
      </w:r>
    </w:p>
    <w:p w14:paraId="07259454">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（5）监控</w:t>
      </w:r>
      <w:r>
        <w:rPr>
          <w:rFonts w:hint="eastAsia" w:ascii="宋体" w:hAnsi="宋体" w:cs="宋体"/>
          <w:color w:val="000000"/>
          <w:kern w:val="0"/>
          <w:sz w:val="24"/>
          <w:szCs w:val="24"/>
          <w:lang w:val="en-US" w:eastAsia="zh-CN" w:bidi="ar"/>
        </w:rPr>
        <w:t>设备</w:t>
      </w:r>
      <w:r>
        <w:rPr>
          <w:rFonts w:hint="eastAsia" w:ascii="宋体" w:hAnsi="宋体" w:eastAsia="宋体" w:cs="宋体"/>
          <w:color w:val="000000"/>
          <w:kern w:val="0"/>
          <w:sz w:val="24"/>
          <w:szCs w:val="24"/>
          <w:lang w:val="en-US" w:eastAsia="zh-CN" w:bidi="ar"/>
        </w:rPr>
        <w:t xml:space="preserve"> </w:t>
      </w:r>
    </w:p>
    <w:p w14:paraId="44651DF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摄像机、视频记录设备、监视器、矩阵等工作正常、线路整齐、标识清楚。 供应商对采购人所签定监控设备专业的维保单位进行监督。</w:t>
      </w:r>
    </w:p>
    <w:p w14:paraId="5D3139D5">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（6）停车管理 </w:t>
      </w:r>
    </w:p>
    <w:p w14:paraId="34D9526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栅栏机安装牢固、工作正常，区域及车库车位计数显示器工作正常、整洁、数据准确，图像识别系统工作正常，摄像机功能工作正常。 </w:t>
      </w:r>
    </w:p>
    <w:p w14:paraId="4908FEBB">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（7）LED 大屏按审批手续进行播放。 </w:t>
      </w:r>
    </w:p>
    <w:p w14:paraId="3B819A1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6、消防设施 </w:t>
      </w:r>
    </w:p>
    <w:p w14:paraId="647C96DF">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（1）疏散通道、安全出口、消防车道保持畅通，无堵塞、占用、锁闭现象；严禁占用消防通道。 </w:t>
      </w:r>
    </w:p>
    <w:p w14:paraId="6AA9F00D">
      <w:pPr>
        <w:keepNext w:val="0"/>
        <w:keepLines w:val="0"/>
        <w:pageBreakBefore w:val="0"/>
        <w:widowControl/>
        <w:tabs>
          <w:tab w:val="left" w:pos="8551"/>
        </w:tabs>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（2）室内消火栓箱醒目、无遮挡，箱门应设置紧急开启装置，栓口、水枪、水带齐全好用，启泵按钮应能够正常启动消防水泵。 </w:t>
      </w:r>
    </w:p>
    <w:p w14:paraId="051E3477">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（3）室外消火栓、水泵接合器应完好，无损坏、埋压、遮挡、圈占现象。 </w:t>
      </w:r>
    </w:p>
    <w:p w14:paraId="74A9E470">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（4）灭火器保险及喷嘴外观良好，无损坏、无锈蚀，压力表显示在正常范围内，定期维修、检测,年抽测使用率不少于区域灭火器总量的10%。 </w:t>
      </w:r>
    </w:p>
    <w:p w14:paraId="631044A7">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（5）设自动消防设施的，应确保自动消防设施运行正常；发生火灾时，火灾自动报警系统、自动喷水灭火系统、排烟送风系统、防火卷帘等应能及时联动，各设施启停均在消防控制室有信号反馈。 </w:t>
      </w:r>
    </w:p>
    <w:p w14:paraId="1140118A">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（6）消防水池等消防储水设施水量达到规定水位，冬季应有防冻措施。</w:t>
      </w:r>
    </w:p>
    <w:p w14:paraId="4D7F1AD9">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（7）委托具备相应资质的检测、维修保养机构对消防设施进行检测和维保，每年至少进行 1 次全面联动检测，每半月进行 1 次专项检查，检测、检查应有记录，供应商按照采购人所签定的维保合同对其提供的维修维保的单位进行监督。 </w:t>
      </w:r>
    </w:p>
    <w:p w14:paraId="53D42B79">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（8）定期做好安全检查，包括所有入驻单位的机房、库房等防火、防霉、防潮、防雷击的安全管理工作，以及物品存放、预留检修通道工作。 </w:t>
      </w:r>
    </w:p>
    <w:p w14:paraId="30AF5397">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（9）做好采购人指定机房和库房的安全管理和清洁卫生工作，排除隐患，避免发生事故。 </w:t>
      </w:r>
    </w:p>
    <w:p w14:paraId="224D789D">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（10）作业过程中做好防疫卫生消毒工作。 </w:t>
      </w:r>
    </w:p>
    <w:p w14:paraId="5066C02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7、应急措施和管理 </w:t>
      </w:r>
    </w:p>
    <w:p w14:paraId="70F79297">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（1）制定常见突发事件的应急预案，建立快速响应机制。 </w:t>
      </w:r>
    </w:p>
    <w:p w14:paraId="08ACE4DE">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（2）事件发生时应及时告知甲方，重大突发事件按规定上报，并协助采取相应措施。 </w:t>
      </w:r>
    </w:p>
    <w:p w14:paraId="7B1E2F1E">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（3）定期对相关人员进行应急预案培训。 </w:t>
      </w:r>
    </w:p>
    <w:p w14:paraId="2E1EA380">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（4）制定有重要会议、重大活动服务保障预案，接到通知后及时组织到位。 </w:t>
      </w:r>
    </w:p>
    <w:p w14:paraId="6352235A">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（5）每年对消防、电梯、反恐防暴、停电等举行专项应急演练，综合演练不少于一次。 </w:t>
      </w:r>
    </w:p>
    <w:p w14:paraId="727B8313">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（6）结合区域实际，有必要的应急措施和材料准备；有应急管理制度。 </w:t>
      </w:r>
    </w:p>
    <w:p w14:paraId="7FCED27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8、突发事件通常包括： </w:t>
      </w:r>
    </w:p>
    <w:p w14:paraId="75A800C8">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（1）突发火灾。 </w:t>
      </w:r>
    </w:p>
    <w:p w14:paraId="508FD809">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（2）电梯故障。 </w:t>
      </w:r>
    </w:p>
    <w:p w14:paraId="52A91919">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（3）紧急停电停水。 </w:t>
      </w:r>
    </w:p>
    <w:p w14:paraId="0E477CEB">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（4）治安事件。 </w:t>
      </w:r>
    </w:p>
    <w:p w14:paraId="177BCD3C">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（5）意外伤害。 </w:t>
      </w:r>
    </w:p>
    <w:p w14:paraId="1BBFABC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日常维修费用</w:t>
      </w:r>
    </w:p>
    <w:p w14:paraId="0EE56B52">
      <w:pPr>
        <w:keepNext w:val="0"/>
        <w:keepLines w:val="0"/>
        <w:pageBreakBefore w:val="0"/>
        <w:widowControl w:val="0"/>
        <w:kinsoku/>
        <w:wordWrap/>
        <w:overflowPunct/>
        <w:topLinePunct w:val="0"/>
        <w:autoSpaceDE/>
        <w:autoSpaceDN/>
        <w:bidi w:val="0"/>
        <w:adjustRightInd/>
        <w:snapToGrid/>
        <w:spacing w:line="360" w:lineRule="auto"/>
        <w:ind w:left="0" w:right="0" w:firstLine="476" w:firstLineChars="200"/>
        <w:textAlignment w:val="auto"/>
        <w:outlineLvl w:val="2"/>
        <w:rPr>
          <w:rFonts w:hint="eastAsia" w:ascii="宋体" w:hAnsi="宋体" w:eastAsia="宋体" w:cs="宋体"/>
          <w:b w:val="0"/>
          <w:bCs w:val="0"/>
          <w:sz w:val="24"/>
          <w:szCs w:val="24"/>
        </w:rPr>
      </w:pPr>
      <w:r>
        <w:rPr>
          <w:rFonts w:hint="eastAsia" w:ascii="宋体" w:hAnsi="宋体" w:eastAsia="宋体" w:cs="宋体"/>
          <w:b w:val="0"/>
          <w:bCs w:val="0"/>
          <w:spacing w:val="-1"/>
          <w:sz w:val="24"/>
          <w:szCs w:val="24"/>
          <w:lang w:val="en-US" w:eastAsia="zh-CN"/>
        </w:rPr>
        <w:t>1、</w:t>
      </w:r>
      <w:r>
        <w:rPr>
          <w:rFonts w:hint="eastAsia" w:ascii="宋体" w:hAnsi="宋体" w:eastAsia="宋体" w:cs="宋体"/>
          <w:b w:val="0"/>
          <w:bCs w:val="0"/>
          <w:spacing w:val="-1"/>
          <w:sz w:val="24"/>
          <w:szCs w:val="24"/>
        </w:rPr>
        <w:t>零星维修材料费用</w:t>
      </w:r>
    </w:p>
    <w:p w14:paraId="218D0502">
      <w:pPr>
        <w:pStyle w:val="2"/>
        <w:keepNext w:val="0"/>
        <w:keepLines w:val="0"/>
        <w:pageBreakBefore w:val="0"/>
        <w:widowControl w:val="0"/>
        <w:tabs>
          <w:tab w:val="left" w:pos="567"/>
        </w:tabs>
        <w:kinsoku/>
        <w:wordWrap/>
        <w:overflowPunct/>
        <w:topLinePunct w:val="0"/>
        <w:autoSpaceDE/>
        <w:autoSpaceDN/>
        <w:bidi w:val="0"/>
        <w:adjustRightInd/>
        <w:snapToGrid/>
        <w:spacing w:before="0" w:line="360" w:lineRule="auto"/>
        <w:ind w:left="0" w:right="0" w:firstLine="488" w:firstLineChars="200"/>
        <w:textAlignment w:val="auto"/>
        <w:rPr>
          <w:rFonts w:hint="eastAsia" w:ascii="宋体" w:hAnsi="宋体" w:eastAsia="宋体" w:cs="宋体"/>
          <w:b w:val="0"/>
          <w:bCs w:val="0"/>
          <w:spacing w:val="-8"/>
          <w:sz w:val="24"/>
          <w:szCs w:val="24"/>
        </w:rPr>
      </w:pPr>
      <w:r>
        <w:rPr>
          <w:rFonts w:hint="eastAsia" w:ascii="宋体" w:hAnsi="宋体" w:eastAsia="宋体" w:cs="宋体"/>
          <w:b w:val="0"/>
          <w:bCs w:val="0"/>
          <w:spacing w:val="2"/>
          <w:sz w:val="24"/>
          <w:szCs w:val="24"/>
        </w:rPr>
        <w:t>涉及以下情形的，相关费用包含在物业管理服务采购合同金额之内，由供应商承担</w:t>
      </w:r>
      <w:r>
        <w:rPr>
          <w:rFonts w:hint="eastAsia" w:ascii="宋体" w:hAnsi="宋体" w:eastAsia="宋体" w:cs="宋体"/>
          <w:b w:val="0"/>
          <w:bCs w:val="0"/>
          <w:spacing w:val="-1"/>
          <w:sz w:val="24"/>
          <w:szCs w:val="24"/>
        </w:rPr>
        <w:t>：</w:t>
      </w:r>
      <w:r>
        <w:rPr>
          <w:rFonts w:hint="eastAsia" w:ascii="宋体" w:hAnsi="宋体" w:eastAsia="宋体" w:cs="宋体"/>
          <w:b w:val="0"/>
          <w:bCs w:val="0"/>
          <w:spacing w:val="7"/>
          <w:sz w:val="24"/>
          <w:szCs w:val="24"/>
          <w:u w:val="single" w:color="auto"/>
        </w:rPr>
        <w:t xml:space="preserve"> </w:t>
      </w:r>
      <w:r>
        <w:rPr>
          <w:rFonts w:hint="eastAsia" w:ascii="宋体" w:hAnsi="宋体" w:eastAsia="宋体" w:cs="宋体"/>
          <w:b w:val="0"/>
          <w:bCs w:val="0"/>
          <w:spacing w:val="7"/>
          <w:sz w:val="24"/>
          <w:szCs w:val="24"/>
          <w:u w:val="single" w:color="auto"/>
          <w:lang w:val="en-US" w:eastAsia="zh-CN"/>
        </w:rPr>
        <w:t>所管理建筑的</w:t>
      </w:r>
      <w:r>
        <w:rPr>
          <w:rFonts w:hint="eastAsia" w:ascii="宋体" w:hAnsi="宋体" w:eastAsia="宋体" w:cs="宋体"/>
          <w:b w:val="0"/>
          <w:bCs w:val="0"/>
          <w:spacing w:val="7"/>
          <w:sz w:val="24"/>
          <w:szCs w:val="24"/>
          <w:u w:val="single" w:color="auto"/>
        </w:rPr>
        <w:t>小修</w:t>
      </w:r>
      <w:r>
        <w:rPr>
          <w:rFonts w:hint="eastAsia" w:ascii="宋体" w:hAnsi="宋体" w:eastAsia="宋体" w:cs="宋体"/>
          <w:b w:val="0"/>
          <w:bCs w:val="0"/>
          <w:spacing w:val="7"/>
          <w:sz w:val="24"/>
          <w:szCs w:val="24"/>
          <w:u w:val="single" w:color="auto"/>
          <w:lang w:val="en-US" w:eastAsia="zh-CN"/>
        </w:rPr>
        <w:t>均在物业维护的范围内，</w:t>
      </w:r>
      <w:r>
        <w:rPr>
          <w:rFonts w:hint="eastAsia" w:ascii="宋体" w:hAnsi="宋体" w:eastAsia="宋体" w:cs="宋体"/>
          <w:b w:val="0"/>
          <w:bCs w:val="0"/>
          <w:spacing w:val="7"/>
          <w:sz w:val="24"/>
          <w:szCs w:val="24"/>
          <w:u w:val="single" w:color="auto"/>
        </w:rPr>
        <w:t>及时修复房屋或设备在使用过程中，其构部件小的损失，以保证房屋或设备原有等级的日常养护工程</w:t>
      </w:r>
      <w:r>
        <w:rPr>
          <w:rFonts w:hint="eastAsia" w:ascii="宋体" w:hAnsi="宋体" w:eastAsia="宋体" w:cs="宋体"/>
          <w:b w:val="0"/>
          <w:bCs w:val="0"/>
          <w:spacing w:val="7"/>
          <w:sz w:val="24"/>
          <w:szCs w:val="24"/>
          <w:u w:val="single" w:color="auto"/>
          <w:lang w:eastAsia="zh-CN"/>
        </w:rPr>
        <w:t>。</w:t>
      </w:r>
      <w:r>
        <w:rPr>
          <w:rFonts w:hint="eastAsia" w:ascii="宋体" w:hAnsi="宋体" w:eastAsia="宋体" w:cs="宋体"/>
          <w:b w:val="0"/>
          <w:bCs w:val="0"/>
          <w:spacing w:val="7"/>
          <w:sz w:val="24"/>
          <w:szCs w:val="24"/>
          <w:u w:val="single" w:color="auto"/>
          <w:lang w:val="en-US" w:eastAsia="zh-CN"/>
        </w:rPr>
        <w:t>主要包括1、屋面补漏,修补面层、泛水、屋脊等。2、钢、木门窗的整修,拆换五金,配玻璃,换窗纱,油漆等。3、修补楼地面面层,抽换个别楞木等。4、修补内外墙面、抹灰及粉刷天棚、窗台腰线等。5、水、电、暖、气等设备的故障维修排除及零部件等。6、下水管道、窨井的修补疏通,阴沟、散水、落水管的修补等。7、房屋的检查,危险构件的临时加固等。维修费用每月不超过5000元，包干使用</w:t>
      </w:r>
      <w:r>
        <w:rPr>
          <w:rFonts w:hint="eastAsia" w:ascii="宋体" w:hAnsi="宋体" w:eastAsia="宋体" w:cs="宋体"/>
          <w:b w:val="0"/>
          <w:bCs w:val="0"/>
          <w:spacing w:val="7"/>
          <w:sz w:val="24"/>
          <w:szCs w:val="24"/>
          <w:u w:val="single" w:color="auto"/>
        </w:rPr>
        <w:t xml:space="preserve"> </w:t>
      </w:r>
      <w:r>
        <w:rPr>
          <w:rFonts w:hint="eastAsia" w:ascii="宋体" w:hAnsi="宋体" w:eastAsia="宋体" w:cs="宋体"/>
          <w:b w:val="0"/>
          <w:bCs w:val="0"/>
          <w:spacing w:val="-1"/>
          <w:sz w:val="24"/>
          <w:szCs w:val="24"/>
        </w:rPr>
        <w:t>（</w:t>
      </w:r>
      <w:r>
        <w:rPr>
          <w:rFonts w:hint="eastAsia" w:ascii="宋体" w:hAnsi="宋体" w:eastAsia="宋体" w:cs="宋体"/>
          <w:b w:val="0"/>
          <w:bCs w:val="0"/>
          <w:spacing w:val="2"/>
          <w:sz w:val="24"/>
          <w:szCs w:val="24"/>
        </w:rPr>
        <w:t>明确涉及的零星维修材料以及</w:t>
      </w:r>
      <w:r>
        <w:rPr>
          <w:rFonts w:hint="eastAsia" w:ascii="宋体" w:hAnsi="宋体" w:eastAsia="宋体" w:cs="宋体"/>
          <w:b w:val="0"/>
          <w:bCs w:val="0"/>
          <w:spacing w:val="1"/>
          <w:sz w:val="24"/>
          <w:szCs w:val="24"/>
        </w:rPr>
        <w:t>关于费用方面</w:t>
      </w:r>
      <w:r>
        <w:rPr>
          <w:rFonts w:hint="eastAsia" w:ascii="宋体" w:hAnsi="宋体" w:eastAsia="宋体" w:cs="宋体"/>
          <w:b w:val="0"/>
          <w:bCs w:val="0"/>
          <w:spacing w:val="-8"/>
          <w:sz w:val="24"/>
          <w:szCs w:val="24"/>
        </w:rPr>
        <w:t>的规定）。</w:t>
      </w:r>
    </w:p>
    <w:p w14:paraId="2698C48E">
      <w:pPr>
        <w:pStyle w:val="2"/>
        <w:keepNext w:val="0"/>
        <w:keepLines w:val="0"/>
        <w:pageBreakBefore w:val="0"/>
        <w:widowControl w:val="0"/>
        <w:tabs>
          <w:tab w:val="left" w:pos="567"/>
        </w:tabs>
        <w:kinsoku/>
        <w:wordWrap/>
        <w:overflowPunct/>
        <w:topLinePunct w:val="0"/>
        <w:autoSpaceDE/>
        <w:autoSpaceDN/>
        <w:bidi w:val="0"/>
        <w:adjustRightInd/>
        <w:snapToGrid/>
        <w:spacing w:before="0" w:line="360" w:lineRule="auto"/>
        <w:ind w:left="0" w:right="0" w:firstLine="488" w:firstLineChars="200"/>
        <w:textAlignment w:val="auto"/>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涉及以下情形的，由采购人承担</w:t>
      </w:r>
      <w:r>
        <w:rPr>
          <w:rFonts w:hint="eastAsia" w:ascii="宋体" w:hAnsi="宋体" w:eastAsia="宋体" w:cs="宋体"/>
          <w:b w:val="0"/>
          <w:bCs w:val="0"/>
          <w:spacing w:val="-26"/>
          <w:sz w:val="24"/>
          <w:szCs w:val="24"/>
        </w:rPr>
        <w:t>：</w:t>
      </w:r>
      <w:r>
        <w:rPr>
          <w:rFonts w:hint="eastAsia" w:ascii="宋体" w:hAnsi="宋体" w:eastAsia="宋体" w:cs="宋体"/>
          <w:b w:val="0"/>
          <w:bCs w:val="0"/>
          <w:spacing w:val="7"/>
          <w:sz w:val="24"/>
          <w:szCs w:val="24"/>
          <w:u w:val="single" w:color="auto"/>
        </w:rPr>
        <w:t xml:space="preserve"> </w:t>
      </w:r>
      <w:r>
        <w:rPr>
          <w:rFonts w:hint="eastAsia" w:ascii="宋体" w:hAnsi="宋体" w:eastAsia="宋体" w:cs="宋体"/>
          <w:b w:val="0"/>
          <w:bCs w:val="0"/>
          <w:spacing w:val="7"/>
          <w:sz w:val="24"/>
          <w:szCs w:val="24"/>
          <w:u w:val="single" w:color="auto"/>
          <w:lang w:val="en-US" w:eastAsia="zh-CN"/>
        </w:rPr>
        <w:t>大型设备的更换。</w:t>
      </w:r>
      <w:r>
        <w:rPr>
          <w:rFonts w:hint="eastAsia" w:ascii="宋体" w:hAnsi="宋体" w:eastAsia="宋体" w:cs="宋体"/>
          <w:b w:val="0"/>
          <w:bCs w:val="0"/>
          <w:spacing w:val="7"/>
          <w:sz w:val="24"/>
          <w:szCs w:val="24"/>
          <w:u w:val="single" w:color="auto"/>
        </w:rPr>
        <w:t xml:space="preserve"> </w:t>
      </w:r>
      <w:r>
        <w:rPr>
          <w:rFonts w:hint="eastAsia" w:ascii="宋体" w:hAnsi="宋体" w:eastAsia="宋体" w:cs="宋体"/>
          <w:b w:val="0"/>
          <w:bCs w:val="0"/>
          <w:spacing w:val="-26"/>
          <w:sz w:val="24"/>
          <w:szCs w:val="24"/>
        </w:rPr>
        <w:t>（</w:t>
      </w:r>
      <w:r>
        <w:rPr>
          <w:rFonts w:hint="eastAsia" w:ascii="宋体" w:hAnsi="宋体" w:eastAsia="宋体" w:cs="宋体"/>
          <w:b w:val="0"/>
          <w:bCs w:val="0"/>
          <w:spacing w:val="2"/>
          <w:sz w:val="24"/>
          <w:szCs w:val="24"/>
        </w:rPr>
        <w:t>明确涉及的零星维修材料以及关于费用方面的规定）。</w:t>
      </w:r>
    </w:p>
    <w:p w14:paraId="469CBEF0">
      <w:pPr>
        <w:keepNext w:val="0"/>
        <w:keepLines w:val="0"/>
        <w:pageBreakBefore w:val="0"/>
        <w:widowControl w:val="0"/>
        <w:kinsoku/>
        <w:wordWrap/>
        <w:overflowPunct/>
        <w:topLinePunct w:val="0"/>
        <w:autoSpaceDE/>
        <w:autoSpaceDN/>
        <w:bidi w:val="0"/>
        <w:adjustRightInd/>
        <w:snapToGrid/>
        <w:spacing w:line="360" w:lineRule="auto"/>
        <w:ind w:left="0" w:right="0" w:firstLine="476" w:firstLineChars="200"/>
        <w:textAlignment w:val="auto"/>
        <w:outlineLvl w:val="2"/>
        <w:rPr>
          <w:rFonts w:hint="eastAsia" w:ascii="宋体" w:hAnsi="宋体" w:eastAsia="宋体" w:cs="宋体"/>
          <w:b w:val="0"/>
          <w:bCs w:val="0"/>
          <w:sz w:val="24"/>
          <w:szCs w:val="24"/>
        </w:rPr>
      </w:pPr>
      <w:r>
        <w:rPr>
          <w:rFonts w:hint="eastAsia" w:ascii="宋体" w:hAnsi="宋体" w:eastAsia="宋体" w:cs="宋体"/>
          <w:b w:val="0"/>
          <w:bCs w:val="0"/>
          <w:spacing w:val="-1"/>
          <w:sz w:val="24"/>
          <w:szCs w:val="24"/>
          <w:lang w:val="en-US" w:eastAsia="zh-CN"/>
        </w:rPr>
        <w:t>2、</w:t>
      </w:r>
      <w:r>
        <w:rPr>
          <w:rFonts w:hint="eastAsia" w:ascii="宋体" w:hAnsi="宋体" w:eastAsia="宋体" w:cs="宋体"/>
          <w:b w:val="0"/>
          <w:bCs w:val="0"/>
          <w:spacing w:val="-1"/>
          <w:sz w:val="24"/>
          <w:szCs w:val="24"/>
        </w:rPr>
        <w:t>低值易耗品费用</w:t>
      </w:r>
    </w:p>
    <w:p w14:paraId="732FC8C1">
      <w:pPr>
        <w:pStyle w:val="2"/>
        <w:keepNext w:val="0"/>
        <w:keepLines w:val="0"/>
        <w:pageBreakBefore w:val="0"/>
        <w:widowControl w:val="0"/>
        <w:tabs>
          <w:tab w:val="left" w:pos="567"/>
        </w:tabs>
        <w:kinsoku/>
        <w:wordWrap/>
        <w:overflowPunct/>
        <w:topLinePunct w:val="0"/>
        <w:autoSpaceDE/>
        <w:autoSpaceDN/>
        <w:bidi w:val="0"/>
        <w:adjustRightInd/>
        <w:snapToGrid/>
        <w:spacing w:before="0" w:line="360" w:lineRule="auto"/>
        <w:ind w:left="0" w:right="0" w:firstLine="488" w:firstLineChars="200"/>
        <w:textAlignment w:val="auto"/>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涉及以下情形的，相关费用包含在物业管理服务采购合同金额之内，由供应商承担：</w:t>
      </w:r>
      <w:r>
        <w:rPr>
          <w:rFonts w:hint="eastAsia" w:ascii="宋体" w:hAnsi="宋体" w:eastAsia="宋体" w:cs="宋体"/>
          <w:b w:val="0"/>
          <w:bCs w:val="0"/>
          <w:spacing w:val="7"/>
          <w:sz w:val="24"/>
          <w:szCs w:val="24"/>
          <w:u w:val="single" w:color="auto"/>
        </w:rPr>
        <w:t xml:space="preserve"> 办公物资、会议中心桶装饮用水</w:t>
      </w:r>
      <w:r>
        <w:rPr>
          <w:rFonts w:hint="eastAsia" w:ascii="宋体" w:hAnsi="宋体" w:cs="宋体"/>
          <w:b w:val="0"/>
          <w:bCs w:val="0"/>
          <w:spacing w:val="7"/>
          <w:sz w:val="24"/>
          <w:szCs w:val="24"/>
          <w:u w:val="single" w:color="auto"/>
          <w:lang w:eastAsia="zh-CN"/>
        </w:rPr>
        <w:t>、</w:t>
      </w:r>
      <w:r>
        <w:rPr>
          <w:rFonts w:hint="eastAsia" w:ascii="宋体" w:hAnsi="宋体" w:eastAsia="宋体" w:cs="宋体"/>
          <w:b w:val="0"/>
          <w:bCs w:val="0"/>
          <w:spacing w:val="7"/>
          <w:sz w:val="24"/>
          <w:szCs w:val="24"/>
          <w:u w:val="single" w:color="auto"/>
        </w:rPr>
        <w:t>保洁耗材</w:t>
      </w:r>
      <w:r>
        <w:rPr>
          <w:rFonts w:hint="eastAsia" w:ascii="宋体" w:hAnsi="宋体" w:eastAsia="宋体" w:cs="宋体"/>
          <w:b w:val="0"/>
          <w:bCs w:val="0"/>
          <w:spacing w:val="7"/>
          <w:sz w:val="24"/>
          <w:szCs w:val="24"/>
          <w:u w:val="single" w:color="auto"/>
          <w:lang w:eastAsia="zh-CN"/>
        </w:rPr>
        <w:t>（</w:t>
      </w:r>
      <w:r>
        <w:rPr>
          <w:rFonts w:hint="eastAsia" w:ascii="宋体" w:hAnsi="宋体" w:eastAsia="宋体" w:cs="宋体"/>
          <w:b w:val="0"/>
          <w:bCs w:val="0"/>
          <w:spacing w:val="7"/>
          <w:sz w:val="24"/>
          <w:szCs w:val="24"/>
          <w:u w:val="single" w:color="auto"/>
          <w:lang w:val="en-US" w:eastAsia="zh-CN"/>
        </w:rPr>
        <w:t>包含保洁用具及卫生间厕纸、洗手液、擦手纸、垃圾袋等）</w:t>
      </w:r>
      <w:r>
        <w:rPr>
          <w:rFonts w:hint="eastAsia" w:ascii="宋体" w:hAnsi="宋体" w:eastAsia="宋体" w:cs="宋体"/>
          <w:b w:val="0"/>
          <w:bCs w:val="0"/>
          <w:spacing w:val="7"/>
          <w:sz w:val="24"/>
          <w:szCs w:val="24"/>
          <w:u w:val="single" w:color="auto"/>
        </w:rPr>
        <w:t>、绿化及工程工具耗材</w:t>
      </w:r>
      <w:r>
        <w:rPr>
          <w:rFonts w:hint="eastAsia" w:ascii="宋体" w:hAnsi="宋体" w:eastAsia="宋体" w:cs="宋体"/>
          <w:b w:val="0"/>
          <w:bCs w:val="0"/>
          <w:spacing w:val="7"/>
          <w:sz w:val="24"/>
          <w:szCs w:val="24"/>
          <w:u w:val="single" w:color="auto"/>
          <w:lang w:eastAsia="zh-CN"/>
        </w:rPr>
        <w:t>（</w:t>
      </w:r>
      <w:r>
        <w:rPr>
          <w:rFonts w:hint="eastAsia" w:ascii="宋体" w:hAnsi="宋体" w:eastAsia="宋体" w:cs="宋体"/>
          <w:b w:val="0"/>
          <w:bCs w:val="0"/>
          <w:spacing w:val="7"/>
          <w:sz w:val="24"/>
          <w:szCs w:val="24"/>
          <w:u w:val="single" w:color="auto"/>
          <w:lang w:val="en-US" w:eastAsia="zh-CN"/>
        </w:rPr>
        <w:t>包括根据绿化养护标准和周期所喷洒的药剂和所用肥料）</w:t>
      </w:r>
      <w:r>
        <w:rPr>
          <w:rFonts w:hint="eastAsia" w:ascii="宋体" w:hAnsi="宋体" w:eastAsia="宋体" w:cs="宋体"/>
          <w:b w:val="0"/>
          <w:bCs w:val="0"/>
          <w:spacing w:val="7"/>
          <w:sz w:val="24"/>
          <w:szCs w:val="24"/>
          <w:u w:val="single" w:color="auto"/>
        </w:rPr>
        <w:t xml:space="preserve">、保安警用器械 </w:t>
      </w:r>
      <w:r>
        <w:rPr>
          <w:rFonts w:hint="eastAsia" w:ascii="宋体" w:hAnsi="宋体" w:eastAsia="宋体" w:cs="宋体"/>
          <w:b w:val="0"/>
          <w:bCs w:val="0"/>
          <w:spacing w:val="2"/>
          <w:sz w:val="24"/>
          <w:szCs w:val="24"/>
        </w:rPr>
        <w:t>（明确涉及的环境维护、绿化养护等服务中需</w:t>
      </w:r>
      <w:r>
        <w:rPr>
          <w:rFonts w:hint="eastAsia" w:ascii="宋体" w:hAnsi="宋体" w:eastAsia="宋体" w:cs="宋体"/>
          <w:b w:val="0"/>
          <w:bCs w:val="0"/>
          <w:spacing w:val="-1"/>
          <w:sz w:val="24"/>
          <w:szCs w:val="24"/>
        </w:rPr>
        <w:t>要的低值易耗品以及关于费用方面的规定）。</w:t>
      </w:r>
    </w:p>
    <w:p w14:paraId="6B4E5563">
      <w:pPr>
        <w:pStyle w:val="2"/>
        <w:keepNext w:val="0"/>
        <w:keepLines w:val="0"/>
        <w:pageBreakBefore w:val="0"/>
        <w:widowControl w:val="0"/>
        <w:tabs>
          <w:tab w:val="left" w:pos="567"/>
        </w:tabs>
        <w:kinsoku/>
        <w:wordWrap/>
        <w:overflowPunct/>
        <w:topLinePunct w:val="0"/>
        <w:autoSpaceDE/>
        <w:autoSpaceDN/>
        <w:bidi w:val="0"/>
        <w:adjustRightInd/>
        <w:snapToGrid/>
        <w:spacing w:before="0" w:line="360" w:lineRule="auto"/>
        <w:ind w:left="0" w:right="0" w:firstLine="488" w:firstLineChars="200"/>
        <w:textAlignment w:val="auto"/>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涉及以下情形的，由采购人承担</w:t>
      </w:r>
      <w:r>
        <w:rPr>
          <w:rFonts w:hint="eastAsia" w:ascii="宋体" w:hAnsi="宋体" w:eastAsia="宋体" w:cs="宋体"/>
          <w:b w:val="0"/>
          <w:bCs w:val="0"/>
          <w:spacing w:val="-29"/>
          <w:sz w:val="24"/>
          <w:szCs w:val="24"/>
        </w:rPr>
        <w:t>：</w:t>
      </w:r>
      <w:r>
        <w:rPr>
          <w:rFonts w:hint="eastAsia" w:ascii="宋体" w:hAnsi="宋体" w:eastAsia="宋体" w:cs="宋体"/>
          <w:b w:val="0"/>
          <w:bCs w:val="0"/>
          <w:spacing w:val="7"/>
          <w:sz w:val="24"/>
          <w:szCs w:val="24"/>
          <w:u w:val="single" w:color="auto"/>
        </w:rPr>
        <w:t xml:space="preserve">        </w:t>
      </w:r>
      <w:r>
        <w:rPr>
          <w:rFonts w:hint="eastAsia" w:ascii="宋体" w:hAnsi="宋体" w:eastAsia="宋体" w:cs="宋体"/>
          <w:b w:val="0"/>
          <w:bCs w:val="0"/>
          <w:spacing w:val="7"/>
          <w:sz w:val="24"/>
          <w:szCs w:val="24"/>
          <w:u w:val="single" w:color="auto"/>
          <w:lang w:val="en-US" w:eastAsia="zh-CN"/>
        </w:rPr>
        <w:t>/</w:t>
      </w:r>
      <w:r>
        <w:rPr>
          <w:rFonts w:hint="eastAsia" w:ascii="宋体" w:hAnsi="宋体" w:eastAsia="宋体" w:cs="宋体"/>
          <w:b w:val="0"/>
          <w:bCs w:val="0"/>
          <w:spacing w:val="7"/>
          <w:sz w:val="24"/>
          <w:szCs w:val="24"/>
          <w:u w:val="single" w:color="auto"/>
        </w:rPr>
        <w:t xml:space="preserve">      </w:t>
      </w:r>
      <w:r>
        <w:rPr>
          <w:rFonts w:hint="eastAsia" w:ascii="宋体" w:hAnsi="宋体" w:eastAsia="宋体" w:cs="宋体"/>
          <w:b w:val="0"/>
          <w:bCs w:val="0"/>
          <w:spacing w:val="-29"/>
          <w:sz w:val="24"/>
          <w:szCs w:val="24"/>
        </w:rPr>
        <w:t>（</w:t>
      </w:r>
      <w:r>
        <w:rPr>
          <w:rFonts w:hint="eastAsia" w:ascii="宋体" w:hAnsi="宋体" w:eastAsia="宋体" w:cs="宋体"/>
          <w:b w:val="0"/>
          <w:bCs w:val="0"/>
          <w:spacing w:val="2"/>
          <w:sz w:val="24"/>
          <w:szCs w:val="24"/>
        </w:rPr>
        <w:t>明确涉及的环境维护、绿化养护等</w:t>
      </w:r>
      <w:r>
        <w:rPr>
          <w:rFonts w:hint="eastAsia" w:ascii="宋体" w:hAnsi="宋体" w:eastAsia="宋体" w:cs="宋体"/>
          <w:b w:val="0"/>
          <w:bCs w:val="0"/>
          <w:spacing w:val="1"/>
          <w:sz w:val="24"/>
          <w:szCs w:val="24"/>
        </w:rPr>
        <w:t>服务中需要的低值易耗品以及关于费用方面的规定）。</w:t>
      </w:r>
    </w:p>
    <w:p w14:paraId="21B3699B">
      <w:pPr>
        <w:keepNext w:val="0"/>
        <w:keepLines w:val="0"/>
        <w:pageBreakBefore w:val="0"/>
        <w:widowControl w:val="0"/>
        <w:kinsoku/>
        <w:wordWrap/>
        <w:overflowPunct/>
        <w:topLinePunct w:val="0"/>
        <w:autoSpaceDE/>
        <w:autoSpaceDN/>
        <w:bidi w:val="0"/>
        <w:adjustRightInd/>
        <w:snapToGrid/>
        <w:spacing w:line="360" w:lineRule="auto"/>
        <w:ind w:left="0" w:right="0" w:firstLine="476" w:firstLineChars="200"/>
        <w:textAlignment w:val="auto"/>
        <w:outlineLvl w:val="2"/>
        <w:rPr>
          <w:rFonts w:hint="eastAsia" w:ascii="宋体" w:hAnsi="宋体" w:eastAsia="宋体" w:cs="宋体"/>
          <w:b w:val="0"/>
          <w:bCs w:val="0"/>
          <w:sz w:val="24"/>
          <w:szCs w:val="24"/>
        </w:rPr>
      </w:pPr>
      <w:r>
        <w:rPr>
          <w:rFonts w:hint="eastAsia" w:ascii="宋体" w:hAnsi="宋体" w:eastAsia="宋体" w:cs="宋体"/>
          <w:b w:val="0"/>
          <w:bCs w:val="0"/>
          <w:spacing w:val="-1"/>
          <w:sz w:val="24"/>
          <w:szCs w:val="24"/>
          <w:lang w:val="en-US" w:eastAsia="zh-CN"/>
        </w:rPr>
        <w:t>3、</w:t>
      </w:r>
      <w:r>
        <w:rPr>
          <w:rFonts w:hint="eastAsia" w:ascii="宋体" w:hAnsi="宋体" w:eastAsia="宋体" w:cs="宋体"/>
          <w:b w:val="0"/>
          <w:bCs w:val="0"/>
          <w:spacing w:val="-1"/>
          <w:sz w:val="24"/>
          <w:szCs w:val="24"/>
        </w:rPr>
        <w:t>苗木费用</w:t>
      </w:r>
    </w:p>
    <w:p w14:paraId="597A86ED">
      <w:pPr>
        <w:pStyle w:val="2"/>
        <w:keepNext w:val="0"/>
        <w:keepLines w:val="0"/>
        <w:pageBreakBefore w:val="0"/>
        <w:widowControl w:val="0"/>
        <w:tabs>
          <w:tab w:val="left" w:pos="567"/>
        </w:tabs>
        <w:kinsoku/>
        <w:wordWrap/>
        <w:overflowPunct/>
        <w:topLinePunct w:val="0"/>
        <w:autoSpaceDE/>
        <w:autoSpaceDN/>
        <w:bidi w:val="0"/>
        <w:adjustRightInd/>
        <w:snapToGrid/>
        <w:spacing w:before="0" w:line="360" w:lineRule="auto"/>
        <w:ind w:left="0" w:right="0" w:firstLine="484"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涉及以下情形的，相关费用包含在物业管理</w:t>
      </w:r>
      <w:r>
        <w:rPr>
          <w:rFonts w:hint="eastAsia" w:ascii="宋体" w:hAnsi="宋体" w:eastAsia="宋体" w:cs="宋体"/>
          <w:b w:val="0"/>
          <w:bCs w:val="0"/>
          <w:sz w:val="24"/>
          <w:szCs w:val="24"/>
        </w:rPr>
        <w:t>服务采购合同金额之内，由供应商承担</w:t>
      </w:r>
      <w:r>
        <w:rPr>
          <w:rFonts w:hint="eastAsia" w:ascii="宋体" w:hAnsi="宋体" w:eastAsia="宋体" w:cs="宋体"/>
          <w:b w:val="0"/>
          <w:bCs w:val="0"/>
          <w:spacing w:val="-18"/>
          <w:sz w:val="24"/>
          <w:szCs w:val="24"/>
        </w:rPr>
        <w:t>：</w:t>
      </w:r>
      <w:r>
        <w:rPr>
          <w:rFonts w:hint="eastAsia" w:ascii="宋体" w:hAnsi="宋体" w:eastAsia="宋体" w:cs="宋体"/>
          <w:b w:val="0"/>
          <w:bCs w:val="0"/>
          <w:spacing w:val="7"/>
          <w:sz w:val="24"/>
          <w:szCs w:val="24"/>
          <w:u w:val="single" w:color="auto"/>
        </w:rPr>
        <w:t xml:space="preserve"> </w:t>
      </w:r>
      <w:r>
        <w:rPr>
          <w:rFonts w:hint="eastAsia" w:ascii="宋体" w:hAnsi="宋体" w:eastAsia="宋体" w:cs="宋体"/>
          <w:b w:val="0"/>
          <w:bCs w:val="0"/>
          <w:spacing w:val="7"/>
          <w:sz w:val="24"/>
          <w:szCs w:val="24"/>
          <w:u w:val="single" w:color="auto"/>
          <w:lang w:val="en-US" w:eastAsia="zh-CN"/>
        </w:rPr>
        <w:t>枯黄死亡的绿化草皮和小灌木，因养护不当造成树木死亡后的补栽苗木。</w:t>
      </w:r>
      <w:r>
        <w:rPr>
          <w:rFonts w:hint="eastAsia" w:ascii="宋体" w:hAnsi="宋体" w:eastAsia="宋体" w:cs="宋体"/>
          <w:b w:val="0"/>
          <w:bCs w:val="0"/>
          <w:spacing w:val="7"/>
          <w:sz w:val="24"/>
          <w:szCs w:val="24"/>
          <w:u w:val="single" w:color="auto"/>
        </w:rPr>
        <w:t xml:space="preserve"> </w:t>
      </w:r>
      <w:r>
        <w:rPr>
          <w:rFonts w:hint="eastAsia" w:ascii="宋体" w:hAnsi="宋体" w:eastAsia="宋体" w:cs="宋体"/>
          <w:b w:val="0"/>
          <w:bCs w:val="0"/>
          <w:spacing w:val="-18"/>
          <w:sz w:val="24"/>
          <w:szCs w:val="24"/>
        </w:rPr>
        <w:t>（</w:t>
      </w:r>
      <w:r>
        <w:rPr>
          <w:rFonts w:hint="eastAsia" w:ascii="宋体" w:hAnsi="宋体" w:eastAsia="宋体" w:cs="宋体"/>
          <w:b w:val="0"/>
          <w:bCs w:val="0"/>
          <w:sz w:val="24"/>
          <w:szCs w:val="24"/>
        </w:rPr>
        <w:t>明确涉及的苗木以及关于费用方面的规定）。</w:t>
      </w:r>
    </w:p>
    <w:p w14:paraId="2D65822C">
      <w:pPr>
        <w:pStyle w:val="2"/>
        <w:keepNext w:val="0"/>
        <w:keepLines w:val="0"/>
        <w:pageBreakBefore w:val="0"/>
        <w:widowControl w:val="0"/>
        <w:tabs>
          <w:tab w:val="left" w:pos="567"/>
        </w:tabs>
        <w:kinsoku/>
        <w:wordWrap/>
        <w:overflowPunct/>
        <w:topLinePunct w:val="0"/>
        <w:autoSpaceDE/>
        <w:autoSpaceDN/>
        <w:bidi w:val="0"/>
        <w:adjustRightInd/>
        <w:snapToGrid/>
        <w:spacing w:before="0" w:line="360" w:lineRule="auto"/>
        <w:ind w:left="0" w:right="0" w:firstLine="488" w:firstLineChars="200"/>
        <w:textAlignment w:val="auto"/>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涉及以下情形的，由采购人承担</w:t>
      </w:r>
      <w:r>
        <w:rPr>
          <w:rFonts w:hint="eastAsia" w:ascii="宋体" w:hAnsi="宋体" w:eastAsia="宋体" w:cs="宋体"/>
          <w:b w:val="0"/>
          <w:bCs w:val="0"/>
          <w:spacing w:val="-28"/>
          <w:sz w:val="24"/>
          <w:szCs w:val="24"/>
        </w:rPr>
        <w:t>：</w:t>
      </w:r>
      <w:r>
        <w:rPr>
          <w:rFonts w:hint="eastAsia" w:ascii="宋体" w:hAnsi="宋体" w:eastAsia="宋体" w:cs="宋体"/>
          <w:b w:val="0"/>
          <w:bCs w:val="0"/>
          <w:spacing w:val="7"/>
          <w:sz w:val="24"/>
          <w:szCs w:val="24"/>
          <w:u w:val="single" w:color="auto"/>
        </w:rPr>
        <w:t xml:space="preserve"> </w:t>
      </w:r>
      <w:r>
        <w:rPr>
          <w:rFonts w:hint="eastAsia" w:ascii="宋体" w:hAnsi="宋体" w:eastAsia="宋体" w:cs="宋体"/>
          <w:b w:val="0"/>
          <w:bCs w:val="0"/>
          <w:spacing w:val="7"/>
          <w:sz w:val="24"/>
          <w:szCs w:val="24"/>
          <w:u w:val="single" w:color="auto"/>
          <w:lang w:val="en-US" w:eastAsia="zh-CN"/>
        </w:rPr>
        <w:t>原有的病虫害较为严重的苗木更换，新增加补栽的苗木。</w:t>
      </w:r>
      <w:r>
        <w:rPr>
          <w:rFonts w:hint="eastAsia" w:ascii="宋体" w:hAnsi="宋体" w:eastAsia="宋体" w:cs="宋体"/>
          <w:b w:val="0"/>
          <w:bCs w:val="0"/>
          <w:spacing w:val="7"/>
          <w:sz w:val="24"/>
          <w:szCs w:val="24"/>
          <w:u w:val="single" w:color="auto"/>
        </w:rPr>
        <w:t xml:space="preserve"> </w:t>
      </w:r>
      <w:r>
        <w:rPr>
          <w:rFonts w:hint="eastAsia" w:ascii="宋体" w:hAnsi="宋体" w:eastAsia="宋体" w:cs="宋体"/>
          <w:b w:val="0"/>
          <w:bCs w:val="0"/>
          <w:spacing w:val="-28"/>
          <w:sz w:val="24"/>
          <w:szCs w:val="24"/>
        </w:rPr>
        <w:t>（</w:t>
      </w:r>
      <w:r>
        <w:rPr>
          <w:rFonts w:hint="eastAsia" w:ascii="宋体" w:hAnsi="宋体" w:eastAsia="宋体" w:cs="宋体"/>
          <w:b w:val="0"/>
          <w:bCs w:val="0"/>
          <w:spacing w:val="2"/>
          <w:sz w:val="24"/>
          <w:szCs w:val="24"/>
        </w:rPr>
        <w:t>明确涉及的苗木以及关于费用方面的</w:t>
      </w:r>
      <w:r>
        <w:rPr>
          <w:rFonts w:hint="eastAsia" w:ascii="宋体" w:hAnsi="宋体" w:eastAsia="宋体" w:cs="宋体"/>
          <w:b w:val="0"/>
          <w:bCs w:val="0"/>
          <w:spacing w:val="1"/>
          <w:sz w:val="24"/>
          <w:szCs w:val="24"/>
        </w:rPr>
        <w:t>规定）。</w:t>
      </w:r>
    </w:p>
    <w:p w14:paraId="111A7C8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其他事项 </w:t>
      </w:r>
    </w:p>
    <w:p w14:paraId="3ED3D5E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1、做好本服务项目台账，依照有关规定记录保存并向采购人提供相关重要资料信息。 </w:t>
      </w:r>
      <w:bookmarkStart w:id="0" w:name="_GoBack"/>
      <w:bookmarkEnd w:id="0"/>
    </w:p>
    <w:p w14:paraId="0ACDC89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2、做好各区域的节能与能耗数据统计工作，建立台账，要求数据准确，上报及时。 </w:t>
      </w:r>
    </w:p>
    <w:p w14:paraId="492AE32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3、做好各区域垃圾分类工作，按照可回收物、有害垃圾、厨余垃圾、其他垃圾等进行分类收集处理。 </w:t>
      </w:r>
    </w:p>
    <w:p w14:paraId="65304E8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4、配合做好各区域的重要活动，节假日等宣传和氛围营造工作。 </w:t>
      </w:r>
    </w:p>
    <w:p w14:paraId="08FBF1E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5、做好疫情防控相关工作。 </w:t>
      </w:r>
    </w:p>
    <w:p w14:paraId="753E00B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6、其他未列明事宜，在项目实施过程中具体按照采购人要求协商执行。 </w:t>
      </w:r>
    </w:p>
    <w:p w14:paraId="3E14182C">
      <w:pPr>
        <w:pStyle w:val="2"/>
        <w:rPr>
          <w:rFonts w:hint="default"/>
          <w:lang w:val="en-US" w:eastAsia="zh-CN"/>
        </w:rPr>
      </w:pPr>
    </w:p>
    <w:p w14:paraId="38FF348F">
      <w:pPr>
        <w:rPr>
          <w:rFonts w:hint="eastAsia" w:ascii="宋体" w:hAnsi="宋体" w:eastAsia="宋体" w:cs="宋体"/>
          <w:b/>
          <w:bCs/>
          <w:sz w:val="28"/>
          <w:szCs w:val="28"/>
          <w:lang w:val="en-US" w:eastAsia="zh-CN"/>
        </w:rPr>
      </w:pPr>
    </w:p>
    <w:p w14:paraId="0E2EFA1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p>
    <w:p w14:paraId="78196CF0">
      <w:pPr>
        <w:pStyle w:val="2"/>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7C10C4D"/>
    <w:rsid w:val="433B6F4C"/>
    <w:rsid w:val="6FB01F86"/>
    <w:rsid w:val="78004E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b/>
      <w:sz w:val="28"/>
    </w:rPr>
  </w:style>
  <w:style w:type="paragraph" w:styleId="3">
    <w:name w:val="annotation text"/>
    <w:basedOn w:val="1"/>
    <w:qFormat/>
    <w:uiPriority w:val="0"/>
    <w:pPr>
      <w:jc w:val="left"/>
    </w:p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宋体" w:hAnsi="宋体" w:eastAsia="宋体" w:cs="宋体"/>
      <w:sz w:val="21"/>
      <w:szCs w:val="21"/>
      <w:lang w:val="en-US"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6261</Words>
  <Characters>6278</Characters>
  <Lines>0</Lines>
  <Paragraphs>0</Paragraphs>
  <TotalTime>0</TotalTime>
  <ScaleCrop>false</ScaleCrop>
  <LinksUpToDate>false</LinksUpToDate>
  <CharactersWithSpaces>6470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2026-09-07T02:18:00Z</dcterms:created>
  <dc:creator>lenovo</dc:creator>
  <cp:lastModifiedBy>九尾猫</cp:lastModifiedBy>
  <dcterms:modified xsi:type="dcterms:W3CDTF">2026-09-28T12:44:06Z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eyJoZGlkIjoiZjFhY2NmMmU1YjEwNTJkYzQyOGMxOWNjOWI2YjhjNjQiLCJ1c2VySWQiOiIyOTc2MTAyNzkifQ==</vt:lpwstr>
  </property>
  <property fmtid="{D5CDD505-2E9C-101B-9397-08002B2CF9AE}" pid="4" name="ICV">
    <vt:lpwstr>20704656CECB4CD0B6015FE7BBC89A7C_13</vt:lpwstr>
  </property>
</Properties>
</file>