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rPr>
      </w:pPr>
      <w:r>
        <w:rPr>
          <w:rStyle w:val="5"/>
          <w:rFonts w:hint="eastAsia" w:ascii="仿宋" w:hAnsi="仿宋" w:eastAsia="仿宋" w:cs="仿宋"/>
          <w:b/>
          <w:bCs/>
          <w:color w:val="auto"/>
          <w:sz w:val="40"/>
          <w:szCs w:val="40"/>
          <w:lang w:val="zh-CN" w:eastAsia="zh-CN"/>
        </w:rPr>
        <w:t>拟签订的合同条款文本</w:t>
      </w:r>
    </w:p>
    <w:p w14:paraId="284A42A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甲方（采购人）： </w:t>
      </w:r>
    </w:p>
    <w:p w14:paraId="63C34C0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乙方（</w:t>
      </w:r>
      <w:r>
        <w:rPr>
          <w:rFonts w:hint="eastAsia" w:ascii="仿宋" w:hAnsi="仿宋" w:eastAsia="仿宋" w:cs="仿宋"/>
          <w:bCs/>
          <w:color w:val="auto"/>
          <w:sz w:val="24"/>
          <w:szCs w:val="24"/>
          <w:lang w:eastAsia="zh-CN"/>
        </w:rPr>
        <w:t>成交供应商</w:t>
      </w:r>
      <w:r>
        <w:rPr>
          <w:rFonts w:hint="eastAsia" w:ascii="仿宋" w:hAnsi="仿宋" w:eastAsia="仿宋" w:cs="仿宋"/>
          <w:bCs/>
          <w:color w:val="auto"/>
          <w:sz w:val="24"/>
          <w:szCs w:val="24"/>
        </w:rPr>
        <w:t xml:space="preserve">）： </w:t>
      </w:r>
    </w:p>
    <w:p w14:paraId="4C09DFE8">
      <w:pPr>
        <w:keepNext w:val="0"/>
        <w:keepLines w:val="0"/>
        <w:pageBreakBefore w:val="0"/>
        <w:widowControl w:val="0"/>
        <w:kinsoku/>
        <w:wordWrap w:val="0"/>
        <w:overflowPunct/>
        <w:topLinePunct w:val="0"/>
        <w:autoSpaceDE w:val="0"/>
        <w:autoSpaceDN w:val="0"/>
        <w:bidi w:val="0"/>
        <w:adjustRightInd w:val="0"/>
        <w:snapToGrid w:val="0"/>
        <w:spacing w:line="360" w:lineRule="auto"/>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highlight w:val="none"/>
          <w:u w:val="single"/>
        </w:rPr>
        <w:t>2026年市级普通高中扩容提质项目高中教室课桌椅及设备(项目编号：ZRD-2026XAZC670</w:t>
      </w:r>
      <w:r>
        <w:rPr>
          <w:rFonts w:hint="eastAsia" w:ascii="仿宋" w:hAnsi="仿宋" w:eastAsia="仿宋" w:cs="仿宋"/>
          <w:bCs/>
          <w:color w:val="auto"/>
          <w:sz w:val="24"/>
          <w:szCs w:val="24"/>
          <w:u w:val="single"/>
        </w:rPr>
        <w:t>)</w:t>
      </w:r>
      <w:r>
        <w:rPr>
          <w:rFonts w:hint="eastAsia" w:ascii="仿宋" w:hAnsi="仿宋" w:eastAsia="仿宋" w:cs="仿宋"/>
          <w:bCs/>
          <w:color w:val="auto"/>
          <w:sz w:val="24"/>
          <w:szCs w:val="24"/>
        </w:rPr>
        <w:t>，由</w:t>
      </w:r>
      <w:r>
        <w:rPr>
          <w:rFonts w:hint="eastAsia" w:ascii="仿宋" w:hAnsi="仿宋" w:eastAsia="仿宋" w:cs="仿宋"/>
          <w:bCs/>
          <w:color w:val="auto"/>
          <w:sz w:val="24"/>
          <w:szCs w:val="24"/>
          <w:lang w:eastAsia="zh-CN"/>
        </w:rPr>
        <w:t>中瑞达项目管理有限公司</w:t>
      </w:r>
      <w:r>
        <w:rPr>
          <w:rFonts w:hint="eastAsia" w:ascii="仿宋" w:hAnsi="仿宋" w:eastAsia="仿宋" w:cs="仿宋"/>
          <w:bCs/>
          <w:color w:val="auto"/>
          <w:sz w:val="24"/>
          <w:szCs w:val="24"/>
        </w:rPr>
        <w:t>组织</w:t>
      </w:r>
      <w:r>
        <w:rPr>
          <w:rFonts w:hint="eastAsia" w:ascii="仿宋" w:hAnsi="仿宋" w:eastAsia="仿宋" w:cs="仿宋"/>
          <w:bCs/>
          <w:color w:val="auto"/>
          <w:sz w:val="24"/>
          <w:szCs w:val="24"/>
          <w:lang w:val="en-US" w:eastAsia="zh-CN"/>
        </w:rPr>
        <w:t>竞争性谈判</w:t>
      </w:r>
      <w:r>
        <w:rPr>
          <w:rFonts w:hint="eastAsia" w:ascii="仿宋" w:hAnsi="仿宋" w:eastAsia="仿宋" w:cs="仿宋"/>
          <w:bCs/>
          <w:color w:val="auto"/>
          <w:sz w:val="24"/>
          <w:szCs w:val="24"/>
        </w:rPr>
        <w:t>，</w:t>
      </w:r>
      <w:r>
        <w:rPr>
          <w:rFonts w:hint="eastAsia" w:ascii="仿宋" w:hAnsi="仿宋" w:eastAsia="仿宋" w:cs="仿宋"/>
          <w:bCs/>
          <w:color w:val="auto"/>
          <w:sz w:val="24"/>
          <w:szCs w:val="24"/>
          <w:highlight w:val="none"/>
          <w:u w:val="single"/>
          <w:lang w:eastAsia="zh-CN"/>
        </w:rPr>
        <w:t>西安市第</w:t>
      </w:r>
      <w:r>
        <w:rPr>
          <w:rFonts w:hint="eastAsia" w:ascii="仿宋" w:hAnsi="仿宋" w:eastAsia="仿宋" w:cs="仿宋"/>
          <w:bCs/>
          <w:color w:val="auto"/>
          <w:sz w:val="24"/>
          <w:szCs w:val="24"/>
          <w:highlight w:val="none"/>
          <w:u w:val="single"/>
          <w:lang w:val="en-US" w:eastAsia="zh-CN"/>
        </w:rPr>
        <w:t>五十三中学</w:t>
      </w:r>
      <w:r>
        <w:rPr>
          <w:rFonts w:hint="eastAsia" w:ascii="仿宋" w:hAnsi="仿宋" w:eastAsia="仿宋" w:cs="仿宋"/>
          <w:bCs/>
          <w:color w:val="auto"/>
          <w:sz w:val="24"/>
          <w:szCs w:val="24"/>
        </w:rPr>
        <w:t>(以下简称“甲方”)确定</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（以下简称“乙方”）为该项目的</w:t>
      </w:r>
      <w:r>
        <w:rPr>
          <w:rFonts w:hint="eastAsia" w:ascii="仿宋" w:hAnsi="仿宋" w:eastAsia="仿宋" w:cs="仿宋"/>
          <w:bCs/>
          <w:color w:val="auto"/>
          <w:sz w:val="24"/>
          <w:szCs w:val="24"/>
          <w:lang w:eastAsia="zh-CN"/>
        </w:rPr>
        <w:t>成交供应</w:t>
      </w:r>
      <w:bookmarkStart w:id="0" w:name="_GoBack"/>
      <w:bookmarkEnd w:id="0"/>
      <w:r>
        <w:rPr>
          <w:rFonts w:hint="eastAsia" w:ascii="仿宋" w:hAnsi="仿宋" w:eastAsia="仿宋" w:cs="仿宋"/>
          <w:bCs/>
          <w:color w:val="auto"/>
          <w:sz w:val="24"/>
          <w:szCs w:val="24"/>
          <w:lang w:eastAsia="zh-CN"/>
        </w:rPr>
        <w:t>商</w:t>
      </w:r>
      <w:r>
        <w:rPr>
          <w:rFonts w:hint="eastAsia" w:ascii="仿宋" w:hAnsi="仿宋" w:eastAsia="仿宋" w:cs="仿宋"/>
          <w:bCs/>
          <w:color w:val="auto"/>
          <w:sz w:val="24"/>
          <w:szCs w:val="24"/>
        </w:rPr>
        <w:t>。</w:t>
      </w:r>
    </w:p>
    <w:p w14:paraId="35A80E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依据《中华人民共和国</w:t>
      </w:r>
      <w:r>
        <w:rPr>
          <w:rFonts w:hint="eastAsia" w:ascii="仿宋" w:hAnsi="仿宋" w:eastAsia="仿宋" w:cs="仿宋"/>
          <w:bCs/>
          <w:color w:val="auto"/>
          <w:sz w:val="24"/>
          <w:szCs w:val="24"/>
          <w:lang w:eastAsia="zh-CN"/>
        </w:rPr>
        <w:t>民法典</w:t>
      </w:r>
      <w:r>
        <w:rPr>
          <w:rFonts w:hint="eastAsia" w:ascii="仿宋" w:hAnsi="仿宋" w:eastAsia="仿宋" w:cs="仿宋"/>
          <w:bCs/>
          <w:color w:val="auto"/>
          <w:sz w:val="24"/>
          <w:szCs w:val="24"/>
        </w:rPr>
        <w:t>》和《中华人民共和国政府采购法》之规定，经双方在平等、自愿、互利的基础上，签订本合同，共同信守。</w:t>
      </w:r>
    </w:p>
    <w:p w14:paraId="0BE721B8">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zh-CN"/>
        </w:rPr>
        <w:t>合同标的</w:t>
      </w:r>
      <w:r>
        <w:rPr>
          <w:rFonts w:hint="eastAsia" w:ascii="仿宋" w:hAnsi="仿宋" w:eastAsia="仿宋" w:cs="仿宋"/>
          <w:b/>
          <w:bCs/>
          <w:color w:val="auto"/>
          <w:sz w:val="24"/>
          <w:szCs w:val="24"/>
        </w:rPr>
        <w:t>物内容</w:t>
      </w:r>
      <w:r>
        <w:rPr>
          <w:rFonts w:hint="eastAsia" w:ascii="仿宋" w:hAnsi="仿宋" w:eastAsia="仿宋" w:cs="仿宋"/>
          <w:b/>
          <w:bCs/>
          <w:color w:val="auto"/>
          <w:sz w:val="24"/>
          <w:szCs w:val="24"/>
          <w:lang w:val="zh-CN"/>
        </w:rPr>
        <w:t>及数量</w:t>
      </w:r>
    </w:p>
    <w:p w14:paraId="7A5E7B4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zh-CN"/>
        </w:rPr>
      </w:pPr>
      <w:r>
        <w:rPr>
          <w:rFonts w:hint="eastAsia" w:ascii="仿宋" w:hAnsi="仿宋" w:eastAsia="仿宋" w:cs="仿宋"/>
          <w:bCs/>
          <w:color w:val="auto"/>
          <w:sz w:val="24"/>
          <w:szCs w:val="24"/>
          <w:lang w:val="zh-CN"/>
        </w:rPr>
        <w:t>乙方向甲方提供下列货物（产品）：</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199ED14E">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序号</w:t>
            </w:r>
          </w:p>
        </w:tc>
        <w:tc>
          <w:tcPr>
            <w:tcW w:w="1649" w:type="dxa"/>
            <w:noWrap w:val="0"/>
            <w:vAlign w:val="center"/>
          </w:tcPr>
          <w:p w14:paraId="10741A5E">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货物</w:t>
            </w:r>
            <w:r>
              <w:rPr>
                <w:rFonts w:hint="eastAsia" w:ascii="仿宋" w:hAnsi="仿宋" w:eastAsia="仿宋" w:cs="仿宋"/>
                <w:bCs/>
                <w:color w:val="auto"/>
                <w:sz w:val="24"/>
                <w:szCs w:val="24"/>
              </w:rPr>
              <w:t>名称</w:t>
            </w:r>
          </w:p>
        </w:tc>
        <w:tc>
          <w:tcPr>
            <w:tcW w:w="1481" w:type="dxa"/>
            <w:noWrap w:val="0"/>
            <w:vAlign w:val="center"/>
          </w:tcPr>
          <w:p w14:paraId="08B50234">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品牌/型号</w:t>
            </w:r>
          </w:p>
        </w:tc>
        <w:tc>
          <w:tcPr>
            <w:tcW w:w="531" w:type="dxa"/>
            <w:noWrap w:val="0"/>
            <w:vAlign w:val="center"/>
          </w:tcPr>
          <w:p w14:paraId="40E35D28">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规格</w:t>
            </w:r>
          </w:p>
        </w:tc>
        <w:tc>
          <w:tcPr>
            <w:tcW w:w="717" w:type="dxa"/>
            <w:noWrap w:val="0"/>
            <w:vAlign w:val="center"/>
          </w:tcPr>
          <w:p w14:paraId="68211333">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单位</w:t>
            </w:r>
          </w:p>
        </w:tc>
        <w:tc>
          <w:tcPr>
            <w:tcW w:w="730" w:type="dxa"/>
            <w:noWrap w:val="0"/>
            <w:vAlign w:val="center"/>
          </w:tcPr>
          <w:p w14:paraId="4EC0C578">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数量</w:t>
            </w:r>
          </w:p>
        </w:tc>
        <w:tc>
          <w:tcPr>
            <w:tcW w:w="1060" w:type="dxa"/>
            <w:noWrap w:val="0"/>
            <w:vAlign w:val="center"/>
          </w:tcPr>
          <w:p w14:paraId="35FC5682">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单价（元）</w:t>
            </w:r>
          </w:p>
        </w:tc>
        <w:tc>
          <w:tcPr>
            <w:tcW w:w="1461" w:type="dxa"/>
            <w:noWrap w:val="0"/>
            <w:vAlign w:val="center"/>
          </w:tcPr>
          <w:p w14:paraId="3FB28F77">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2A28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4033781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2A030D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0A77671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157A6FA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1876E6A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52A00F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7043B0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7A675F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4C30AA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0FA1160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7DEE1C4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37FEAC0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21F949A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6E5DFD0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221E60F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5818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17A330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5BFAFF5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38F7A3B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0316669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6127EF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3E1E7F8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388008F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0AC44D95">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合计</w:t>
            </w:r>
          </w:p>
        </w:tc>
        <w:tc>
          <w:tcPr>
            <w:tcW w:w="3459" w:type="dxa"/>
            <w:gridSpan w:val="4"/>
            <w:noWrap w:val="0"/>
            <w:vAlign w:val="center"/>
          </w:tcPr>
          <w:p w14:paraId="4B4D81C3">
            <w:pPr>
              <w:autoSpaceDE w:val="0"/>
              <w:autoSpaceDN w:val="0"/>
              <w:adjustRightInd w:val="0"/>
              <w:snapToGri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大写</w:t>
            </w:r>
          </w:p>
        </w:tc>
        <w:tc>
          <w:tcPr>
            <w:tcW w:w="2521" w:type="dxa"/>
            <w:gridSpan w:val="2"/>
            <w:noWrap w:val="0"/>
            <w:vAlign w:val="center"/>
          </w:tcPr>
          <w:p w14:paraId="090BD9EB">
            <w:pPr>
              <w:autoSpaceDE w:val="0"/>
              <w:autoSpaceDN w:val="0"/>
              <w:adjustRightInd w:val="0"/>
              <w:snapToGrid w:val="0"/>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w:t>
            </w:r>
          </w:p>
        </w:tc>
      </w:tr>
    </w:tbl>
    <w:p w14:paraId="28C00B6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二、合同价款</w:t>
      </w:r>
    </w:p>
    <w:p w14:paraId="413538F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（一）合同价款为人民币（大写）</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w:t>
      </w:r>
    </w:p>
    <w:p w14:paraId="11DDB6D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（二）合同价款包括但不限于</w:t>
      </w:r>
      <w:r>
        <w:rPr>
          <w:rFonts w:hint="eastAsia" w:ascii="仿宋" w:hAnsi="仿宋" w:eastAsia="仿宋" w:cs="仿宋"/>
          <w:color w:val="auto"/>
          <w:sz w:val="24"/>
          <w:szCs w:val="24"/>
          <w:lang w:val="zh-CN"/>
        </w:rPr>
        <w:t>产品供应费、运</w:t>
      </w:r>
      <w:r>
        <w:rPr>
          <w:rFonts w:hint="eastAsia" w:ascii="仿宋" w:hAnsi="仿宋" w:eastAsia="仿宋" w:cs="仿宋"/>
          <w:color w:val="auto"/>
          <w:sz w:val="24"/>
          <w:szCs w:val="24"/>
          <w:lang w:val="en-US" w:eastAsia="zh-CN"/>
        </w:rPr>
        <w:t>杂</w:t>
      </w:r>
      <w:r>
        <w:rPr>
          <w:rFonts w:hint="eastAsia" w:ascii="仿宋" w:hAnsi="仿宋" w:eastAsia="仿宋" w:cs="仿宋"/>
          <w:color w:val="auto"/>
          <w:sz w:val="24"/>
          <w:szCs w:val="24"/>
          <w:lang w:val="zh-CN"/>
        </w:rPr>
        <w:t>费、</w:t>
      </w:r>
      <w:r>
        <w:rPr>
          <w:rFonts w:hint="eastAsia" w:ascii="仿宋" w:hAnsi="仿宋" w:eastAsia="仿宋" w:cs="仿宋"/>
          <w:color w:val="auto"/>
          <w:sz w:val="24"/>
          <w:szCs w:val="24"/>
          <w:lang w:val="en-US" w:eastAsia="zh-CN"/>
        </w:rPr>
        <w:t>质检</w:t>
      </w:r>
      <w:r>
        <w:rPr>
          <w:rFonts w:hint="eastAsia" w:ascii="仿宋" w:hAnsi="仿宋" w:eastAsia="仿宋" w:cs="仿宋"/>
          <w:color w:val="auto"/>
          <w:sz w:val="24"/>
          <w:szCs w:val="24"/>
          <w:lang w:val="zh-CN"/>
        </w:rPr>
        <w:t>验收费、税金及其它相关的费用</w:t>
      </w:r>
      <w:r>
        <w:rPr>
          <w:rFonts w:hint="eastAsia" w:ascii="仿宋" w:hAnsi="仿宋" w:eastAsia="仿宋" w:cs="仿宋"/>
          <w:bCs/>
          <w:color w:val="auto"/>
          <w:sz w:val="24"/>
          <w:szCs w:val="24"/>
        </w:rPr>
        <w:t>。</w:t>
      </w:r>
    </w:p>
    <w:p w14:paraId="428DDED8">
      <w:pPr>
        <w:autoSpaceDE w:val="0"/>
        <w:autoSpaceDN w:val="0"/>
        <w:adjustRightIn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（三）合同价款一次性包死，不受市场价格变化因素的影响。</w:t>
      </w:r>
    </w:p>
    <w:p w14:paraId="6BA27243">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款项结算</w:t>
      </w:r>
    </w:p>
    <w:p w14:paraId="03C9F8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（一）付款方式：</w:t>
      </w:r>
    </w:p>
    <w:p w14:paraId="5B5A4484">
      <w:pPr>
        <w:autoSpaceDE w:val="0"/>
        <w:autoSpaceDN w:val="0"/>
        <w:adjustRightInd w:val="0"/>
        <w:spacing w:line="360" w:lineRule="auto"/>
        <w:ind w:firstLine="480" w:firstLineChars="200"/>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hint="eastAsia" w:ascii="仿宋" w:hAnsi="仿宋" w:eastAsia="仿宋" w:cs="仿宋"/>
          <w:b w:val="0"/>
          <w:bCs/>
          <w:color w:val="C00000"/>
          <w:sz w:val="24"/>
          <w:szCs w:val="24"/>
          <w:highlight w:val="none"/>
          <w:lang w:val="en-US"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合同签订后，货物到达采购人指定地点履约验收合格后，</w:t>
      </w:r>
      <w:r>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甲方收到乙方开具的全额增值税发票后</w:t>
      </w:r>
      <w:r>
        <w:rPr>
          <w:rFonts w:hint="eastAsia" w:ascii="仿宋" w:hAnsi="仿宋" w:eastAsia="仿宋" w:cs="仿宋"/>
          <w:color w:val="C00000"/>
          <w:sz w:val="24"/>
          <w:szCs w:val="24"/>
          <w:highlight w:val="none"/>
          <w:lang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w:t>
      </w:r>
      <w:r>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达到付款条件起 15</w:t>
      </w:r>
      <w:r>
        <w:rPr>
          <w:rFonts w:hint="eastAsia" w:ascii="仿宋" w:hAnsi="仿宋" w:eastAsia="仿宋" w:cs="仿宋"/>
          <w:color w:val="C00000"/>
          <w:sz w:val="24"/>
          <w:szCs w:val="24"/>
          <w:highlight w:val="none"/>
          <w:lang w:val="en-US"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个工作</w:t>
      </w:r>
      <w:r>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日内，支付合同总金额的 100.00%。</w:t>
      </w:r>
    </w:p>
    <w:p w14:paraId="4C31BDEE">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（二）结算</w:t>
      </w:r>
      <w:r>
        <w:rPr>
          <w:rFonts w:hint="eastAsia" w:ascii="仿宋" w:hAnsi="仿宋" w:eastAsia="仿宋" w:cs="仿宋"/>
          <w:bCs/>
          <w:color w:val="auto"/>
          <w:sz w:val="24"/>
          <w:szCs w:val="24"/>
        </w:rPr>
        <w:t>方式：银行转账。</w:t>
      </w:r>
    </w:p>
    <w:p w14:paraId="15E52D2D">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w:t>
      </w:r>
      <w:r>
        <w:rPr>
          <w:rFonts w:hint="eastAsia" w:ascii="仿宋" w:hAnsi="仿宋" w:eastAsia="仿宋" w:cs="仿宋"/>
          <w:bCs/>
          <w:color w:val="auto"/>
          <w:sz w:val="24"/>
          <w:szCs w:val="24"/>
          <w:lang w:val="en-US" w:eastAsia="zh-CN"/>
        </w:rPr>
        <w:t>结算单位</w:t>
      </w:r>
      <w:r>
        <w:rPr>
          <w:rFonts w:hint="eastAsia" w:ascii="仿宋" w:hAnsi="仿宋" w:eastAsia="仿宋" w:cs="仿宋"/>
          <w:bCs/>
          <w:color w:val="auto"/>
          <w:sz w:val="24"/>
          <w:szCs w:val="24"/>
        </w:rPr>
        <w:t>：</w:t>
      </w:r>
      <w:r>
        <w:rPr>
          <w:rFonts w:hint="eastAsia" w:ascii="仿宋" w:hAnsi="仿宋" w:eastAsia="仿宋" w:cs="仿宋"/>
          <w:color w:val="auto"/>
          <w:sz w:val="24"/>
          <w:szCs w:val="24"/>
          <w:lang w:val="zh-CN"/>
        </w:rPr>
        <w:t>由</w:t>
      </w:r>
      <w:r>
        <w:rPr>
          <w:rFonts w:hint="eastAsia" w:ascii="仿宋" w:hAnsi="仿宋" w:eastAsia="仿宋" w:cs="仿宋"/>
          <w:color w:val="auto"/>
          <w:sz w:val="24"/>
          <w:szCs w:val="24"/>
        </w:rPr>
        <w:t>甲方</w:t>
      </w:r>
      <w:r>
        <w:rPr>
          <w:rFonts w:hint="eastAsia" w:ascii="仿宋" w:hAnsi="仿宋" w:eastAsia="仿宋" w:cs="仿宋"/>
          <w:color w:val="auto"/>
          <w:sz w:val="24"/>
          <w:szCs w:val="24"/>
          <w:lang w:val="zh-CN"/>
        </w:rPr>
        <w:t>负责结算，</w:t>
      </w:r>
      <w:r>
        <w:rPr>
          <w:rFonts w:hint="eastAsia" w:ascii="仿宋" w:hAnsi="仿宋" w:eastAsia="仿宋" w:cs="仿宋"/>
          <w:bCs/>
          <w:color w:val="auto"/>
          <w:sz w:val="24"/>
          <w:szCs w:val="24"/>
        </w:rPr>
        <w:t>乙方开具</w:t>
      </w:r>
      <w:r>
        <w:rPr>
          <w:rFonts w:hint="eastAsia" w:ascii="仿宋" w:hAnsi="仿宋" w:eastAsia="仿宋" w:cs="仿宋"/>
          <w:bCs/>
          <w:color w:val="auto"/>
          <w:sz w:val="24"/>
          <w:szCs w:val="24"/>
          <w:lang w:val="en-US" w:eastAsia="zh-CN"/>
        </w:rPr>
        <w:t>等</w:t>
      </w:r>
      <w:r>
        <w:rPr>
          <w:rFonts w:hint="eastAsia" w:ascii="仿宋" w:hAnsi="仿宋" w:eastAsia="仿宋" w:cs="仿宋"/>
          <w:bCs/>
          <w:color w:val="auto"/>
          <w:sz w:val="24"/>
          <w:szCs w:val="24"/>
        </w:rPr>
        <w:t>额发票给甲方。</w:t>
      </w:r>
    </w:p>
    <w:p w14:paraId="00A41548">
      <w:pPr>
        <w:autoSpaceDE w:val="0"/>
        <w:autoSpaceDN w:val="0"/>
        <w:adjustRightInd w:val="0"/>
        <w:spacing w:line="360" w:lineRule="auto"/>
        <w:ind w:firstLine="482" w:firstLineChars="20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w:t>
      </w:r>
      <w:r>
        <w:rPr>
          <w:rFonts w:hint="eastAsia" w:ascii="仿宋" w:hAnsi="仿宋" w:eastAsia="仿宋" w:cs="仿宋"/>
          <w:b/>
          <w:color w:val="auto"/>
          <w:sz w:val="24"/>
          <w:szCs w:val="24"/>
          <w:lang w:val="en-US" w:eastAsia="zh-CN"/>
        </w:rPr>
        <w:t>交货条件</w:t>
      </w:r>
    </w:p>
    <w:p w14:paraId="34FD6A1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val="en-US"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自合同签订后</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日内供货到位</w:t>
      </w:r>
      <w:r>
        <w:rPr>
          <w:rFonts w:hint="eastAsia" w:ascii="仿宋" w:hAnsi="仿宋" w:eastAsia="仿宋" w:cs="仿宋"/>
          <w:bCs/>
          <w:color w:val="auto"/>
          <w:sz w:val="24"/>
          <w:szCs w:val="24"/>
          <w:highlight w:val="none"/>
          <w:lang w:eastAsia="zh-CN"/>
        </w:rPr>
        <w:t>。</w:t>
      </w:r>
    </w:p>
    <w:p w14:paraId="1482F53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二</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val="en-US" w:eastAsia="zh-CN"/>
        </w:rPr>
        <w:t>甲方指定地点</w:t>
      </w:r>
      <w:r>
        <w:rPr>
          <w:rFonts w:hint="eastAsia" w:ascii="仿宋" w:hAnsi="仿宋" w:eastAsia="仿宋" w:cs="仿宋"/>
          <w:bCs/>
          <w:color w:val="auto"/>
          <w:sz w:val="24"/>
          <w:szCs w:val="24"/>
          <w:highlight w:val="none"/>
        </w:rPr>
        <w:t>。</w:t>
      </w:r>
    </w:p>
    <w:p w14:paraId="33247ED9">
      <w:pPr>
        <w:autoSpaceDE w:val="0"/>
        <w:autoSpaceDN w:val="0"/>
        <w:adjustRightInd w:val="0"/>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五、技术标准、质量标准及其他要求</w:t>
      </w:r>
    </w:p>
    <w:p w14:paraId="2C4D8564">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（一）所提供的产品符合国家现行标准和相应的技术规范，标准和技术规范应为合同签订之日为止最新公布发行的标准和技术规范。</w:t>
      </w:r>
    </w:p>
    <w:p w14:paraId="57EECC1D">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二</w:t>
      </w:r>
      <w:r>
        <w:rPr>
          <w:rFonts w:hint="eastAsia" w:ascii="仿宋" w:hAnsi="仿宋" w:eastAsia="仿宋" w:cs="仿宋"/>
          <w:b w:val="0"/>
          <w:bCs/>
          <w:color w:val="auto"/>
          <w:sz w:val="24"/>
          <w:szCs w:val="24"/>
        </w:rPr>
        <w:t>）产品质保期一年，</w:t>
      </w:r>
      <w:r>
        <w:rPr>
          <w:rFonts w:hint="eastAsia" w:ascii="仿宋" w:hAnsi="仿宋" w:eastAsia="仿宋" w:cs="仿宋"/>
          <w:b w:val="0"/>
          <w:bCs/>
          <w:color w:val="auto"/>
          <w:sz w:val="24"/>
          <w:szCs w:val="24"/>
          <w:lang w:val="en-US" w:eastAsia="zh-CN"/>
        </w:rPr>
        <w:t>货物</w:t>
      </w:r>
      <w:r>
        <w:rPr>
          <w:rFonts w:hint="eastAsia" w:ascii="仿宋" w:hAnsi="仿宋" w:eastAsia="仿宋" w:cs="仿宋"/>
          <w:b w:val="0"/>
          <w:bCs/>
          <w:color w:val="auto"/>
          <w:sz w:val="24"/>
          <w:szCs w:val="24"/>
        </w:rPr>
        <w:t>到达用户所在地后90日内，如发现</w:t>
      </w:r>
      <w:r>
        <w:rPr>
          <w:rFonts w:hint="eastAsia" w:ascii="仿宋" w:hAnsi="仿宋" w:eastAsia="仿宋" w:cs="仿宋"/>
          <w:b w:val="0"/>
          <w:bCs/>
          <w:color w:val="auto"/>
          <w:sz w:val="24"/>
          <w:szCs w:val="24"/>
          <w:lang w:val="en-US" w:eastAsia="zh-CN"/>
        </w:rPr>
        <w:t>不符合要求的货物</w:t>
      </w: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供应商</w:t>
      </w:r>
      <w:r>
        <w:rPr>
          <w:rFonts w:hint="eastAsia" w:ascii="仿宋" w:hAnsi="仿宋" w:eastAsia="仿宋" w:cs="仿宋"/>
          <w:b w:val="0"/>
          <w:bCs/>
          <w:color w:val="auto"/>
          <w:sz w:val="24"/>
          <w:szCs w:val="24"/>
        </w:rPr>
        <w:t>应负责包修、包换；如发现材料及加工质量问题，制造厂商应负责包换。</w:t>
      </w:r>
    </w:p>
    <w:p w14:paraId="08D2F49A">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三</w:t>
      </w:r>
      <w:r>
        <w:rPr>
          <w:rFonts w:hint="eastAsia" w:ascii="仿宋" w:hAnsi="仿宋" w:eastAsia="仿宋" w:cs="仿宋"/>
          <w:b w:val="0"/>
          <w:bCs/>
          <w:color w:val="auto"/>
          <w:sz w:val="24"/>
          <w:szCs w:val="24"/>
        </w:rPr>
        <w:t>）乙方提供的产品，若发生侵权而产生的一切后果，由乙方负责，甲方保留索赔权力。</w:t>
      </w:r>
    </w:p>
    <w:p w14:paraId="490658C8">
      <w:pPr>
        <w:autoSpaceDE w:val="0"/>
        <w:autoSpaceDN w:val="0"/>
        <w:adjustRightInd w:val="0"/>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双方的权利和义务</w:t>
      </w:r>
    </w:p>
    <w:p w14:paraId="7E4FE7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（一）甲方的权利与义务</w:t>
      </w:r>
    </w:p>
    <w:p w14:paraId="4432449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积极配合乙方验收工作。</w:t>
      </w:r>
    </w:p>
    <w:p w14:paraId="3913289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组织使用单位严格按照</w:t>
      </w:r>
      <w:r>
        <w:rPr>
          <w:rFonts w:hint="eastAsia" w:ascii="仿宋" w:hAnsi="仿宋" w:eastAsia="仿宋" w:cs="仿宋"/>
          <w:bCs/>
          <w:color w:val="auto"/>
          <w:sz w:val="24"/>
          <w:szCs w:val="24"/>
          <w:lang w:eastAsia="zh-CN"/>
        </w:rPr>
        <w:t>磋商文件</w:t>
      </w:r>
      <w:r>
        <w:rPr>
          <w:rFonts w:hint="eastAsia" w:ascii="仿宋" w:hAnsi="仿宋" w:eastAsia="仿宋" w:cs="仿宋"/>
          <w:bCs/>
          <w:color w:val="auto"/>
          <w:sz w:val="24"/>
          <w:szCs w:val="24"/>
        </w:rPr>
        <w:t>及</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要求和标准验收货物。</w:t>
      </w:r>
    </w:p>
    <w:p w14:paraId="67B07D1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（二）乙方的权利与义务</w:t>
      </w:r>
    </w:p>
    <w:p w14:paraId="47EE1C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保证对其出售的产品享有合法的权利，不存在任何未曾向甲方透露的担保物权，如抵押权、质押权、留置权。</w:t>
      </w:r>
    </w:p>
    <w:p w14:paraId="396DC75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保证对其出售的产品或其任何一部分没有侵犯第三方的专利权、版权、商标权或其他权利。</w:t>
      </w:r>
    </w:p>
    <w:p w14:paraId="47A217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负责产品的</w:t>
      </w:r>
      <w:r>
        <w:rPr>
          <w:rFonts w:hint="eastAsia" w:ascii="仿宋" w:hAnsi="仿宋" w:eastAsia="仿宋" w:cs="仿宋"/>
          <w:bCs/>
          <w:color w:val="auto"/>
          <w:sz w:val="24"/>
          <w:szCs w:val="24"/>
          <w:lang w:val="en-US" w:eastAsia="zh-CN"/>
        </w:rPr>
        <w:t>供应、</w:t>
      </w:r>
      <w:r>
        <w:rPr>
          <w:rFonts w:hint="eastAsia" w:ascii="仿宋" w:hAnsi="仿宋" w:eastAsia="仿宋" w:cs="仿宋"/>
          <w:bCs/>
          <w:color w:val="auto"/>
          <w:sz w:val="24"/>
          <w:szCs w:val="24"/>
        </w:rPr>
        <w:t>运输，并在合同约定的时间完工，运输及安装施工全过程中的安全由乙方负责。</w:t>
      </w:r>
    </w:p>
    <w:p w14:paraId="1FD272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4</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按照合同约定要求甲方及时付款。</w:t>
      </w:r>
    </w:p>
    <w:p w14:paraId="27D85106">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七</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val="en-US" w:eastAsia="zh-CN"/>
        </w:rPr>
        <w:t>运输</w:t>
      </w:r>
    </w:p>
    <w:p w14:paraId="12EEAEB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20519F2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（二）运输方式由乙方自行选择，选择风险小、运费低、运距短的运输路线。但必须保证按期交货所有采购产品在运输、搬运的过程中，造成甲方损失的，由乙方为甲方修复或更新。</w:t>
      </w:r>
    </w:p>
    <w:p w14:paraId="660CBDC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（三）全部货物(产品)均应按照国家、行业规定的标准和保护措施进行包装，该包装应适应于远距离运输、防潮、防震、防锈和防野蛮装卸，以确保货物安全运抵指定地点。</w:t>
      </w:r>
    </w:p>
    <w:p w14:paraId="1AD2FA0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（四）当包装使用塑料、纸质、木材等包装材料时，除应当按照国家、行业规定的包装标准进行包装外，还需按照《商品包装政府采购 需求标准(试行)》(财办库[2020])123号)规定的环保要求进行包装。</w:t>
      </w:r>
    </w:p>
    <w:p w14:paraId="64775C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（五）当采用快递交货方式时，快递包装除应当按照国家、行业规定的包装标准进行包装外，还需按照《快递包装政府采购需求标准(试行)》(财办库[2020])123号)规定的环保要求进行包装。</w:t>
      </w:r>
    </w:p>
    <w:p w14:paraId="5FED488F">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八</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val="en-US" w:eastAsia="zh-CN"/>
        </w:rPr>
        <w:t>验收</w:t>
      </w:r>
    </w:p>
    <w:p w14:paraId="76945CC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（一）本项目验收费用，由乙方自行承担。</w:t>
      </w:r>
    </w:p>
    <w:p w14:paraId="64290FF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6DA29E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5294410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（四）验收依据：</w:t>
      </w:r>
    </w:p>
    <w:p w14:paraId="2E9AC9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本合同及附加文本；</w:t>
      </w:r>
    </w:p>
    <w:p w14:paraId="79132C7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磋商文件</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成交供应商</w:t>
      </w:r>
      <w:r>
        <w:rPr>
          <w:rFonts w:hint="eastAsia" w:ascii="仿宋" w:hAnsi="仿宋" w:eastAsia="仿宋" w:cs="仿宋"/>
          <w:bCs/>
          <w:color w:val="auto"/>
          <w:sz w:val="24"/>
          <w:szCs w:val="24"/>
        </w:rPr>
        <w:t>的</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及澄清（承诺）函；</w:t>
      </w:r>
    </w:p>
    <w:p w14:paraId="1FB5F6AE">
      <w:pPr>
        <w:autoSpaceDE w:val="0"/>
        <w:autoSpaceDN w:val="0"/>
        <w:adjustRightInd w:val="0"/>
        <w:snapToGrid w:val="0"/>
        <w:spacing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国家相应的标准、规范。</w:t>
      </w:r>
    </w:p>
    <w:p w14:paraId="2CD80BB0">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九</w:t>
      </w:r>
      <w:r>
        <w:rPr>
          <w:rFonts w:hint="eastAsia" w:ascii="仿宋" w:hAnsi="仿宋" w:eastAsia="仿宋" w:cs="仿宋"/>
          <w:b/>
          <w:bCs/>
          <w:color w:val="auto"/>
          <w:sz w:val="24"/>
          <w:szCs w:val="24"/>
        </w:rPr>
        <w:t>、违约责任</w:t>
      </w:r>
    </w:p>
    <w:p w14:paraId="30632D9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（一）按《中华人民共和国民法典》中的相关条款执行。</w:t>
      </w:r>
    </w:p>
    <w:p w14:paraId="2E3F2F5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w:t>
      </w:r>
      <w:r>
        <w:rPr>
          <w:rFonts w:hint="eastAsia" w:ascii="仿宋" w:hAnsi="仿宋" w:eastAsia="仿宋" w:cs="仿宋"/>
          <w:bCs/>
          <w:color w:val="auto"/>
          <w:sz w:val="24"/>
          <w:szCs w:val="24"/>
          <w:lang w:val="en-US" w:eastAsia="zh-CN"/>
        </w:rPr>
        <w:t>未按合同要求提供服务或服务质量不能满足合同要求，甲方有权依据《</w:t>
      </w:r>
      <w:r>
        <w:rPr>
          <w:rFonts w:hint="eastAsia" w:ascii="仿宋" w:hAnsi="仿宋" w:eastAsia="仿宋" w:cs="仿宋"/>
          <w:bCs/>
          <w:color w:val="auto"/>
          <w:sz w:val="24"/>
          <w:szCs w:val="24"/>
        </w:rPr>
        <w:t>中华人民共和国民法典</w:t>
      </w:r>
      <w:r>
        <w:rPr>
          <w:rFonts w:hint="eastAsia" w:ascii="仿宋" w:hAnsi="仿宋" w:eastAsia="仿宋" w:cs="仿宋"/>
          <w:bCs/>
          <w:color w:val="auto"/>
          <w:sz w:val="24"/>
          <w:szCs w:val="24"/>
          <w:lang w:val="en-US" w:eastAsia="zh-CN"/>
        </w:rPr>
        <w:t>》有关条款及合同约定终止合同，并要求乙方承担违约责任。</w:t>
      </w:r>
    </w:p>
    <w:p w14:paraId="3B05831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w:t>
      </w:r>
      <w:r>
        <w:rPr>
          <w:rFonts w:hint="eastAsia" w:ascii="仿宋" w:hAnsi="仿宋" w:eastAsia="仿宋" w:cs="仿宋"/>
          <w:bCs/>
          <w:color w:val="auto"/>
          <w:sz w:val="24"/>
          <w:szCs w:val="24"/>
          <w:lang w:val="en-US" w:eastAsia="zh-CN"/>
        </w:rPr>
        <w:t>乙方未按合同约定的交货日期交货的，每逾期一个日历日，向甲方支付逾期交付货物价款的3%的违约金，但不超过合同总金额10%。乙方支付逾期交货违约金并不免除其交货的责任</w:t>
      </w:r>
      <w:r>
        <w:rPr>
          <w:rFonts w:hint="eastAsia" w:ascii="仿宋" w:hAnsi="仿宋" w:eastAsia="仿宋" w:cs="仿宋"/>
          <w:bCs/>
          <w:color w:val="auto"/>
          <w:sz w:val="24"/>
          <w:szCs w:val="24"/>
        </w:rPr>
        <w:t>。</w:t>
      </w:r>
    </w:p>
    <w:p w14:paraId="4389FB6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四</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0E89C1B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五</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乙方所交付货物及伴随的工程或服务不符合其投标承诺，存在偷工减料、以次充好情形的，甲方要求更换一次后仍不符合约定的，甲方有权解除政府采购合同，并将有关情况上报政府购监管部门处理。</w:t>
      </w:r>
    </w:p>
    <w:p w14:paraId="151F08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六</w:t>
      </w:r>
      <w:r>
        <w:rPr>
          <w:rFonts w:hint="eastAsia" w:ascii="仿宋" w:hAnsi="仿宋" w:eastAsia="仿宋" w:cs="仿宋"/>
          <w:bCs/>
          <w:color w:val="auto"/>
          <w:sz w:val="24"/>
          <w:szCs w:val="24"/>
        </w:rPr>
        <w:t>）任何一方因不可抗力原因不能履行协议时，应尽快通知对方，双方均设法补偿。如仍无法履约协议，可协商延缓或撤销协议，双方责任免除。</w:t>
      </w:r>
    </w:p>
    <w:p w14:paraId="78212992">
      <w:pPr>
        <w:autoSpaceDE w:val="0"/>
        <w:autoSpaceDN w:val="0"/>
        <w:adjustRightInd w:val="0"/>
        <w:snapToGrid w:val="0"/>
        <w:spacing w:line="360" w:lineRule="auto"/>
        <w:ind w:firstLine="482" w:firstLineChars="200"/>
        <w:rPr>
          <w:rFonts w:hint="eastAsia" w:ascii="仿宋" w:hAnsi="仿宋" w:eastAsia="仿宋" w:cs="仿宋"/>
          <w:bCs/>
          <w:color w:val="auto"/>
          <w:sz w:val="24"/>
          <w:szCs w:val="24"/>
        </w:rPr>
      </w:pPr>
      <w:r>
        <w:rPr>
          <w:rFonts w:hint="eastAsia" w:ascii="仿宋" w:hAnsi="仿宋" w:eastAsia="仿宋" w:cs="仿宋"/>
          <w:b/>
          <w:bCs/>
          <w:color w:val="auto"/>
          <w:sz w:val="24"/>
          <w:szCs w:val="24"/>
        </w:rPr>
        <w:t>十、合同争议解决的方式</w:t>
      </w:r>
    </w:p>
    <w:p w14:paraId="090E00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（一）本合同在履行过程中发生的争议，由甲、乙双方当事人协商解决，协商不成的按下列第</w:t>
      </w:r>
      <w:r>
        <w:rPr>
          <w:rFonts w:hint="eastAsia" w:ascii="仿宋" w:hAnsi="仿宋" w:eastAsia="仿宋" w:cs="仿宋"/>
          <w:bCs/>
          <w:color w:val="auto"/>
          <w:sz w:val="24"/>
          <w:szCs w:val="24"/>
          <w:u w:val="single"/>
        </w:rPr>
        <w:t xml:space="preserve"> 2 </w:t>
      </w:r>
      <w:r>
        <w:rPr>
          <w:rFonts w:hint="eastAsia" w:ascii="仿宋" w:hAnsi="仿宋" w:eastAsia="仿宋" w:cs="仿宋"/>
          <w:bCs/>
          <w:color w:val="auto"/>
          <w:sz w:val="24"/>
          <w:szCs w:val="24"/>
        </w:rPr>
        <w:t>种方式解决：</w:t>
      </w:r>
    </w:p>
    <w:p w14:paraId="2A09EBB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提交西安市仲裁委员会仲裁；</w:t>
      </w:r>
    </w:p>
    <w:p w14:paraId="3ABD08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依法向甲方所在地人民法院起诉。</w:t>
      </w:r>
    </w:p>
    <w:p w14:paraId="40B9D4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（二）因质量问题发生的争议，由国家权威技术单位进行质量鉴定，该鉴定结论为最终结果，甲乙双方应当接受。</w:t>
      </w:r>
    </w:p>
    <w:p w14:paraId="4356888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、合同生效</w:t>
      </w:r>
    </w:p>
    <w:p w14:paraId="0DDF42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（一）本合同须经甲、乙双方的法定代表人（授权代理人）在合同书上签字并加盖本单位公章后正式生效。</w:t>
      </w:r>
    </w:p>
    <w:p w14:paraId="37FEDF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（二）合同生效后，甲、乙双方须严格执行本合同条款的规定，全面履行合同，违者按《中华人民共和国民法典》的有关规定承担相应责任。</w:t>
      </w:r>
    </w:p>
    <w:p w14:paraId="7F65889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（三）本合同一式</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份，甲乙双方各执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w:t>
      </w:r>
    </w:p>
    <w:p w14:paraId="031EF79E">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（四）本合同如有未尽事宜，甲、乙双方协商解决。</w:t>
      </w:r>
    </w:p>
    <w:p w14:paraId="5AC04E29">
      <w:pPr>
        <w:rPr>
          <w:rFonts w:hint="eastAsia" w:ascii="仿宋" w:hAnsi="仿宋" w:eastAsia="仿宋" w:cs="仿宋"/>
          <w:color w:val="auto"/>
          <w:sz w:val="24"/>
          <w:szCs w:val="24"/>
          <w:lang w:val="en-US" w:eastAsia="zh-CN"/>
        </w:rPr>
      </w:pPr>
    </w:p>
    <w:p w14:paraId="325327C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46386224">
      <w:pPr>
        <w:rPr>
          <w:rFonts w:hint="eastAsia" w:ascii="仿宋" w:hAnsi="仿宋" w:eastAsia="仿宋" w:cs="仿宋"/>
          <w:color w:val="auto"/>
          <w:lang w:val="en-US" w:eastAsia="zh-CN"/>
        </w:rPr>
      </w:pPr>
    </w:p>
    <w:tbl>
      <w:tblPr>
        <w:tblStyle w:val="3"/>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noWrap w:val="0"/>
            <w:vAlign w:val="center"/>
          </w:tcPr>
          <w:p w14:paraId="25EF276D">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甲  方</w:t>
            </w:r>
          </w:p>
        </w:tc>
        <w:tc>
          <w:tcPr>
            <w:tcW w:w="4202" w:type="dxa"/>
            <w:noWrap w:val="0"/>
            <w:vAlign w:val="center"/>
          </w:tcPr>
          <w:p w14:paraId="26E60690">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乙  方</w:t>
            </w:r>
          </w:p>
        </w:tc>
      </w:tr>
      <w:tr w14:paraId="0DB0EC94">
        <w:tblPrEx>
          <w:tblCellMar>
            <w:top w:w="0" w:type="dxa"/>
            <w:left w:w="108" w:type="dxa"/>
            <w:bottom w:w="0" w:type="dxa"/>
            <w:right w:w="108" w:type="dxa"/>
          </w:tblCellMar>
        </w:tblPrEx>
        <w:trPr>
          <w:trHeight w:val="550" w:hRule="exact"/>
          <w:jc w:val="center"/>
        </w:trPr>
        <w:tc>
          <w:tcPr>
            <w:tcW w:w="4201" w:type="dxa"/>
            <w:noWrap w:val="0"/>
            <w:vAlign w:val="center"/>
          </w:tcPr>
          <w:p w14:paraId="7B47EDBF">
            <w:pPr>
              <w:autoSpaceDE w:val="0"/>
              <w:autoSpaceDN w:val="0"/>
              <w:adjustRightInd w:val="0"/>
              <w:jc w:val="both"/>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（盖章）</w:t>
            </w:r>
          </w:p>
        </w:tc>
        <w:tc>
          <w:tcPr>
            <w:tcW w:w="4202" w:type="dxa"/>
            <w:noWrap w:val="0"/>
            <w:vAlign w:val="center"/>
          </w:tcPr>
          <w:p w14:paraId="6744793F">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（盖章）</w:t>
            </w:r>
          </w:p>
        </w:tc>
      </w:tr>
      <w:tr w14:paraId="1B6B0DF1">
        <w:tblPrEx>
          <w:tblCellMar>
            <w:top w:w="0" w:type="dxa"/>
            <w:left w:w="108" w:type="dxa"/>
            <w:bottom w:w="0" w:type="dxa"/>
            <w:right w:w="108" w:type="dxa"/>
          </w:tblCellMar>
        </w:tblPrEx>
        <w:trPr>
          <w:trHeight w:val="550" w:hRule="exact"/>
          <w:jc w:val="center"/>
        </w:trPr>
        <w:tc>
          <w:tcPr>
            <w:tcW w:w="4201" w:type="dxa"/>
            <w:noWrap w:val="0"/>
            <w:vAlign w:val="center"/>
          </w:tcPr>
          <w:p w14:paraId="5262B3D2">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 xml:space="preserve">地址： </w:t>
            </w:r>
          </w:p>
        </w:tc>
        <w:tc>
          <w:tcPr>
            <w:tcW w:w="4202" w:type="dxa"/>
            <w:noWrap w:val="0"/>
            <w:vAlign w:val="center"/>
          </w:tcPr>
          <w:p w14:paraId="6D5DA718">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地址：</w:t>
            </w:r>
          </w:p>
        </w:tc>
      </w:tr>
      <w:tr w14:paraId="58E599A3">
        <w:tblPrEx>
          <w:tblCellMar>
            <w:top w:w="0" w:type="dxa"/>
            <w:left w:w="108" w:type="dxa"/>
            <w:bottom w:w="0" w:type="dxa"/>
            <w:right w:w="108" w:type="dxa"/>
          </w:tblCellMar>
        </w:tblPrEx>
        <w:trPr>
          <w:trHeight w:val="579" w:hRule="exact"/>
          <w:jc w:val="center"/>
        </w:trPr>
        <w:tc>
          <w:tcPr>
            <w:tcW w:w="4201" w:type="dxa"/>
            <w:noWrap w:val="0"/>
            <w:vAlign w:val="center"/>
          </w:tcPr>
          <w:p w14:paraId="3D5EEF5C">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邮编：</w:t>
            </w:r>
          </w:p>
        </w:tc>
        <w:tc>
          <w:tcPr>
            <w:tcW w:w="4202" w:type="dxa"/>
            <w:noWrap w:val="0"/>
            <w:vAlign w:val="center"/>
          </w:tcPr>
          <w:p w14:paraId="6AA5548C">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邮编：</w:t>
            </w:r>
          </w:p>
        </w:tc>
      </w:tr>
      <w:tr w14:paraId="43075008">
        <w:tblPrEx>
          <w:tblCellMar>
            <w:top w:w="0" w:type="dxa"/>
            <w:left w:w="108" w:type="dxa"/>
            <w:bottom w:w="0" w:type="dxa"/>
            <w:right w:w="108" w:type="dxa"/>
          </w:tblCellMar>
        </w:tblPrEx>
        <w:trPr>
          <w:trHeight w:val="622" w:hRule="exact"/>
          <w:jc w:val="center"/>
        </w:trPr>
        <w:tc>
          <w:tcPr>
            <w:tcW w:w="4201" w:type="dxa"/>
            <w:noWrap w:val="0"/>
            <w:vAlign w:val="center"/>
          </w:tcPr>
          <w:p w14:paraId="74E3E747">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 xml:space="preserve">法定代表人： </w:t>
            </w:r>
          </w:p>
        </w:tc>
        <w:tc>
          <w:tcPr>
            <w:tcW w:w="4202" w:type="dxa"/>
            <w:noWrap w:val="0"/>
            <w:vAlign w:val="center"/>
          </w:tcPr>
          <w:p w14:paraId="06000618">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法定代表人：</w:t>
            </w:r>
          </w:p>
        </w:tc>
      </w:tr>
      <w:tr w14:paraId="38D8AB59">
        <w:tblPrEx>
          <w:tblCellMar>
            <w:top w:w="0" w:type="dxa"/>
            <w:left w:w="108" w:type="dxa"/>
            <w:bottom w:w="0" w:type="dxa"/>
            <w:right w:w="108" w:type="dxa"/>
          </w:tblCellMar>
        </w:tblPrEx>
        <w:trPr>
          <w:trHeight w:val="593" w:hRule="exact"/>
          <w:jc w:val="center"/>
        </w:trPr>
        <w:tc>
          <w:tcPr>
            <w:tcW w:w="4201" w:type="dxa"/>
            <w:noWrap w:val="0"/>
            <w:vAlign w:val="center"/>
          </w:tcPr>
          <w:p w14:paraId="1A610CD2">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被授权代表：</w:t>
            </w:r>
          </w:p>
        </w:tc>
        <w:tc>
          <w:tcPr>
            <w:tcW w:w="4202" w:type="dxa"/>
            <w:noWrap w:val="0"/>
            <w:vAlign w:val="center"/>
          </w:tcPr>
          <w:p w14:paraId="550229EE">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被授权代表：</w:t>
            </w:r>
          </w:p>
        </w:tc>
      </w:tr>
      <w:tr w14:paraId="48875FE1">
        <w:tblPrEx>
          <w:tblCellMar>
            <w:top w:w="0" w:type="dxa"/>
            <w:left w:w="108" w:type="dxa"/>
            <w:bottom w:w="0" w:type="dxa"/>
            <w:right w:w="108" w:type="dxa"/>
          </w:tblCellMar>
        </w:tblPrEx>
        <w:trPr>
          <w:trHeight w:val="578" w:hRule="exact"/>
          <w:jc w:val="center"/>
        </w:trPr>
        <w:tc>
          <w:tcPr>
            <w:tcW w:w="4201" w:type="dxa"/>
            <w:noWrap w:val="0"/>
            <w:vAlign w:val="center"/>
          </w:tcPr>
          <w:p w14:paraId="6EB4E4B0">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电话：</w:t>
            </w:r>
          </w:p>
        </w:tc>
        <w:tc>
          <w:tcPr>
            <w:tcW w:w="4202" w:type="dxa"/>
            <w:noWrap w:val="0"/>
            <w:vAlign w:val="center"/>
          </w:tcPr>
          <w:p w14:paraId="0651BE80">
            <w:pPr>
              <w:autoSpaceDE w:val="0"/>
              <w:autoSpaceDN w:val="0"/>
              <w:adjustRightInd w:val="0"/>
              <w:ind w:left="840" w:hanging="600" w:hangingChars="30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电话：</w:t>
            </w:r>
          </w:p>
        </w:tc>
      </w:tr>
      <w:tr w14:paraId="7B01C03A">
        <w:tblPrEx>
          <w:tblCellMar>
            <w:top w:w="0" w:type="dxa"/>
            <w:left w:w="108" w:type="dxa"/>
            <w:bottom w:w="0" w:type="dxa"/>
            <w:right w:w="108" w:type="dxa"/>
          </w:tblCellMar>
        </w:tblPrEx>
        <w:trPr>
          <w:trHeight w:val="578" w:hRule="exact"/>
          <w:jc w:val="center"/>
        </w:trPr>
        <w:tc>
          <w:tcPr>
            <w:tcW w:w="4201" w:type="dxa"/>
            <w:noWrap w:val="0"/>
            <w:vAlign w:val="center"/>
          </w:tcPr>
          <w:p w14:paraId="3B7F0D6A">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传真：</w:t>
            </w:r>
          </w:p>
        </w:tc>
        <w:tc>
          <w:tcPr>
            <w:tcW w:w="4202" w:type="dxa"/>
            <w:noWrap w:val="0"/>
            <w:vAlign w:val="center"/>
          </w:tcPr>
          <w:p w14:paraId="5F2AEC41">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传真：</w:t>
            </w:r>
          </w:p>
        </w:tc>
      </w:tr>
      <w:tr w14:paraId="75051210">
        <w:tblPrEx>
          <w:tblCellMar>
            <w:top w:w="0" w:type="dxa"/>
            <w:left w:w="108" w:type="dxa"/>
            <w:bottom w:w="0" w:type="dxa"/>
            <w:right w:w="108" w:type="dxa"/>
          </w:tblCellMar>
        </w:tblPrEx>
        <w:trPr>
          <w:trHeight w:val="607" w:hRule="exact"/>
          <w:jc w:val="center"/>
        </w:trPr>
        <w:tc>
          <w:tcPr>
            <w:tcW w:w="4201" w:type="dxa"/>
            <w:noWrap w:val="0"/>
            <w:vAlign w:val="center"/>
          </w:tcPr>
          <w:p w14:paraId="3CB454BE">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开户银行：</w:t>
            </w:r>
          </w:p>
        </w:tc>
        <w:tc>
          <w:tcPr>
            <w:tcW w:w="4202" w:type="dxa"/>
            <w:noWrap w:val="0"/>
            <w:vAlign w:val="center"/>
          </w:tcPr>
          <w:p w14:paraId="6EAE380B">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开户银行：</w:t>
            </w:r>
          </w:p>
        </w:tc>
      </w:tr>
      <w:tr w14:paraId="70FBB612">
        <w:tblPrEx>
          <w:tblCellMar>
            <w:top w:w="0" w:type="dxa"/>
            <w:left w:w="108" w:type="dxa"/>
            <w:bottom w:w="0" w:type="dxa"/>
            <w:right w:w="108" w:type="dxa"/>
          </w:tblCellMar>
        </w:tblPrEx>
        <w:trPr>
          <w:trHeight w:val="594" w:hRule="exact"/>
          <w:jc w:val="center"/>
        </w:trPr>
        <w:tc>
          <w:tcPr>
            <w:tcW w:w="4201" w:type="dxa"/>
            <w:noWrap w:val="0"/>
            <w:vAlign w:val="center"/>
          </w:tcPr>
          <w:p w14:paraId="5ECE3464">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日期：</w:t>
            </w:r>
          </w:p>
        </w:tc>
        <w:tc>
          <w:tcPr>
            <w:tcW w:w="4202" w:type="dxa"/>
            <w:noWrap w:val="0"/>
            <w:vAlign w:val="center"/>
          </w:tcPr>
          <w:p w14:paraId="66A9B5BD">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日期：</w:t>
            </w:r>
          </w:p>
        </w:tc>
      </w:tr>
    </w:tbl>
    <w:p w14:paraId="2F2DAC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87B59"/>
    <w:rsid w:val="45723F0D"/>
    <w:rsid w:val="74E61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2507</Words>
  <Characters>2554</Characters>
  <Lines>0</Lines>
  <Paragraphs>0</Paragraphs>
  <TotalTime>1</TotalTime>
  <ScaleCrop>false</ScaleCrop>
  <LinksUpToDate>false</LinksUpToDate>
  <CharactersWithSpaces>2609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2026-06-28T12:55:00Z</dcterms:created>
  <dc:creator>23808</dc:creator>
  <cp:lastModifiedBy>刘</cp:lastModifiedBy>
  <dcterms:modified xsi:type="dcterms:W3CDTF">2026-07-31T09:02:13Z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eyJoZGlkIjoiNmQ0NGQ4MGM5OWU4YzVjNjVkMmVkMGNmYjk1NGQzMWUiLCJ1c2VySWQiOiI0NzI2OTg0NjMifQ==</vt:lpwstr>
  </property>
  <property fmtid="{D5CDD505-2E9C-101B-9397-08002B2CF9AE}" pid="4" name="ICV">
    <vt:lpwstr>6E513FB9CD81455CA6C3462066D3845D_12</vt:lpwstr>
  </property>
</Properties>
</file>