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版本号：SCZA2026-CS-0559-00120260428001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防范金融风险和打击非法集资专项经费（打非主题宣传活动）项目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SCZA2026-CS-0559-001</w:t>
      </w:r>
      <w:r>
        <w:br/>
      </w:r>
      <w:r>
        <w:br/>
      </w:r>
      <w:r>
        <w:br/>
      </w:r>
    </w:p>
    <w:p>
      <w:pPr>
        <w:pStyle w:val="null3"/>
        <w:jc w:val="center"/>
        <w:outlineLvl w:val="2"/>
      </w:pPr>
      <w:r>
        <w:rPr>
          <w:rFonts w:ascii="仿宋_GB2312" w:hAnsi="仿宋_GB2312" w:cs="仿宋_GB2312" w:eastAsia="仿宋_GB2312"/>
          <w:sz w:val="28"/>
          <w:b/>
        </w:rPr>
        <w:t>中共西安市委金融委员会办公室</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中共西安市委金融委员会办公室</w:t>
      </w:r>
      <w:r>
        <w:rPr>
          <w:rFonts w:ascii="仿宋_GB2312" w:hAnsi="仿宋_GB2312" w:cs="仿宋_GB2312" w:eastAsia="仿宋_GB2312"/>
        </w:rPr>
        <w:t>委托，拟对</w:t>
      </w:r>
      <w:r>
        <w:rPr>
          <w:rFonts w:ascii="仿宋_GB2312" w:hAnsi="仿宋_GB2312" w:cs="仿宋_GB2312" w:eastAsia="仿宋_GB2312"/>
        </w:rPr>
        <w:t>防范金融风险和打击非法集资专项经费（打非主题宣传活动）项目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SCZA2026-CS-0559-001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防范金融风险和打击非法集资专项经费（打非主题宣传活动）项目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通过开展系列主题宣传活动，构建系统有效的防范非法集资宣传教育体系，增强公众金融风险辨别能力，营造全社会共同防范金融风险的良好氛围，维护区域金融安全和社会稳定。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采购包1（防范金融风险和打击非法集资专项经费（打非主题宣传活动）项目）：属于专门面向中小企业采购。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中共西安市委金融委员会办公室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雍雪飞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029-67096141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 号)的有关规定，本项目定额收取 6000元。 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中共西安市委金融委员会办公室</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中共西安市委金融委员会办公室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中共西安市委金融委员会办公室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通过开展系列主题宣传活动，构建系统有效的防范非法集资宣传教育体系，增强公众金融风险辨识能力，营造全社会共同防范金融风险的良好氛围，维护区域金融安全和社会稳定。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防范金融风险和打击非法集资专项经费（打非主题宣传活动）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标的名称：防范金融风险和打击非法集资专项经费（打非主题宣传活动）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一、项目概况</w:t>
            </w:r>
          </w:p>
          <w:p>
            <w:pPr>
              <w:pStyle w:val="null3"/>
            </w:pPr>
            <w:r>
              <w:rPr>
                <w:rFonts w:ascii="仿宋_GB2312" w:hAnsi="仿宋_GB2312" w:cs="仿宋_GB2312" w:eastAsia="仿宋_GB2312"/>
              </w:rPr>
              <w:t>通过开展系列主题宣传活动，构建系统有效的防范非法集资宣传教育体系，增强公众金融风险辨别能力，营造全社会共同防范金融风险的良好氛围，维护区域金融安全和社会稳定。</w:t>
            </w:r>
          </w:p>
          <w:p>
            <w:pPr>
              <w:pStyle w:val="null3"/>
            </w:pPr>
            <w:r>
              <w:rPr>
                <w:rFonts w:ascii="仿宋_GB2312" w:hAnsi="仿宋_GB2312" w:cs="仿宋_GB2312" w:eastAsia="仿宋_GB2312"/>
              </w:rPr>
              <w:t>二、采购内容及技术要求</w:t>
            </w:r>
          </w:p>
          <w:p>
            <w:pPr>
              <w:pStyle w:val="null3"/>
            </w:pPr>
            <w:r>
              <w:rPr>
                <w:rFonts w:ascii="仿宋_GB2312" w:hAnsi="仿宋_GB2312" w:cs="仿宋_GB2312" w:eastAsia="仿宋_GB2312"/>
              </w:rPr>
              <w:t>1、服务内容 </w:t>
            </w:r>
          </w:p>
          <w:p>
            <w:pPr>
              <w:pStyle w:val="null3"/>
            </w:pPr>
            <w:r>
              <w:rPr>
                <w:rFonts w:ascii="仿宋_GB2312" w:hAnsi="仿宋_GB2312" w:cs="仿宋_GB2312" w:eastAsia="仿宋_GB2312"/>
              </w:rPr>
              <w:t>供应商需负责本项目整体策划、执行及后期总结工作。服务内容包含但不限于活动方案策划、现场氛围营造、宣传推广及影像服务等。</w:t>
            </w:r>
          </w:p>
          <w:p>
            <w:pPr>
              <w:pStyle w:val="null3"/>
            </w:pPr>
            <w:r>
              <w:rPr>
                <w:rFonts w:ascii="仿宋_GB2312" w:hAnsi="仿宋_GB2312" w:cs="仿宋_GB2312" w:eastAsia="仿宋_GB2312"/>
              </w:rPr>
              <w:t>2、场次及规模要求</w:t>
            </w:r>
          </w:p>
          <w:p>
            <w:pPr>
              <w:pStyle w:val="null3"/>
            </w:pPr>
            <w:r>
              <w:rPr>
                <w:rFonts w:ascii="仿宋_GB2312" w:hAnsi="仿宋_GB2312" w:cs="仿宋_GB2312" w:eastAsia="仿宋_GB2312"/>
              </w:rPr>
              <w:t>活动场次：全年开展主题宣传活动不少于4场，规模根据活动实际需求及目标灵活调整。</w:t>
            </w:r>
          </w:p>
          <w:p>
            <w:pPr>
              <w:pStyle w:val="null3"/>
            </w:pPr>
            <w:r>
              <w:rPr>
                <w:rFonts w:ascii="仿宋_GB2312" w:hAnsi="仿宋_GB2312" w:cs="仿宋_GB2312" w:eastAsia="仿宋_GB2312"/>
              </w:rPr>
              <w:t>活动地点：西安市内广场、公园、高校等人员密集区域，具体地点由采购人指定。</w:t>
            </w:r>
          </w:p>
          <w:p>
            <w:pPr>
              <w:pStyle w:val="null3"/>
            </w:pPr>
            <w:r>
              <w:rPr>
                <w:rFonts w:ascii="仿宋_GB2312" w:hAnsi="仿宋_GB2312" w:cs="仿宋_GB2312" w:eastAsia="仿宋_GB2312"/>
              </w:rPr>
              <w:t>活动形式：需采用群众喜闻乐见的形式，确保现场气氛浓厚，宣传效果显著。</w:t>
            </w:r>
          </w:p>
          <w:p>
            <w:pPr>
              <w:pStyle w:val="null3"/>
            </w:pPr>
            <w:r>
              <w:rPr>
                <w:rFonts w:ascii="仿宋_GB2312" w:hAnsi="仿宋_GB2312" w:cs="仿宋_GB2312" w:eastAsia="仿宋_GB2312"/>
              </w:rPr>
              <w:t>3、具体技术指标</w:t>
            </w:r>
          </w:p>
          <w:p>
            <w:pPr>
              <w:pStyle w:val="null3"/>
            </w:pPr>
            <w:r>
              <w:rPr>
                <w:rFonts w:ascii="仿宋_GB2312" w:hAnsi="仿宋_GB2312" w:cs="仿宋_GB2312" w:eastAsia="仿宋_GB2312"/>
              </w:rPr>
              <w:t>策划与执行：供应商应根据采购人年度工作安排及实际需求，制定切实可行的活动策划方案，并负责方案的落地实施。方案需重点突出、特色鲜明、针对性强。</w:t>
            </w:r>
          </w:p>
          <w:p>
            <w:pPr>
              <w:pStyle w:val="null3"/>
            </w:pPr>
            <w:r>
              <w:rPr>
                <w:rFonts w:ascii="仿宋_GB2312" w:hAnsi="仿宋_GB2312" w:cs="仿宋_GB2312" w:eastAsia="仿宋_GB2312"/>
              </w:rPr>
              <w:t>宣传推广：供应商应根据活动目标选取适配的宣推渠道，实现活动信息的多渠道覆盖与互动传播，具体执行需贴合活动整体宣传节奏。</w:t>
            </w:r>
          </w:p>
          <w:p>
            <w:pPr>
              <w:pStyle w:val="null3"/>
            </w:pPr>
            <w:r>
              <w:rPr>
                <w:rFonts w:ascii="仿宋_GB2312" w:hAnsi="仿宋_GB2312" w:cs="仿宋_GB2312" w:eastAsia="仿宋_GB2312"/>
              </w:rPr>
              <w:t>影像服务：供应商需提供活动现场的影像记录服务，包括但不限于短视频拍摄、照片拍摄及后期剪辑制作。</w:t>
            </w:r>
          </w:p>
          <w:p>
            <w:pPr>
              <w:pStyle w:val="null3"/>
            </w:pPr>
            <w:r>
              <w:rPr>
                <w:rFonts w:ascii="仿宋_GB2312" w:hAnsi="仿宋_GB2312" w:cs="仿宋_GB2312" w:eastAsia="仿宋_GB2312"/>
              </w:rPr>
              <w:t>服务质量：供应商需对活动的全流程负责，包括但不限于活动流程的顺畅性、现场布置的美观性以及活动内容的合规性。</w:t>
            </w:r>
          </w:p>
          <w:p>
            <w:pPr>
              <w:pStyle w:val="null3"/>
            </w:pPr>
            <w:r>
              <w:rPr>
                <w:rFonts w:ascii="仿宋_GB2312" w:hAnsi="仿宋_GB2312" w:cs="仿宋_GB2312" w:eastAsia="仿宋_GB2312"/>
              </w:rPr>
              <w:t>三、商务要求</w:t>
            </w:r>
          </w:p>
          <w:p>
            <w:pPr>
              <w:pStyle w:val="null3"/>
            </w:pPr>
            <w:r>
              <w:rPr>
                <w:rFonts w:ascii="仿宋_GB2312" w:hAnsi="仿宋_GB2312" w:cs="仿宋_GB2312" w:eastAsia="仿宋_GB2312"/>
              </w:rPr>
              <w:t>服务期限：自合同签订之日至2026年12月15日前</w:t>
            </w:r>
          </w:p>
          <w:p>
            <w:pPr>
              <w:pStyle w:val="null3"/>
            </w:pPr>
            <w:r>
              <w:rPr>
                <w:rFonts w:ascii="仿宋_GB2312" w:hAnsi="仿宋_GB2312" w:cs="仿宋_GB2312" w:eastAsia="仿宋_GB2312"/>
              </w:rPr>
              <w:t>服务地点：采购人指定地点（西安市内）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自合同签订之日至2026年12月15日前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签订委托合同后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所有活动执行完毕，递交总结报告，通过甲方验收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 ;</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提供对项目的理解分析方案，包括但不限于①项目背景、内容意义的理解；②供应商须对项目实施过程中存在的难点、重点分析及解决方案；③针对本项目实施的合理化建议。 1.方案内容详细完整、科学合理、针对性强、可行性高，完全满足项目采购要求的，得10分；2.方案内容较为详细完整、科学合理，针对性较强、可行性较高，满足项目采购要求的，得7分；3.方案内容基本完整、合理，针对性、可行性一般，基本满足项目采购要求的，得4分；4.方案不够详细完整，合理性、针对性、可行性较差，部分满足项目采购要求的，得2分；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活动整合互动方案</w:t>
            </w:r>
          </w:p>
        </w:tc>
        <w:tc>
          <w:tcPr>
            <w:tcW w:type="dxa" w:w="2492"/>
          </w:tcPr>
          <w:p>
            <w:pPr>
              <w:pStyle w:val="null3"/>
            </w:pPr>
            <w:r>
              <w:rPr>
                <w:rFonts w:ascii="仿宋_GB2312" w:hAnsi="仿宋_GB2312" w:cs="仿宋_GB2312" w:eastAsia="仿宋_GB2312"/>
              </w:rPr>
              <w:t>提供线上线下活动整合互动方案。方案创意新颖、内容丰富、可行性强，线下活动具有互联网传播性，线上与线下活动主题性一致、线上线下活动互动紧密 1.方案内容详细完整、科学合理、针对性强、可行性高，完全满足项目采购要求的，得10分；2.方案内容较为详细完整、科学合理，针对性较强、可行性较高，满足项目采购要求的，得7分；3.方案内容基本完整、合理，针对性、可行性一般，基本满足项目采购要求的，得4分；4.方案不够详细完整，合理性、针对性、可行性较差，部分满足项目采购要求的，得2分；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方案包括：活动整体策划方案、活动现场布置方案、活动实施安排方案1.方案内容详细完整、科学合理、针对性强、可行性高，完全满足项目采购要求的，得10分；2.方案内容较为详细完整、科学合理，针对性较强、可行性较高，满足项目采购要求的，得7分；3.方案内容基本完整、合理，针对性、可行性一般，基本满足项目采购要求的，得4分；4.方案不够详细完整，合理性、针对性、可行性较差，部分满足项目采购要求的，得2分；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进度计划合理、可行性强、有利于项目实施 1.内容详细完整、科学合理、针对性强、可行性高，完全满足项目采购要求的，得10分；2.内容较为详细完整、科学合理，针对性较强、可行性较高，满足项目采购要求的，得7分；3.内容基本完整、合理，针对性、可行性一般，基本满足项目采购要求的，得4分；4.不够详细完整，合理性、针对性、可行性较差，部分满足项目采购要求的，得2分；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拟投入项目团队人员配备分工明确、配置合理，经验丰富，专业性强，满足采购要求得10分；人员配备分工较明确、配置较合理，基本满足采购要求得7分；分工不够明确、配置一般、经验一般的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采购需求，提供的各项内容质量保障措施详细合理、可行性强1.方案内容详细完整、科学合理、针对性强、可行性高，完全满足项目采购要求的，得10分；2.方案内容较为详细完整、科学合理，针对性较强、可行性较高，满足项目采购要求的，得7分；3.方案内容基本完整、合理，针对性、可行性一般，基本满足项目采购要求的，得4分；4.方案不够详细完整，合理性、针对性、可行性较差，部分满足项目采购要求的，得2分；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详细的服务承诺，根据服务承诺明确、合理可行强1.内容详细完整、科学合理、针对性强、可行性高，完全满足项目采购要求的，得10分；2.内容较为详细完整、科学合理，针对性较强、可行性较高，满足项目采购要求的，得7分；3.内容基本完整、合理，针对性、可行性一般，基本满足项目采购要求的，得4分；4.内容不够详细完整，合理性、针对性、可行性较差，部分满足项目采购要求的，得2分；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w:t>
            </w:r>
          </w:p>
        </w:tc>
        <w:tc>
          <w:tcPr>
            <w:tcW w:type="dxa" w:w="2492"/>
          </w:tcPr>
          <w:p>
            <w:pPr>
              <w:pStyle w:val="null3"/>
            </w:pPr>
            <w:r>
              <w:rPr>
                <w:rFonts w:ascii="仿宋_GB2312" w:hAnsi="仿宋_GB2312" w:cs="仿宋_GB2312" w:eastAsia="仿宋_GB2312"/>
              </w:rPr>
              <w:t>供应商针对本项目有详细的应急管理方案1.方案内容详细完整、科学合理、针对性强、可行性高，完全满足项目采购要求的，得10分；2.方案内容较为详细完整、科学合理，针对性较强、可行性较高，满足项目采购要求的，得7分；3.方案内容基本完整、合理，针对性、可行性一般，基本满足项目采购要求的，得4分；4.方案不够详细完整，合理性、针对性、可行性较差，部分满足项目采购要求的，得2分；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供应商提供2023年01月至今类似项目业绩，业绩证明材料以合同或成交通知书复印件加盖公章为准。每提供1份得2分，满分10分。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