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51D65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保障措施</w:t>
      </w:r>
    </w:p>
    <w:p w14:paraId="7DCEED49">
      <w:pPr>
        <w:rPr>
          <w:rFonts w:hint="eastAsia"/>
          <w:lang w:eastAsia="zh-CN"/>
        </w:rPr>
      </w:pPr>
    </w:p>
    <w:p w14:paraId="6D62013F">
      <w:pPr>
        <w:rPr>
          <w:rFonts w:hint="eastAsia"/>
          <w:lang w:eastAsia="zh-CN"/>
        </w:rPr>
      </w:pPr>
      <w:bookmarkStart w:id="0" w:name="_GoBack"/>
      <w:bookmarkEnd w:id="0"/>
    </w:p>
    <w:p w14:paraId="2B784EC5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根据采购文件第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5章评标办法 5.6.2评分标准自行编制。</w:t>
      </w:r>
    </w:p>
    <w:p w14:paraId="44C5A663">
      <w:pPr>
        <w:rPr>
          <w:rFonts w:hint="eastAsia"/>
          <w:lang w:eastAsia="zh-CN"/>
        </w:rPr>
      </w:pPr>
    </w:p>
    <w:p w14:paraId="0EDF2B60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2B4F154C"/>
    <w:rsid w:val="34F940DC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2026-08-10T01:47:50Z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