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CC00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t>采购需求</w:t>
      </w:r>
    </w:p>
    <w:p w14:paraId="072208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textAlignment w:val="auto"/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  <w:lang w:val="hr-HR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  <w:lang w:val="hr-HR"/>
        </w:rPr>
        <w:t>一、项目内容</w:t>
      </w:r>
    </w:p>
    <w:p w14:paraId="3FB5E7FF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（一）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系统调研与现状评估：全面梳理陕西省装备制造业各细分领域发展基础、产业规模、技术水平、产业链配套及区域布局，深入分析优势短板与关键瓶颈环节。</w:t>
      </w:r>
    </w:p>
    <w:p w14:paraId="4D4D0842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（二）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分析与趋势研判：收集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国内外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装备制造业发展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资料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，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聚焦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产业政策、创新能力、集群发展等方面，研判全球科技革命与产业变革趋势，分析机遇与挑战。</w:t>
      </w:r>
    </w:p>
    <w:p w14:paraId="06F2FA30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01" w:firstLineChars="209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（三）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目标体系与重点领域谋划：立足陕西资源禀赋与产业基础，遵循“创新驱动、链群发展、绿色智能、开放协作”的总体思路，科学设定“十五五”发展目标体系，明确重点发展方向、产业布局与优先序列。</w:t>
      </w:r>
    </w:p>
    <w:p w14:paraId="700A6363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01" w:firstLineChars="209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（四）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主要任务与实施路径设计：围绕重点产业链、骨干企业、重大项目等关键载体，研究提出具有针对性、可量化的具体任务与实施路径，强化规划的可操作性与落地性。</w:t>
      </w:r>
    </w:p>
    <w:p w14:paraId="372949A8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480" w:firstLineChars="200"/>
        <w:textAlignment w:val="auto"/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  <w:lang w:val="hr-HR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（五）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要素保障与政策创新：对全省装备制造业的产业链、创新链、金融链、人才链进行系统分析，建立产业项目清单，研究提出政策保障措施与体制机制创新建议。</w:t>
      </w:r>
    </w:p>
    <w:p w14:paraId="7DE5DF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textAlignment w:val="auto"/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  <w:lang w:val="hr-HR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  <w:lang w:val="hr-HR"/>
        </w:rPr>
        <w:t>二、项目要求</w:t>
      </w:r>
    </w:p>
    <w:p w14:paraId="7B7608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firstLine="482" w:firstLineChars="200"/>
        <w:textAlignment w:val="auto"/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</w:rPr>
        <w:t>（一）战略性与实操性统一</w:t>
      </w:r>
    </w:p>
    <w:p w14:paraId="19A975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规划编制须立足国家制造强国战略全局，紧密对接区域重大发展战略，体现宏观层面的前瞻布局与顶层设计。同时，要强化目标导向与问题导向，聚焦产业发展实际，围绕重点产业链、骨干企业、重大项目等关键载体，研究提出具有针对性、可量化、能考核的具体任务与实施路径，确保规划内容既符合长远发展方向，又具备扎实的落地基础。</w:t>
      </w:r>
    </w:p>
    <w:p w14:paraId="441BFF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firstLine="482" w:firstLineChars="200"/>
        <w:textAlignment w:val="auto"/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</w:rPr>
        <w:t>（二）全面性与重点性兼顾</w:t>
      </w:r>
    </w:p>
    <w:p w14:paraId="043EE9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系统覆盖全省装备制造业各细分领域、各类市场主体及不同区域空间，构建完整的产业分析框架与发展体系。在此基础上，要突出重点、集中资源，加强对优势支柱产业、关键短板环节以及前沿新兴领域的深入研究与专项谋划，明确主攻方向与优先序列，着力打造具有核心竞争力的产业集群与产业链条。</w:t>
      </w:r>
    </w:p>
    <w:p w14:paraId="1C8644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firstLine="482" w:firstLineChars="200"/>
        <w:textAlignment w:val="auto"/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</w:rPr>
        <w:t>（三）前瞻性与现实性结合</w:t>
      </w:r>
    </w:p>
    <w:p w14:paraId="25F880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密切关注全球科技革命与产业变革趋势，加强对未来技术路径、产业形态、竞争格局的前瞻性研判，为培育新动能、布局新赛道预留战略空间。同时，必须立足陕西省装备制造业现有基础、资源禀赋与发展阶段，科学评估现实条件与约束因素，着力解决当前面临的突出矛盾与瓶颈问题。</w:t>
      </w:r>
    </w:p>
    <w:p w14:paraId="2F642D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firstLine="482" w:firstLineChars="200"/>
        <w:textAlignment w:val="auto"/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</w:rPr>
        <w:t>（四）连续性与发展性并重</w:t>
      </w:r>
    </w:p>
    <w:p w14:paraId="06299D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总结“十四五”时期发展的成效与经验，注重政策与工作的连续性、稳定性。适应新发展阶段、新形势要求，勇于打破思维定势与路径依赖，在发展理念、体制机制、政策工具等方面积极探索创新，科学设定具有挑战性又经过努力可以实现的发展目标，推动产业发展迈上新台阶。</w:t>
      </w:r>
    </w:p>
    <w:p w14:paraId="0CE3E8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textAlignment w:val="auto"/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  <w:lang w:val="hr-HR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  <w:lang w:val="hr-HR"/>
        </w:rPr>
        <w:t>三、服务期限：</w:t>
      </w:r>
    </w:p>
    <w:p w14:paraId="508C73E0"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项目计划于双方合同签订之日起实施，2026年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12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月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30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日前完成。</w:t>
      </w:r>
    </w:p>
    <w:p w14:paraId="415347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textAlignment w:val="auto"/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  <w:lang w:val="hr-HR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  <w:lang w:val="hr-HR"/>
        </w:rPr>
        <w:t>四、项目预算：</w:t>
      </w:r>
    </w:p>
    <w:p w14:paraId="52B4298B"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人民币：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36.21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万元</w:t>
      </w:r>
    </w:p>
    <w:p w14:paraId="30E17BE2">
      <w:pPr>
        <w:pStyle w:val="5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textAlignment w:val="auto"/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  <w:lang w:val="en"/>
        </w:rPr>
      </w:pPr>
      <w:r>
        <w:rPr>
          <w:rFonts w:hint="eastAsia" w:ascii="仿宋" w:hAnsi="仿宋" w:eastAsia="仿宋" w:cs="仿宋"/>
          <w:b/>
          <w:bCs/>
          <w:color w:val="auto"/>
          <w:kern w:val="2"/>
          <w:sz w:val="24"/>
          <w:szCs w:val="24"/>
          <w:highlight w:val="none"/>
          <w:lang w:val="en" w:eastAsia="zh-CN" w:bidi="ar-SA"/>
        </w:rPr>
        <w:t>五、</w:t>
      </w: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  <w:lang w:val="en"/>
        </w:rPr>
        <w:t>采购方式</w:t>
      </w:r>
    </w:p>
    <w:p w14:paraId="79BE6A4B"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"/>
        </w:rPr>
        <w:t>竞争性磋商</w:t>
      </w:r>
    </w:p>
    <w:p w14:paraId="317DDA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textAlignment w:val="auto"/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  <w:lang w:val="hr-HR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  <w:lang w:val="hr-HR"/>
        </w:rPr>
        <w:t>六、付款方式</w:t>
      </w:r>
    </w:p>
    <w:p w14:paraId="51D4B990"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本合同金额分两次支付：</w:t>
      </w:r>
    </w:p>
    <w:p w14:paraId="25DE717C"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第一次为合同签订后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十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个工作日内，甲方拨付乙方合同总金额的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"/>
        </w:rPr>
        <w:t>6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0%；</w:t>
      </w:r>
    </w:p>
    <w:p w14:paraId="018AEFC3"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第二次为课题验收合格后三十个工作日内，甲方拨付乙方合同总金额的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"/>
        </w:rPr>
        <w:t>4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 xml:space="preserve">0%。 </w:t>
      </w:r>
    </w:p>
    <w:p w14:paraId="23D8F3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textAlignment w:val="auto"/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  <w:lang w:val="hr-HR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  <w:lang w:val="hr-HR"/>
        </w:rPr>
        <w:t>七、项目验收要求</w:t>
      </w:r>
    </w:p>
    <w:p w14:paraId="021A7D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</w:pPr>
      <w:bookmarkStart w:id="0" w:name="_GoBack"/>
      <w:bookmarkEnd w:id="0"/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形成《陕西省“十五五”装备制造业发展规划》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文本。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经甲方会同相关专家审议通过后，完成项目验收。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65D6994"/>
    <w:rsid w:val="58692CBA"/>
    <w:rsid w:val="6A38073E"/>
    <w:rsid w:val="72846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paragraph" w:customStyle="1" w:styleId="5">
    <w:name w:val="列出段落1"/>
    <w:basedOn w:val="1"/>
    <w:qFormat/>
    <w:uiPriority w:val="34"/>
    <w:pPr>
      <w:ind w:firstLine="420" w:firstLineChars="200"/>
    </w:pPr>
    <w:rPr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2026-07-21T02:49:03Z</dcterms:created>
  <dc:creator>asus</dc:creator>
  <cp:lastModifiedBy>123</cp:lastModifiedBy>
  <dcterms:modified xsi:type="dcterms:W3CDTF">2026-07-21T02:51:41Z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eyJoZGlkIjoiN2NhN2Y2MGE5MjIwMDhkM2Q0ZjI1MGYxOTkyNDVjMmYiLCJ1c2VySWQiOiIyNTY5NzM0MDQifQ==</vt:lpwstr>
  </property>
  <property fmtid="{D5CDD505-2E9C-101B-9397-08002B2CF9AE}" pid="4" name="ICV">
    <vt:lpwstr>E20684DB8BFF4F3E96A114D19D111509_12</vt:lpwstr>
  </property>
</Properties>
</file>