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版本号：BCC2026-021.1B120260813001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交通运输综合执法支队基层站所标准化建设项目(二次)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BCC2026-021.1B1</w:t>
      </w:r>
      <w:r>
        <w:br/>
      </w:r>
      <w:r>
        <w:br/>
      </w:r>
      <w:r>
        <w:br/>
      </w:r>
    </w:p>
    <w:p>
      <w:pPr>
        <w:pStyle w:val="null3"/>
        <w:jc w:val="center"/>
        <w:outlineLvl w:val="2"/>
      </w:pPr>
      <w:r>
        <w:rPr>
          <w:rFonts w:ascii="仿宋_GB2312" w:hAnsi="仿宋_GB2312" w:cs="仿宋_GB2312" w:eastAsia="仿宋_GB2312"/>
          <w:sz w:val="28"/>
          <w:b/>
        </w:rPr>
        <w:t>宝鸡市交通运输综合执法支队</w:t>
      </w:r>
    </w:p>
    <w:p>
      <w:pPr>
        <w:pStyle w:val="null3"/>
        <w:jc w:val="center"/>
        <w:outlineLvl w:val="2"/>
      </w:pPr>
      <w:r>
        <w:rPr>
          <w:rFonts w:ascii="仿宋_GB2312" w:hAnsi="仿宋_GB2312" w:cs="仿宋_GB2312" w:eastAsia="仿宋_GB2312"/>
          <w:sz w:val="28"/>
          <w:b/>
        </w:rPr>
        <w:t>宝鸡市政府采购中心</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2026年08月13日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宝鸡市政府采购中心</w:t>
      </w:r>
      <w:r>
        <w:rPr>
          <w:rFonts w:ascii="仿宋_GB2312" w:hAnsi="仿宋_GB2312" w:cs="仿宋_GB2312" w:eastAsia="仿宋_GB2312"/>
        </w:rPr>
        <w:t>（以下简称“代理机构”）受</w:t>
      </w:r>
      <w:r>
        <w:rPr>
          <w:rFonts w:ascii="仿宋_GB2312" w:hAnsi="仿宋_GB2312" w:cs="仿宋_GB2312" w:eastAsia="仿宋_GB2312"/>
        </w:rPr>
        <w:t>宝鸡市交通运输综合执法支队</w:t>
      </w:r>
      <w:r>
        <w:rPr>
          <w:rFonts w:ascii="仿宋_GB2312" w:hAnsi="仿宋_GB2312" w:cs="仿宋_GB2312" w:eastAsia="仿宋_GB2312"/>
        </w:rPr>
        <w:t>委托，拟对</w:t>
      </w:r>
      <w:r>
        <w:rPr>
          <w:rFonts w:ascii="仿宋_GB2312" w:hAnsi="仿宋_GB2312" w:cs="仿宋_GB2312" w:eastAsia="仿宋_GB2312"/>
        </w:rPr>
        <w:t>交通运输综合执法支队基层站所标准化建设项目(二次)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BCC2026-021.1B1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交通运输综合执法支队基层站所标准化建设项目(二次)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（一）改造工程 本工程为宝鸡市交通运输综合执法支队站所标准化建设项目；其中改造建筑长X宽=24.68m×8.24m;基地面积201.23平方米，建筑面积402.46平方米。主体为地上2层砖混结构；建筑层层高一层3.3米、二层3.0米。建筑檐口高度7.2米、屋脊高度8.95米。设计使用年限为50年，建筑抗震设防类别为丙类，抗震设防烈度为8度。建筑物耐火等级为二级。建筑功能一层为卫生间、询问室、装备室、办公室、二层为办公室、装备室、会议室及宿舍。 1、内墙面拆除新做乳胶漆内墙面。 2、原有地砖地面拆除并新做地砖地面。 3、走廊抹灰顶棚拆除新做乳胶漆顶棚。 4、铲除原有外墙面并新做保温及外墙乳胶漆外墙面。 5、原有室外走廊封闭。 6、原有室外楼梯顶部及侧墙封闭。 7、原有瓦屋面拆除并新做瓦架屋面。 8、拆除原有平屋面面层并新做防水(SBS防水卷材两道)。 9、整栋建筑弱电改造重做。 10、整栋建筑上下水改造重做。 （二）室外 1、新建门头1座。 2、新建雨水口5座。 3、新建化粪池1个。 （三）拆除部分 原有彩板房、彩钢棚、煤棚、健身器材拆除、原有乔木砍伐。 （四）围墙改造 院子南侧及北侧危墙墙体拆除并新建两侧围墙。</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采购包1（宝鸡市交通运输综合执法支队基层站所标准化建设项目）：属于专门面向中小企业采购。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1、一、企业资格要求 供应商具有装修装饰工程专业承包二级及以上资质,并具有有效的安全生产许可证；并在人员、设备、资金等方面具备相应的施工能力；在“陕西省建筑市场监管与诚信信息发布平台”可查；无行贿犯罪档案查询（以中国裁判文书网为准），不得为“信用中国”网站（www.creditchina.gov.cn）中被列入失信被执行人名单、重大税收违法案件当事人名单的供应商，不得为“中国政府采购网”（www.ccgp.gov.cn）政府采购严重违法失信行为记录名单中被财政部门禁止参加政府采购活动的供应商（提供查询结果网页截图并加盖供应商公章，查询日期需在公告发出日之后）。 二、项目经理资格 拟派项目经理须具备建筑工程专业二级及以上注册建造师资格，须具备有效的安全生产考核合格证书，在本单位缴纳养老保险且无在建项目（提供无在建承诺）；在“陕西省建筑市场监管与诚信信息发布平台”可查；无行贿犯罪档案查询（以中国裁判文书网为准），不得为“信用中国”网站（www.creditchina.gov.cn）中被列入失信被执行人名单、重大税收违法案件当事人名单。：一、企业资格要求 供应商具有装修装饰工程专业承包二级及以上资质,并具有有效的安全生产许可证；并在人员、设备、资金等方面具备相应的施工能力；在“陕西省建筑市场监管与诚信信息发布平台”可查；无行贿犯罪档案查询（以中国裁判文书网为准），不得为“信用中国”网站（www.creditchina.gov.cn）中被列入失信被执行人名单、重大税收违法案件当事人名单的供应商，不得为“中国政府采购网”（www.ccgp.gov.cn）政府采购严重违法失信行为记录名单中被财政部门禁止参加政府采购活动的供应商（提供查询结果网页截图并加盖供应商公章，查询日期需在公告发出日之后）。 二、项目经理资格 拟派项目经理须具备建筑工程专业二级及以上注册建造师资格，须具备有效的安全生产考核合格证书，在本单位缴纳养老保险且无在建项目（提供无在建承诺）；在“陕西省建筑市场监管与诚信信息发布平台”可查；无行贿犯罪档案查询（以中国裁判文书网为准），不得为“信用中国”网站（www.creditchina.gov.cn）中被列入失信被执行人名单、重大税收违法案件当事人名单。</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宝鸡市交通运输综合执法支队</w:t>
      </w:r>
    </w:p>
    <w:p>
      <w:pPr>
        <w:pStyle w:val="null3"/>
      </w:pPr>
      <w:r>
        <w:rPr>
          <w:rFonts w:ascii="仿宋_GB2312" w:hAnsi="仿宋_GB2312" w:cs="仿宋_GB2312" w:eastAsia="仿宋_GB2312"/>
        </w:rPr>
        <w:t xml:space="preserve"> 地址： </w:t>
      </w:r>
      <w:r>
        <w:rPr>
          <w:rFonts w:ascii="仿宋_GB2312" w:hAnsi="仿宋_GB2312" w:cs="仿宋_GB2312" w:eastAsia="仿宋_GB2312"/>
        </w:rPr>
        <w:t>宝鸡市渭滨区火炬路东段13号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721000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宝鸡市交通运输综合执法支队经办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13709179177</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宝鸡市政府采购中心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陕西省宝鸡市金台区宝鸡市行政大道8号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721000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王志云</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18992700166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宝鸡市财政局政府采购管理科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王 博</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0917-3262072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采购包1：610,000.00元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本项目不收取代理服务费</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宝鸡市交通运输综合执法支队</w:t>
      </w:r>
      <w:r>
        <w:rPr>
          <w:rFonts w:ascii="仿宋_GB2312" w:hAnsi="仿宋_GB2312" w:cs="仿宋_GB2312" w:eastAsia="仿宋_GB2312"/>
        </w:rPr>
        <w:t>和</w:t>
      </w:r>
      <w:r>
        <w:rPr>
          <w:rFonts w:ascii="仿宋_GB2312" w:hAnsi="仿宋_GB2312" w:cs="仿宋_GB2312" w:eastAsia="仿宋_GB2312"/>
        </w:rPr>
        <w:t>宝鸡市政府采购中心</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宝鸡市交通运输综合执法支队</w:t>
      </w:r>
      <w:r>
        <w:rPr>
          <w:rFonts w:ascii="仿宋_GB2312" w:hAnsi="仿宋_GB2312" w:cs="仿宋_GB2312" w:eastAsia="仿宋_GB2312"/>
        </w:rPr>
        <w:t>负责解释。除上述磋商文件内容，其他内容由</w:t>
      </w:r>
      <w:r>
        <w:rPr>
          <w:rFonts w:ascii="仿宋_GB2312" w:hAnsi="仿宋_GB2312" w:cs="仿宋_GB2312" w:eastAsia="仿宋_GB2312"/>
        </w:rPr>
        <w:t>宝鸡市政府采购中心</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宝鸡市交通运输综合执法支队</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宝鸡市政府采购中心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符合国家及行业标准</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宝鸡市政府采购中心</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宝鸡市政府采购中心</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宝鸡市政府采购中心</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联系人：王志云</w:t>
      </w:r>
    </w:p>
    <w:p>
      <w:pPr>
        <w:pStyle w:val="null3"/>
      </w:pPr>
      <w:r>
        <w:rPr>
          <w:rFonts w:ascii="仿宋_GB2312" w:hAnsi="仿宋_GB2312" w:cs="仿宋_GB2312" w:eastAsia="仿宋_GB2312"/>
        </w:rPr>
        <w:t>联系电话：18992700166</w:t>
      </w:r>
    </w:p>
    <w:p>
      <w:pPr>
        <w:pStyle w:val="null3"/>
      </w:pPr>
      <w:r>
        <w:rPr>
          <w:rFonts w:ascii="仿宋_GB2312" w:hAnsi="仿宋_GB2312" w:cs="仿宋_GB2312" w:eastAsia="仿宋_GB2312"/>
        </w:rPr>
        <w:t>地址：宝鸡市金台区行政大道8号海棠风尚中心</w:t>
      </w:r>
    </w:p>
    <w:p>
      <w:pPr>
        <w:pStyle w:val="null3"/>
      </w:pPr>
      <w:r>
        <w:rPr>
          <w:rFonts w:ascii="仿宋_GB2312" w:hAnsi="仿宋_GB2312" w:cs="仿宋_GB2312" w:eastAsia="仿宋_GB2312"/>
        </w:rPr>
        <w:t>邮编：721000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610,000.00</w:t>
      </w:r>
    </w:p>
    <w:p>
      <w:pPr>
        <w:pStyle w:val="null3"/>
      </w:pPr>
      <w:r>
        <w:rPr>
          <w:rFonts w:ascii="仿宋_GB2312" w:hAnsi="仿宋_GB2312" w:cs="仿宋_GB2312" w:eastAsia="仿宋_GB2312"/>
        </w:rPr>
        <w:t>采购包最高限价（元）: 609,401.38</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基层站所标准化 建设</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610,000.00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标的名称：基层站所标准化 建设</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详见附件工程量清单</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《建筑工程施工质量验收统一标准》（GB 50300-2013） 《砌体结构工程施工质量验收规范》（GB 50203-2023） 《砌体结构工程施工规范》（GB 50924-2014） 《混凝土结构工程施工质量验收规范》（GB 50204-2015） 《建筑给水排水及采暖工程施工质量验收规范》（GB 50242-2002） 其他现行国家、行业及地方相关规范、标准。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w:t>
            </w:r>
          </w:p>
        </w:tc>
        <w:tc>
          <w:tcPr>
            <w:tcW w:type="dxa" w:w="3322"/>
          </w:tcPr>
          <w:p>
            <w:pPr>
              <w:pStyle w:val="null3"/>
            </w:pPr>
            <w:r>
              <w:rPr>
                <w:rFonts w:ascii="仿宋_GB2312" w:hAnsi="仿宋_GB2312" w:cs="仿宋_GB2312" w:eastAsia="仿宋_GB2312"/>
              </w:rPr>
              <w:t>供应商须提供2024年度或2025年度经审计的财务报告，财务审计报告应按《陕西省财政厅关于启用会计师事务所审计报告“二维码”赋码查验功能的通知》（陕财办会函［2022］55号）文件的要求具有“二维码”赋码查验功能)（成立时间至提交响应文件截止时间不足一年的可提供成立后任意时段的资产负债表）；或其开标前三个月内基本账户开户银行出具的资信证明。</w:t>
            </w:r>
          </w:p>
        </w:tc>
        <w:tc>
          <w:tcPr>
            <w:tcW w:type="dxa" w:w="1661"/>
          </w:tcPr>
          <w:p>
            <w:pPr>
              <w:pStyle w:val="null3"/>
            </w:pPr>
            <w:r>
              <w:rPr>
                <w:rFonts w:ascii="仿宋_GB2312" w:hAnsi="仿宋_GB2312" w:cs="仿宋_GB2312" w:eastAsia="仿宋_GB2312"/>
              </w:rPr>
              <w:t>财务状况.docx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法人身份证明及授权委托书</w:t>
            </w:r>
          </w:p>
        </w:tc>
        <w:tc>
          <w:tcPr>
            <w:tcW w:type="dxa" w:w="3322"/>
          </w:tcPr>
          <w:p>
            <w:pPr>
              <w:pStyle w:val="null3"/>
            </w:pPr>
            <w:r>
              <w:rPr>
                <w:rFonts w:ascii="仿宋_GB2312" w:hAnsi="仿宋_GB2312" w:cs="仿宋_GB2312" w:eastAsia="仿宋_GB2312"/>
              </w:rPr>
              <w:t>按给定格式填写</w:t>
            </w:r>
          </w:p>
        </w:tc>
        <w:tc>
          <w:tcPr>
            <w:tcW w:type="dxa" w:w="1661"/>
          </w:tcPr>
          <w:p>
            <w:pPr>
              <w:pStyle w:val="null3"/>
            </w:pPr>
            <w:r>
              <w:rPr>
                <w:rFonts w:ascii="仿宋_GB2312" w:hAnsi="仿宋_GB2312" w:cs="仿宋_GB2312" w:eastAsia="仿宋_GB2312"/>
              </w:rPr>
              <w:t>法人身份证及授权委托书.docx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供应商须提供2025年12月1日至今任意一个月已缴纳的社保缴费凭据或社保机构开具的社会保险参保缴费情况证明，依法不需要缴纳社会保障资金的单位应提供相关证明材料；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社会保障资金缴纳证明.docx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供应商须提供已缴纳的2025年12月1日至今任意一个月的中华人民共和国税收完税证明（增值税和企业所得税），依法免税的供应商应提供加盖税务部门公章的纳税申报表或税务部门盖章的免税证明</w:t>
            </w:r>
          </w:p>
        </w:tc>
        <w:tc>
          <w:tcPr>
            <w:tcW w:type="dxa" w:w="1661"/>
          </w:tcPr>
          <w:p>
            <w:pPr>
              <w:pStyle w:val="null3"/>
            </w:pPr>
            <w:r>
              <w:rPr>
                <w:rFonts w:ascii="仿宋_GB2312" w:hAnsi="仿宋_GB2312" w:cs="仿宋_GB2312" w:eastAsia="仿宋_GB2312"/>
              </w:rPr>
              <w:t>税收缴纳证明.docx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提供具有履行合同所必须的设备和专业技术能力的承诺函</w:t>
            </w:r>
          </w:p>
        </w:tc>
        <w:tc>
          <w:tcPr>
            <w:tcW w:type="dxa" w:w="3322"/>
          </w:tcPr>
          <w:p>
            <w:pPr>
              <w:pStyle w:val="null3"/>
            </w:pPr>
            <w:r>
              <w:rPr>
                <w:rFonts w:ascii="仿宋_GB2312" w:hAnsi="仿宋_GB2312" w:cs="仿宋_GB2312" w:eastAsia="仿宋_GB2312"/>
              </w:rPr>
              <w:t>格式自拟</w:t>
            </w:r>
          </w:p>
        </w:tc>
        <w:tc>
          <w:tcPr>
            <w:tcW w:type="dxa" w:w="1661"/>
          </w:tcPr>
          <w:p>
            <w:pPr>
              <w:pStyle w:val="null3"/>
            </w:pPr>
            <w:r>
              <w:rPr>
                <w:rFonts w:ascii="仿宋_GB2312" w:hAnsi="仿宋_GB2312" w:cs="仿宋_GB2312" w:eastAsia="仿宋_GB2312"/>
              </w:rPr>
              <w:t>提供具有履行合同所必须的设备和专业技术能力的承诺函.docx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上传具有独立承担民事责任能力的法人或其他组织，提供带有统一社会信用代码的营业执照</w:t>
            </w:r>
          </w:p>
        </w:tc>
        <w:tc>
          <w:tcPr>
            <w:tcW w:type="dxa" w:w="1661"/>
          </w:tcPr>
          <w:p>
            <w:pPr>
              <w:pStyle w:val="null3"/>
            </w:pPr>
            <w:r>
              <w:rPr>
                <w:rFonts w:ascii="仿宋_GB2312" w:hAnsi="仿宋_GB2312" w:cs="仿宋_GB2312" w:eastAsia="仿宋_GB2312"/>
              </w:rPr>
              <w:t>营业执照.docx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无重大违法记录的书面声明</w:t>
            </w:r>
          </w:p>
        </w:tc>
        <w:tc>
          <w:tcPr>
            <w:tcW w:type="dxa" w:w="3322"/>
          </w:tcPr>
          <w:p>
            <w:pPr>
              <w:pStyle w:val="null3"/>
            </w:pPr>
            <w:r>
              <w:rPr>
                <w:rFonts w:ascii="仿宋_GB2312" w:hAnsi="仿宋_GB2312" w:cs="仿宋_GB2312" w:eastAsia="仿宋_GB2312"/>
              </w:rPr>
              <w:t>按格式填写</w:t>
            </w:r>
          </w:p>
        </w:tc>
        <w:tc>
          <w:tcPr>
            <w:tcW w:type="dxa" w:w="1661"/>
          </w:tcPr>
          <w:p>
            <w:pPr>
              <w:pStyle w:val="null3"/>
            </w:pPr>
            <w:r>
              <w:rPr>
                <w:rFonts w:ascii="仿宋_GB2312" w:hAnsi="仿宋_GB2312" w:cs="仿宋_GB2312" w:eastAsia="仿宋_GB2312"/>
              </w:rPr>
              <w:t>重大违法记录的书面声明.docx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一、企业资格要求 供应商具有装修装饰工程专业承包二级及以上资质,并具有有效的安全生产许可证；并在人员、设备、资金等方面具备相应的施工能力；在“陕西省建筑市场监管与诚信信息发布平台”可查；无行贿犯罪档案查询（以中国裁判文书网为准），不得为“信用中国”网站（www.creditchina.gov.cn）中被列入失信被执行人名单、重大税收违法案件当事人名单的供应商，不得为“中国政府采购网”（www.ccgp.gov.cn）政府采购严重违法失信行为记录名单中被财政部门禁止参加政府采购活动的供应商（提供查询结果网页截图并加盖供应商公章，查询日期需在公告发出日之后）。 二、项目经理资格 拟派项目经理须具备建筑工程专业二级及以上注册建造师资格，须具备有效的安全生产考核合格证书，在本单位缴纳养老保险且无在建项目（提供无在建承诺）；在“陕西省建筑市场监管与诚信信息发布平台”可查；无行贿犯罪档案查询（以中国裁判文书网为准），不得为“信用中国”网站（www.creditchina.gov.cn）中被列入失信被执行人名单、重大税收违法案件当事人名单。</w:t>
            </w:r>
          </w:p>
        </w:tc>
        <w:tc>
          <w:tcPr>
            <w:tcW w:type="dxa" w:w="3322"/>
          </w:tcPr>
          <w:p>
            <w:pPr>
              <w:pStyle w:val="null3"/>
            </w:pPr>
            <w:r>
              <w:rPr>
                <w:rFonts w:ascii="仿宋_GB2312" w:hAnsi="仿宋_GB2312" w:cs="仿宋_GB2312" w:eastAsia="仿宋_GB2312"/>
              </w:rPr>
              <w:t>一、企业资格要求 供应商具有装修装饰工程专业承包二级及以上资质,并具有有效的安全生产许可证；并在人员、设备、资金等方面具备相应的施工能力；在“陕西省建筑市场监管与诚信信息发布平台”可查；无行贿犯罪档案查询（以中国裁判文书网为准），不得为“信用中国”网站（www.creditchina.gov.cn）中被列入失信被执行人名单、重大税收违法案件当事人名单的供应商，不得为“中国政府采购网”（www.ccgp.gov.cn）政府采购严重违法失信行为记录名单中被财政部门禁止参加政府采购活动的供应商（提供查询结果网页截图并加盖供应商公章，查询日期需在公告发出日之后）。 二、项目经理资格 拟派项目经理须具备建筑工程专业二级及以上注册建造师资格，须具备有效的安全生产考核合格证书，在本单位缴纳养老保险且无在建项目（提供无在建承诺）；在“陕西省建筑市场监管与诚信信息发布平台”可查；无行贿犯罪档案查询（以中国裁判文书网为准），不得为“信用中国”网站（www.creditchina.gov.cn）中被列入失信被执行人名单、重大税收违法案件当事人名单。</w:t>
            </w:r>
          </w:p>
        </w:tc>
        <w:tc>
          <w:tcPr>
            <w:tcW w:type="dxa" w:w="1661"/>
          </w:tcPr>
          <w:p>
            <w:pPr>
              <w:pStyle w:val="null3"/>
            </w:pPr>
            <w:r>
              <w:rPr>
                <w:rFonts w:ascii="仿宋_GB2312" w:hAnsi="仿宋_GB2312" w:cs="仿宋_GB2312" w:eastAsia="仿宋_GB2312"/>
              </w:rPr>
              <w:t>特定资格要求.docx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响应文件封面</w:t>
            </w:r>
          </w:p>
        </w:tc>
        <w:tc>
          <w:tcPr>
            <w:tcW w:type="dxa" w:w="3322"/>
          </w:tcPr>
          <w:p>
            <w:pPr>
              <w:pStyle w:val="null3"/>
            </w:pPr>
            <w:r>
              <w:rPr>
                <w:rFonts w:ascii="仿宋_GB2312" w:hAnsi="仿宋_GB2312" w:cs="仿宋_GB2312" w:eastAsia="仿宋_GB2312"/>
              </w:rPr>
              <w:t>按格式填写，按要求签章</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已标价的工程量清单</w:t>
            </w:r>
          </w:p>
        </w:tc>
        <w:tc>
          <w:tcPr>
            <w:tcW w:type="dxa" w:w="3322"/>
          </w:tcPr>
          <w:p>
            <w:pPr>
              <w:pStyle w:val="null3"/>
            </w:pPr>
            <w:r>
              <w:rPr>
                <w:rFonts w:ascii="仿宋_GB2312" w:hAnsi="仿宋_GB2312" w:cs="仿宋_GB2312" w:eastAsia="仿宋_GB2312"/>
              </w:rPr>
              <w:t>按格式填写，按要求签章</w:t>
            </w:r>
          </w:p>
        </w:tc>
        <w:tc>
          <w:tcPr>
            <w:tcW w:type="dxa" w:w="1661"/>
          </w:tcPr>
          <w:p>
            <w:pPr>
              <w:pStyle w:val="null3"/>
            </w:pPr>
            <w:r>
              <w:rPr>
                <w:rFonts w:ascii="仿宋_GB2312" w:hAnsi="仿宋_GB2312" w:cs="仿宋_GB2312" w:eastAsia="仿宋_GB2312"/>
              </w:rPr>
              <w:t>已标价工程量清单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技术服务合同条款及其他商务要求应答表</w:t>
            </w:r>
          </w:p>
        </w:tc>
        <w:tc>
          <w:tcPr>
            <w:tcW w:type="dxa" w:w="3322"/>
          </w:tcPr>
          <w:p>
            <w:pPr>
              <w:pStyle w:val="null3"/>
            </w:pPr>
            <w:r>
              <w:rPr>
                <w:rFonts w:ascii="仿宋_GB2312" w:hAnsi="仿宋_GB2312" w:cs="仿宋_GB2312" w:eastAsia="仿宋_GB2312"/>
              </w:rPr>
              <w:t>按格式填写，按要求签章</w:t>
            </w:r>
          </w:p>
        </w:tc>
        <w:tc>
          <w:tcPr>
            <w:tcW w:type="dxa" w:w="1661"/>
          </w:tcPr>
          <w:p>
            <w:pPr>
              <w:pStyle w:val="null3"/>
            </w:pPr>
            <w:r>
              <w:rPr>
                <w:rFonts w:ascii="仿宋_GB2312" w:hAnsi="仿宋_GB2312" w:cs="仿宋_GB2312" w:eastAsia="仿宋_GB2312"/>
              </w:rPr>
              <w:t>响应文件封面 技术服务合同条款及其他商务要求应答表</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技术/服务部分</w:t>
            </w:r>
          </w:p>
        </w:tc>
        <w:tc>
          <w:tcPr>
            <w:tcW w:type="dxa" w:w="2492"/>
          </w:tcPr>
          <w:p>
            <w:pPr>
              <w:pStyle w:val="null3"/>
            </w:pPr>
            <w:r>
              <w:rPr>
                <w:rFonts w:ascii="仿宋_GB2312" w:hAnsi="仿宋_GB2312" w:cs="仿宋_GB2312" w:eastAsia="仿宋_GB2312"/>
              </w:rPr>
              <w:t>一、评审内容 供应商针对本项目编制完善的施工组织方案，内容包含：①施工部署；②施工总进度计划；③主要施工方案；④安全文明施工措施；⑤环境保护措施；⑥质量保证措施；⑦风险管理与应急预案；⑧资源配置计划；⑨劳动力保障措施。 二、评审标准 1.完整性：方案必须全面，对评审内容中的各项要求有详细描述； 2.可实施性：切合本项目实际情况，提出步骤清晰、合理的方案； 3.针对性：方案能够紧扣项目实际情况，内容科学合理。 三、赋分标准 ①施工部署：每完全满足一项评审标准得1.5分，满分4.5分； ②施工总进度计划：每完全满足一项评审标准得1.5分，满分4.5分； ③主要施工方案：每完全满足一项评审标准得2.5分，满分7.5分； ④安全文明施工措施：每完全满足一项评审标准得1.5分，满分4.5分； ⑤环境保护措施：每完全满足一项评审标准得1.5分，满分4.5分； ⑥质量保证措施：每完全满足一项评审标准得2分，满分6分； ⑦风险管理与应急预案：每完全满足一项评审标准得1.5分，满分4.5分； ⑧资源配置计划：每完全满足一项评审标准得1.5分，满分4.5分。 ⑨劳动力保障措施：每完全满足一项评审标准得1.5分，满分4.5分。</w:t>
            </w:r>
          </w:p>
        </w:tc>
        <w:tc>
          <w:tcPr>
            <w:tcW w:type="dxa" w:w="831"/>
          </w:tcPr>
          <w:p>
            <w:pPr>
              <w:pStyle w:val="null3"/>
              <w:jc w:val="right"/>
            </w:pPr>
            <w:r>
              <w:rPr>
                <w:rFonts w:ascii="仿宋_GB2312" w:hAnsi="仿宋_GB2312" w:cs="仿宋_GB2312" w:eastAsia="仿宋_GB2312"/>
              </w:rPr>
              <w:t>45.0000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主材性能</w:t>
            </w:r>
          </w:p>
        </w:tc>
        <w:tc>
          <w:tcPr>
            <w:tcW w:type="dxa" w:w="2492"/>
          </w:tcPr>
          <w:p>
            <w:pPr>
              <w:pStyle w:val="null3"/>
            </w:pPr>
            <w:r>
              <w:rPr>
                <w:rFonts w:ascii="仿宋_GB2312" w:hAnsi="仿宋_GB2312" w:cs="仿宋_GB2312" w:eastAsia="仿宋_GB2312"/>
              </w:rPr>
              <w:t>一、评审内容 对主材清单内容进行评审（包括但不限于材料名称、品牌、规格、材质等）。 二、评审标准 1.完整性：清单内容全面，切合本项目实际情况； 2.针对性：主材质量、工艺优良，安全可靠性高，完全满足项目需求。 三、赋分标准 每完全满足一项评审标准得1分，满分2分。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项目部人员团队</w:t>
            </w:r>
          </w:p>
        </w:tc>
        <w:tc>
          <w:tcPr>
            <w:tcW w:type="dxa" w:w="2492"/>
          </w:tcPr>
          <w:p>
            <w:pPr>
              <w:pStyle w:val="null3"/>
            </w:pPr>
            <w:r>
              <w:rPr>
                <w:rFonts w:ascii="仿宋_GB2312" w:hAnsi="仿宋_GB2312" w:cs="仿宋_GB2312" w:eastAsia="仿宋_GB2312"/>
              </w:rPr>
              <w:t>一、评审内容 对项目部人员组成及架构进行评审。 二、评审标准 1.完整性：组织机构的运行配备完善、各岗位人员分工明确合理； 2.针对性：人员数量充足，人员资格/年龄等符合采购需求； 3.专业性：人员相关岗位经验丰富，切合本项目实际情况。 三、赋分标准 每完全满足一项评审标准得1分，满分3分。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验收与售后</w:t>
            </w:r>
          </w:p>
        </w:tc>
        <w:tc>
          <w:tcPr>
            <w:tcW w:type="dxa" w:w="2492"/>
          </w:tcPr>
          <w:p>
            <w:pPr>
              <w:pStyle w:val="null3"/>
            </w:pPr>
            <w:r>
              <w:rPr>
                <w:rFonts w:ascii="仿宋_GB2312" w:hAnsi="仿宋_GB2312" w:cs="仿宋_GB2312" w:eastAsia="仿宋_GB2312"/>
              </w:rPr>
              <w:t>一、评审内容 结合本项目的实际，供应商应依据国家相关规定提出工程验收保修方案，内容包含：①验收方案；②维修措施；③保修责任及保修承诺。 二、评审标准 1.完整性：内容必须全面，对评审内容中的各项要求有详细描述； 2.可实施性：切合项目具体情况，提出责任明确、要求具体的方案； 3.针对性：内容能够紧扣项目实际情况，内容科学合理。 三、赋分标准 ①验收方案：每完全满足一项评审标准得1分，满分3分； ②维修措施：每完全满足一项评审标准得1分，满分3分； ③保修责任及保修承诺：每完全满足一项评审标准得1分，满分3分。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节能产品、环保标志产品优先采购</w:t>
            </w:r>
          </w:p>
        </w:tc>
        <w:tc>
          <w:tcPr>
            <w:tcW w:type="dxa" w:w="2492"/>
          </w:tcPr>
          <w:p>
            <w:pPr>
              <w:pStyle w:val="null3"/>
            </w:pPr>
            <w:r>
              <w:rPr>
                <w:rFonts w:ascii="仿宋_GB2312" w:hAnsi="仿宋_GB2312" w:cs="仿宋_GB2312" w:eastAsia="仿宋_GB2312"/>
              </w:rPr>
              <w:t>采用的材料每有一项属于节能产品政府采购品目清单，或环境标志产品政府采购品目清单的得0.5分。本项最高得2分。 注：1、同时具备节能产品认证和环境标志产品认证的产品可分别得分； 2、提供国家确认的认证机构出具的、处于有效期之内的节能产品、或环境标志产品认证证书作为计分依据。</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2024年1月1日（以合同签订时间为准）以来类似施工项目（乳胶漆墙面、墙面保温、屋面防水、弱电改造、上下水改造项目至少满足三项）的业绩证明文件（合同和相应的验收文件，两者同时出具方为有效），每出具一份有效业绩证明文件得3分，满分9分。 注：合同须提供完整合同。</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满足磋商文件要求且最后报价最低的供应商的价格为磋商基准价得30分，其他各供应商的最后报价得分按下列公式计算：（磋商基准价/最后磋商报价）×30×100%。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详见附件：特定资格要求.docx</w:t>
      </w:r>
    </w:p>
    <w:p>
      <w:pPr>
        <w:pStyle w:val="null3"/>
        <w:ind w:firstLine="960"/>
      </w:pPr>
      <w:r>
        <w:rPr>
          <w:rFonts w:ascii="仿宋_GB2312" w:hAnsi="仿宋_GB2312" w:cs="仿宋_GB2312" w:eastAsia="仿宋_GB2312"/>
        </w:rPr>
        <w:t>详见附件：财务状况.docx</w:t>
      </w:r>
    </w:p>
    <w:p>
      <w:pPr>
        <w:pStyle w:val="null3"/>
        <w:ind w:firstLine="960"/>
      </w:pPr>
      <w:r>
        <w:rPr>
          <w:rFonts w:ascii="仿宋_GB2312" w:hAnsi="仿宋_GB2312" w:cs="仿宋_GB2312" w:eastAsia="仿宋_GB2312"/>
        </w:rPr>
        <w:t>详见附件：法人身份证及授权委托书.docx</w:t>
      </w:r>
    </w:p>
    <w:p>
      <w:pPr>
        <w:pStyle w:val="null3"/>
        <w:ind w:firstLine="960"/>
      </w:pPr>
      <w:r>
        <w:rPr>
          <w:rFonts w:ascii="仿宋_GB2312" w:hAnsi="仿宋_GB2312" w:cs="仿宋_GB2312" w:eastAsia="仿宋_GB2312"/>
        </w:rPr>
        <w:t>详见附件：社会保障资金缴纳证明.docx</w:t>
      </w:r>
    </w:p>
    <w:p>
      <w:pPr>
        <w:pStyle w:val="null3"/>
        <w:ind w:firstLine="960"/>
      </w:pPr>
      <w:r>
        <w:rPr>
          <w:rFonts w:ascii="仿宋_GB2312" w:hAnsi="仿宋_GB2312" w:cs="仿宋_GB2312" w:eastAsia="仿宋_GB2312"/>
        </w:rPr>
        <w:t>详见附件：税收缴纳证明.docx</w:t>
      </w:r>
    </w:p>
    <w:p>
      <w:pPr>
        <w:pStyle w:val="null3"/>
        <w:ind w:firstLine="960"/>
      </w:pPr>
      <w:r>
        <w:rPr>
          <w:rFonts w:ascii="仿宋_GB2312" w:hAnsi="仿宋_GB2312" w:cs="仿宋_GB2312" w:eastAsia="仿宋_GB2312"/>
        </w:rPr>
        <w:t>详见附件：提供具有履行合同所必须的设备和专业技术能力的承诺函.docx</w:t>
      </w:r>
    </w:p>
    <w:p>
      <w:pPr>
        <w:pStyle w:val="null3"/>
        <w:ind w:firstLine="960"/>
      </w:pPr>
      <w:r>
        <w:rPr>
          <w:rFonts w:ascii="仿宋_GB2312" w:hAnsi="仿宋_GB2312" w:cs="仿宋_GB2312" w:eastAsia="仿宋_GB2312"/>
        </w:rPr>
        <w:t>详见附件：营业执照.docx</w:t>
      </w:r>
    </w:p>
    <w:p>
      <w:pPr>
        <w:pStyle w:val="null3"/>
        <w:ind w:firstLine="960"/>
      </w:pPr>
      <w:r>
        <w:rPr>
          <w:rFonts w:ascii="仿宋_GB2312" w:hAnsi="仿宋_GB2312" w:cs="仿宋_GB2312" w:eastAsia="仿宋_GB2312"/>
        </w:rPr>
        <w:t>详见附件：重大违法记录的书面声明.docx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