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990C7">
      <w:pPr>
        <w:pStyle w:val="5"/>
        <w:adjustRightInd w:val="0"/>
        <w:snapToGrid w:val="0"/>
        <w:spacing w:before="0" w:beforeLines="0" w:after="0" w:afterLines="0" w:line="360" w:lineRule="auto"/>
        <w:ind w:firstLine="0" w:firstLineChars="0"/>
        <w:jc w:val="center"/>
        <w:rPr>
          <w:rFonts w:hint="eastAsia" w:ascii="仿宋" w:eastAsia="仿宋" w:cs="仿宋"/>
          <w:kern w:val="2"/>
          <w:sz w:val="28"/>
          <w:szCs w:val="28"/>
        </w:rPr>
      </w:pPr>
      <w:bookmarkStart w:id="0" w:name="_Toc2801"/>
      <w:r>
        <w:rPr>
          <w:rFonts w:hint="eastAsia" w:ascii="仿宋" w:eastAsia="仿宋" w:cs="仿宋"/>
          <w:kern w:val="2"/>
          <w:sz w:val="28"/>
          <w:szCs w:val="28"/>
        </w:rPr>
        <w:t>商务及合同条款偏离表</w:t>
      </w:r>
      <w:bookmarkEnd w:id="0"/>
    </w:p>
    <w:tbl>
      <w:tblPr>
        <w:tblStyle w:val="3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044"/>
        <w:gridCol w:w="2019"/>
        <w:gridCol w:w="1861"/>
        <w:gridCol w:w="1493"/>
        <w:gridCol w:w="1379"/>
      </w:tblGrid>
      <w:tr w14:paraId="765B3D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5ED9D94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044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7492DD9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2019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7290815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招标文件要求</w:t>
            </w:r>
          </w:p>
        </w:tc>
        <w:tc>
          <w:tcPr>
            <w:tcW w:w="1861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4482C4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投标文件内容</w:t>
            </w:r>
          </w:p>
        </w:tc>
        <w:tc>
          <w:tcPr>
            <w:tcW w:w="1493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11FEAA5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响应说明</w:t>
            </w:r>
          </w:p>
        </w:tc>
        <w:tc>
          <w:tcPr>
            <w:tcW w:w="1379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EE6BBC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380284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tcBorders>
              <w:top w:val="single" w:color="auto" w:sz="2" w:space="0"/>
            </w:tcBorders>
            <w:vAlign w:val="center"/>
          </w:tcPr>
          <w:p w14:paraId="40E66DF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tcBorders>
              <w:top w:val="single" w:color="auto" w:sz="2" w:space="0"/>
            </w:tcBorders>
            <w:vAlign w:val="center"/>
          </w:tcPr>
          <w:p w14:paraId="06AE2FE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tcBorders>
              <w:top w:val="single" w:color="auto" w:sz="2" w:space="0"/>
            </w:tcBorders>
            <w:vAlign w:val="center"/>
          </w:tcPr>
          <w:p w14:paraId="622812D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tcBorders>
              <w:top w:val="single" w:color="auto" w:sz="2" w:space="0"/>
            </w:tcBorders>
            <w:vAlign w:val="center"/>
          </w:tcPr>
          <w:p w14:paraId="0010105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tcBorders>
              <w:top w:val="single" w:color="auto" w:sz="2" w:space="0"/>
            </w:tcBorders>
            <w:vAlign w:val="center"/>
          </w:tcPr>
          <w:p w14:paraId="15907D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tcBorders>
              <w:top w:val="single" w:color="auto" w:sz="2" w:space="0"/>
            </w:tcBorders>
            <w:vAlign w:val="center"/>
          </w:tcPr>
          <w:p w14:paraId="71E743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A3A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Align w:val="center"/>
          </w:tcPr>
          <w:p w14:paraId="17F9D94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vAlign w:val="center"/>
          </w:tcPr>
          <w:p w14:paraId="0D35D85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vAlign w:val="center"/>
          </w:tcPr>
          <w:p w14:paraId="022DE2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vAlign w:val="center"/>
          </w:tcPr>
          <w:p w14:paraId="75D1D4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0F070B2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6009AC0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B8FB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Align w:val="center"/>
          </w:tcPr>
          <w:p w14:paraId="470BE19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vAlign w:val="center"/>
          </w:tcPr>
          <w:p w14:paraId="10ECD00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vAlign w:val="center"/>
          </w:tcPr>
          <w:p w14:paraId="454BF3C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vAlign w:val="center"/>
          </w:tcPr>
          <w:p w14:paraId="4252409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1FD1289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15947A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C4D64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Align w:val="center"/>
          </w:tcPr>
          <w:p w14:paraId="16EB03C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vAlign w:val="center"/>
          </w:tcPr>
          <w:p w14:paraId="1FE904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vAlign w:val="center"/>
          </w:tcPr>
          <w:p w14:paraId="7D3B3D2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vAlign w:val="center"/>
          </w:tcPr>
          <w:p w14:paraId="742A498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12F3C61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478B5AA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CF02C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Align w:val="center"/>
          </w:tcPr>
          <w:p w14:paraId="15A4096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vAlign w:val="center"/>
          </w:tcPr>
          <w:p w14:paraId="108EA70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vAlign w:val="center"/>
          </w:tcPr>
          <w:p w14:paraId="5CF2A2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vAlign w:val="center"/>
          </w:tcPr>
          <w:p w14:paraId="317F28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0048C5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7D1B52D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FA38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Align w:val="center"/>
          </w:tcPr>
          <w:p w14:paraId="556A5A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44" w:type="dxa"/>
            <w:vAlign w:val="center"/>
          </w:tcPr>
          <w:p w14:paraId="2128550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019" w:type="dxa"/>
            <w:vAlign w:val="center"/>
          </w:tcPr>
          <w:p w14:paraId="3A72479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61" w:type="dxa"/>
            <w:vAlign w:val="center"/>
          </w:tcPr>
          <w:p w14:paraId="63C3DA3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93" w:type="dxa"/>
            <w:vAlign w:val="center"/>
          </w:tcPr>
          <w:p w14:paraId="51B4AE6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79" w:type="dxa"/>
            <w:vAlign w:val="center"/>
          </w:tcPr>
          <w:p w14:paraId="12462DB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E7E6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Align w:val="center"/>
          </w:tcPr>
          <w:p w14:paraId="3F77D57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  <w:tc>
          <w:tcPr>
            <w:tcW w:w="7796" w:type="dxa"/>
            <w:gridSpan w:val="5"/>
            <w:vAlign w:val="center"/>
          </w:tcPr>
          <w:p w14:paraId="1C528DB1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1.供应商必须据实填写，不得虚假响应，否则将取消投标资格，并按有关规定进处罚。 </w:t>
            </w:r>
          </w:p>
          <w:p w14:paraId="728690C8"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2．响应说明按实际响应情况填写“优于”、“响应”、“不响应”，投标文件中商务响应与招标文件要求完全一致的，可以不在此表中列出，但必须提交空白表。</w:t>
            </w:r>
          </w:p>
        </w:tc>
      </w:tr>
    </w:tbl>
    <w:p w14:paraId="04D8B8C0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 xml:space="preserve">（盖单位公章）               </w:t>
      </w:r>
    </w:p>
    <w:p w14:paraId="60CCE5D2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法定代表人或委托代理人：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（签字或盖章）</w:t>
      </w:r>
    </w:p>
    <w:p w14:paraId="496934FB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</w:rPr>
        <w:t>日</w:t>
      </w:r>
    </w:p>
    <w:p w14:paraId="07F59AFE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87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2026-06-13T15:21:11Z</dcterms:created>
  <dc:creator>23808</dc:creator>
  <cp:lastModifiedBy>王小臭</cp:lastModifiedBy>
  <dcterms:modified xsi:type="dcterms:W3CDTF">2026-06-13T15:21:21Z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F6F2DF270F5C45C392C50E9C7D6A154D_12</vt:lpwstr>
  </property>
</Properties>
</file>