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00F94">
      <w:pPr>
        <w:tabs>
          <w:tab w:val="left" w:pos="9030"/>
        </w:tabs>
        <w:adjustRightInd w:val="0"/>
        <w:snapToGrid w:val="0"/>
        <w:spacing w:line="360" w:lineRule="auto"/>
        <w:jc w:val="center"/>
        <w:outlineLvl w:val="0"/>
        <w:rPr>
          <w:rFonts w:hint="eastAsia" w:ascii="仿宋" w:hAnsi="仿宋" w:eastAsia="仿宋" w:cs="仿宋"/>
          <w:sz w:val="52"/>
          <w:szCs w:val="52"/>
        </w:rPr>
      </w:pPr>
      <w:r>
        <w:rPr>
          <w:rFonts w:hint="eastAsia" w:ascii="仿宋" w:hAnsi="仿宋" w:eastAsia="仿宋" w:cs="仿宋"/>
        </w:rPr>
        <w:t xml:space="preserve"> </w:t>
      </w:r>
      <w:r>
        <w:rPr>
          <w:rStyle w:val="7"/>
          <w:rFonts w:hint="eastAsia" w:ascii="仿宋" w:hAnsi="仿宋" w:eastAsia="仿宋" w:cs="仿宋"/>
          <w:b/>
          <w:bCs/>
          <w:sz w:val="40"/>
          <w:szCs w:val="40"/>
          <w:lang w:val="zh-CN"/>
        </w:rPr>
        <w:t>拟签订的合同条款文本</w:t>
      </w:r>
    </w:p>
    <w:p w14:paraId="284A42AC">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 xml:space="preserve">甲方（采购人）： </w:t>
      </w:r>
    </w:p>
    <w:p w14:paraId="63C34C01">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 xml:space="preserve">乙方（中标单位）： </w:t>
      </w:r>
    </w:p>
    <w:p w14:paraId="4C09DFE8">
      <w:pPr>
        <w:wordWrap w:val="0"/>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u w:val="single"/>
        </w:rPr>
        <w:t>2026年省级义务教育薄弱环节改善与能力提升补助资金教学实验仪器设备等购置(项目编号：HHGJZC2026-GK375)</w:t>
      </w:r>
      <w:r>
        <w:rPr>
          <w:rFonts w:hint="eastAsia" w:ascii="仿宋" w:hAnsi="仿宋" w:eastAsia="仿宋" w:cs="仿宋"/>
          <w:bCs/>
          <w:sz w:val="24"/>
        </w:rPr>
        <w:t>，由陕西华海国际项目管理有限公司组织公开招标，</w:t>
      </w:r>
      <w:r>
        <w:rPr>
          <w:rFonts w:hint="eastAsia" w:ascii="仿宋" w:hAnsi="仿宋" w:eastAsia="仿宋" w:cs="仿宋"/>
          <w:bCs/>
          <w:sz w:val="24"/>
          <w:u w:val="single"/>
        </w:rPr>
        <w:t>西安市长安区子午街道初级中学</w:t>
      </w:r>
      <w:r>
        <w:rPr>
          <w:rFonts w:hint="eastAsia" w:ascii="仿宋" w:hAnsi="仿宋" w:eastAsia="仿宋" w:cs="仿宋"/>
          <w:bCs/>
          <w:sz w:val="24"/>
        </w:rPr>
        <w:t>(以下简称“甲方”)确定</w:t>
      </w:r>
      <w:r>
        <w:rPr>
          <w:rFonts w:hint="eastAsia" w:ascii="仿宋" w:hAnsi="仿宋" w:eastAsia="仿宋" w:cs="仿宋"/>
          <w:bCs/>
          <w:sz w:val="24"/>
          <w:u w:val="single"/>
        </w:rPr>
        <w:t xml:space="preserve">          </w:t>
      </w:r>
      <w:r>
        <w:rPr>
          <w:rFonts w:hint="eastAsia" w:ascii="仿宋" w:hAnsi="仿宋" w:eastAsia="仿宋" w:cs="仿宋"/>
          <w:bCs/>
          <w:sz w:val="24"/>
        </w:rPr>
        <w:t>（以下简称“乙方”）为该项目的中标单位。</w:t>
      </w:r>
    </w:p>
    <w:p w14:paraId="35A80EFE">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依据《中华人民共和国民法典》和《中华人民共和国政府采购法》之规定，经双方在平等、自愿、互利的基础上，签订本合同，共同信守。</w:t>
      </w:r>
    </w:p>
    <w:p w14:paraId="0BE721B8">
      <w:pPr>
        <w:autoSpaceDE w:val="0"/>
        <w:autoSpaceDN w:val="0"/>
        <w:adjustRightInd w:val="0"/>
        <w:snapToGrid w:val="0"/>
        <w:spacing w:line="360" w:lineRule="auto"/>
        <w:ind w:firstLine="482" w:firstLineChars="200"/>
        <w:rPr>
          <w:rFonts w:hint="eastAsia" w:ascii="仿宋" w:hAnsi="仿宋" w:eastAsia="仿宋" w:cs="仿宋"/>
          <w:b/>
          <w:bCs/>
          <w:sz w:val="24"/>
          <w:lang w:val="zh-CN"/>
        </w:rPr>
      </w:pPr>
      <w:r>
        <w:rPr>
          <w:rFonts w:hint="eastAsia" w:ascii="仿宋" w:hAnsi="仿宋" w:eastAsia="仿宋" w:cs="仿宋"/>
          <w:b/>
          <w:bCs/>
          <w:sz w:val="24"/>
        </w:rPr>
        <w:t>一、</w:t>
      </w:r>
      <w:r>
        <w:rPr>
          <w:rFonts w:hint="eastAsia" w:ascii="仿宋" w:hAnsi="仿宋" w:eastAsia="仿宋" w:cs="仿宋"/>
          <w:b/>
          <w:bCs/>
          <w:sz w:val="24"/>
          <w:lang w:val="zh-CN"/>
        </w:rPr>
        <w:t>合同标的</w:t>
      </w:r>
      <w:r>
        <w:rPr>
          <w:rFonts w:hint="eastAsia" w:ascii="仿宋" w:hAnsi="仿宋" w:eastAsia="仿宋" w:cs="仿宋"/>
          <w:b/>
          <w:bCs/>
          <w:sz w:val="24"/>
        </w:rPr>
        <w:t>物内容</w:t>
      </w:r>
      <w:r>
        <w:rPr>
          <w:rFonts w:hint="eastAsia" w:ascii="仿宋" w:hAnsi="仿宋" w:eastAsia="仿宋" w:cs="仿宋"/>
          <w:b/>
          <w:bCs/>
          <w:sz w:val="24"/>
          <w:lang w:val="zh-CN"/>
        </w:rPr>
        <w:t>及数量</w:t>
      </w:r>
    </w:p>
    <w:p w14:paraId="7A5E7B48">
      <w:pPr>
        <w:autoSpaceDE w:val="0"/>
        <w:autoSpaceDN w:val="0"/>
        <w:adjustRightInd w:val="0"/>
        <w:snapToGrid w:val="0"/>
        <w:spacing w:line="360" w:lineRule="auto"/>
        <w:ind w:firstLine="480" w:firstLineChars="200"/>
        <w:rPr>
          <w:rFonts w:hint="eastAsia" w:ascii="仿宋" w:hAnsi="仿宋" w:eastAsia="仿宋" w:cs="仿宋"/>
          <w:bCs/>
          <w:sz w:val="24"/>
          <w:lang w:val="zh-CN"/>
        </w:rPr>
      </w:pPr>
      <w:r>
        <w:rPr>
          <w:rFonts w:hint="eastAsia" w:ascii="仿宋" w:hAnsi="仿宋" w:eastAsia="仿宋" w:cs="仿宋"/>
          <w:bCs/>
          <w:sz w:val="24"/>
          <w:lang w:val="zh-CN"/>
        </w:rPr>
        <w:t>乙方向甲方提供下列货物（产品）：</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649"/>
        <w:gridCol w:w="1481"/>
        <w:gridCol w:w="531"/>
        <w:gridCol w:w="717"/>
        <w:gridCol w:w="730"/>
        <w:gridCol w:w="1060"/>
        <w:gridCol w:w="1461"/>
      </w:tblGrid>
      <w:tr w14:paraId="7960C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199ED14E">
            <w:pPr>
              <w:autoSpaceDE w:val="0"/>
              <w:autoSpaceDN w:val="0"/>
              <w:adjustRightInd w:val="0"/>
              <w:snapToGrid w:val="0"/>
              <w:jc w:val="center"/>
              <w:rPr>
                <w:rFonts w:hint="eastAsia" w:ascii="仿宋" w:hAnsi="仿宋" w:eastAsia="仿宋" w:cs="仿宋"/>
                <w:bCs/>
                <w:sz w:val="24"/>
              </w:rPr>
            </w:pPr>
            <w:r>
              <w:rPr>
                <w:rFonts w:hint="eastAsia" w:ascii="仿宋" w:hAnsi="仿宋" w:eastAsia="仿宋" w:cs="仿宋"/>
                <w:bCs/>
                <w:sz w:val="24"/>
              </w:rPr>
              <w:t>序号</w:t>
            </w:r>
          </w:p>
        </w:tc>
        <w:tc>
          <w:tcPr>
            <w:tcW w:w="1649" w:type="dxa"/>
            <w:vAlign w:val="center"/>
          </w:tcPr>
          <w:p w14:paraId="10741A5E">
            <w:pPr>
              <w:autoSpaceDE w:val="0"/>
              <w:autoSpaceDN w:val="0"/>
              <w:adjustRightInd w:val="0"/>
              <w:snapToGrid w:val="0"/>
              <w:jc w:val="center"/>
              <w:rPr>
                <w:rFonts w:hint="eastAsia" w:ascii="仿宋" w:hAnsi="仿宋" w:eastAsia="仿宋" w:cs="仿宋"/>
                <w:bCs/>
                <w:sz w:val="24"/>
              </w:rPr>
            </w:pPr>
            <w:r>
              <w:rPr>
                <w:rFonts w:hint="eastAsia" w:ascii="仿宋" w:hAnsi="仿宋" w:eastAsia="仿宋" w:cs="仿宋"/>
                <w:bCs/>
                <w:sz w:val="24"/>
              </w:rPr>
              <w:t>货物名称</w:t>
            </w:r>
          </w:p>
        </w:tc>
        <w:tc>
          <w:tcPr>
            <w:tcW w:w="1481" w:type="dxa"/>
            <w:vAlign w:val="center"/>
          </w:tcPr>
          <w:p w14:paraId="08B50234">
            <w:pPr>
              <w:autoSpaceDE w:val="0"/>
              <w:autoSpaceDN w:val="0"/>
              <w:adjustRightInd w:val="0"/>
              <w:snapToGrid w:val="0"/>
              <w:jc w:val="center"/>
              <w:rPr>
                <w:rFonts w:hint="eastAsia" w:ascii="仿宋" w:hAnsi="仿宋" w:eastAsia="仿宋" w:cs="仿宋"/>
                <w:bCs/>
                <w:sz w:val="24"/>
              </w:rPr>
            </w:pPr>
            <w:r>
              <w:rPr>
                <w:rFonts w:hint="eastAsia" w:ascii="仿宋" w:hAnsi="仿宋" w:eastAsia="仿宋" w:cs="仿宋"/>
                <w:bCs/>
                <w:sz w:val="24"/>
              </w:rPr>
              <w:t>品牌/型号</w:t>
            </w:r>
          </w:p>
        </w:tc>
        <w:tc>
          <w:tcPr>
            <w:tcW w:w="531" w:type="dxa"/>
            <w:vAlign w:val="center"/>
          </w:tcPr>
          <w:p w14:paraId="40E35D28">
            <w:pPr>
              <w:autoSpaceDE w:val="0"/>
              <w:autoSpaceDN w:val="0"/>
              <w:adjustRightInd w:val="0"/>
              <w:snapToGrid w:val="0"/>
              <w:jc w:val="center"/>
              <w:rPr>
                <w:rFonts w:hint="eastAsia" w:ascii="仿宋" w:hAnsi="仿宋" w:eastAsia="仿宋" w:cs="仿宋"/>
                <w:bCs/>
                <w:sz w:val="24"/>
              </w:rPr>
            </w:pPr>
            <w:r>
              <w:rPr>
                <w:rFonts w:hint="eastAsia" w:ascii="仿宋" w:hAnsi="仿宋" w:eastAsia="仿宋" w:cs="仿宋"/>
                <w:bCs/>
                <w:sz w:val="24"/>
              </w:rPr>
              <w:t>规格</w:t>
            </w:r>
          </w:p>
        </w:tc>
        <w:tc>
          <w:tcPr>
            <w:tcW w:w="717" w:type="dxa"/>
            <w:vAlign w:val="center"/>
          </w:tcPr>
          <w:p w14:paraId="68211333">
            <w:pPr>
              <w:autoSpaceDE w:val="0"/>
              <w:autoSpaceDN w:val="0"/>
              <w:adjustRightInd w:val="0"/>
              <w:snapToGrid w:val="0"/>
              <w:jc w:val="center"/>
              <w:rPr>
                <w:rFonts w:hint="eastAsia" w:ascii="仿宋" w:hAnsi="仿宋" w:eastAsia="仿宋" w:cs="仿宋"/>
                <w:bCs/>
                <w:sz w:val="24"/>
              </w:rPr>
            </w:pPr>
            <w:r>
              <w:rPr>
                <w:rFonts w:hint="eastAsia" w:ascii="仿宋" w:hAnsi="仿宋" w:eastAsia="仿宋" w:cs="仿宋"/>
                <w:bCs/>
                <w:sz w:val="24"/>
              </w:rPr>
              <w:t>单位</w:t>
            </w:r>
          </w:p>
        </w:tc>
        <w:tc>
          <w:tcPr>
            <w:tcW w:w="730" w:type="dxa"/>
            <w:vAlign w:val="center"/>
          </w:tcPr>
          <w:p w14:paraId="4EC0C578">
            <w:pPr>
              <w:autoSpaceDE w:val="0"/>
              <w:autoSpaceDN w:val="0"/>
              <w:adjustRightInd w:val="0"/>
              <w:snapToGrid w:val="0"/>
              <w:jc w:val="center"/>
              <w:rPr>
                <w:rFonts w:hint="eastAsia" w:ascii="仿宋" w:hAnsi="仿宋" w:eastAsia="仿宋" w:cs="仿宋"/>
                <w:bCs/>
                <w:sz w:val="24"/>
              </w:rPr>
            </w:pPr>
            <w:r>
              <w:rPr>
                <w:rFonts w:hint="eastAsia" w:ascii="仿宋" w:hAnsi="仿宋" w:eastAsia="仿宋" w:cs="仿宋"/>
                <w:bCs/>
                <w:sz w:val="24"/>
              </w:rPr>
              <w:t>数量</w:t>
            </w:r>
          </w:p>
        </w:tc>
        <w:tc>
          <w:tcPr>
            <w:tcW w:w="1060" w:type="dxa"/>
            <w:vAlign w:val="center"/>
          </w:tcPr>
          <w:p w14:paraId="35FC5682">
            <w:pPr>
              <w:autoSpaceDE w:val="0"/>
              <w:autoSpaceDN w:val="0"/>
              <w:adjustRightInd w:val="0"/>
              <w:snapToGrid w:val="0"/>
              <w:jc w:val="center"/>
              <w:rPr>
                <w:rFonts w:hint="eastAsia" w:ascii="仿宋" w:hAnsi="仿宋" w:eastAsia="仿宋" w:cs="仿宋"/>
                <w:bCs/>
                <w:sz w:val="24"/>
              </w:rPr>
            </w:pPr>
            <w:r>
              <w:rPr>
                <w:rFonts w:hint="eastAsia" w:ascii="仿宋" w:hAnsi="仿宋" w:eastAsia="仿宋" w:cs="仿宋"/>
                <w:bCs/>
                <w:sz w:val="24"/>
              </w:rPr>
              <w:t>单价（元）</w:t>
            </w:r>
          </w:p>
        </w:tc>
        <w:tc>
          <w:tcPr>
            <w:tcW w:w="1461" w:type="dxa"/>
            <w:vAlign w:val="center"/>
          </w:tcPr>
          <w:p w14:paraId="3FB28F77">
            <w:pPr>
              <w:autoSpaceDE w:val="0"/>
              <w:autoSpaceDN w:val="0"/>
              <w:adjustRightInd w:val="0"/>
              <w:snapToGrid w:val="0"/>
              <w:jc w:val="center"/>
              <w:rPr>
                <w:rFonts w:hint="eastAsia" w:ascii="仿宋" w:hAnsi="仿宋" w:eastAsia="仿宋" w:cs="仿宋"/>
                <w:bCs/>
                <w:sz w:val="24"/>
              </w:rPr>
            </w:pPr>
            <w:r>
              <w:rPr>
                <w:rFonts w:hint="eastAsia" w:ascii="仿宋" w:hAnsi="仿宋" w:eastAsia="仿宋" w:cs="仿宋"/>
                <w:bCs/>
                <w:sz w:val="24"/>
              </w:rPr>
              <w:t>金额 (元)</w:t>
            </w:r>
          </w:p>
        </w:tc>
      </w:tr>
      <w:tr w14:paraId="58AB12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1B2A28FF">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1649" w:type="dxa"/>
          </w:tcPr>
          <w:p w14:paraId="4033781E">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1481" w:type="dxa"/>
          </w:tcPr>
          <w:p w14:paraId="2A030DFE">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531" w:type="dxa"/>
          </w:tcPr>
          <w:p w14:paraId="0A776710">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717" w:type="dxa"/>
          </w:tcPr>
          <w:p w14:paraId="157A6FA4">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730" w:type="dxa"/>
          </w:tcPr>
          <w:p w14:paraId="1876E6AD">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1060" w:type="dxa"/>
          </w:tcPr>
          <w:p w14:paraId="52A00F2F">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1461" w:type="dxa"/>
          </w:tcPr>
          <w:p w14:paraId="7043B05A">
            <w:pPr>
              <w:autoSpaceDE w:val="0"/>
              <w:autoSpaceDN w:val="0"/>
              <w:adjustRightInd w:val="0"/>
              <w:snapToGrid w:val="0"/>
              <w:spacing w:line="360" w:lineRule="auto"/>
              <w:ind w:firstLine="480" w:firstLineChars="200"/>
              <w:rPr>
                <w:rFonts w:hint="eastAsia" w:ascii="仿宋" w:hAnsi="仿宋" w:eastAsia="仿宋" w:cs="仿宋"/>
                <w:bCs/>
                <w:sz w:val="24"/>
              </w:rPr>
            </w:pPr>
          </w:p>
        </w:tc>
      </w:tr>
      <w:tr w14:paraId="2C402A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47A675F2">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1649" w:type="dxa"/>
          </w:tcPr>
          <w:p w14:paraId="4C30AA5C">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1481" w:type="dxa"/>
          </w:tcPr>
          <w:p w14:paraId="0FA11603">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531" w:type="dxa"/>
          </w:tcPr>
          <w:p w14:paraId="7DEE1C4A">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717" w:type="dxa"/>
          </w:tcPr>
          <w:p w14:paraId="37FEAC0C">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730" w:type="dxa"/>
          </w:tcPr>
          <w:p w14:paraId="21F949A9">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1060" w:type="dxa"/>
          </w:tcPr>
          <w:p w14:paraId="6E5DFD0F">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1461" w:type="dxa"/>
          </w:tcPr>
          <w:p w14:paraId="221E60F0">
            <w:pPr>
              <w:autoSpaceDE w:val="0"/>
              <w:autoSpaceDN w:val="0"/>
              <w:adjustRightInd w:val="0"/>
              <w:snapToGrid w:val="0"/>
              <w:spacing w:line="360" w:lineRule="auto"/>
              <w:ind w:firstLine="480" w:firstLineChars="200"/>
              <w:rPr>
                <w:rFonts w:hint="eastAsia" w:ascii="仿宋" w:hAnsi="仿宋" w:eastAsia="仿宋" w:cs="仿宋"/>
                <w:bCs/>
                <w:sz w:val="24"/>
              </w:rPr>
            </w:pPr>
          </w:p>
        </w:tc>
      </w:tr>
      <w:tr w14:paraId="7EFBC8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1B58182F">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1649" w:type="dxa"/>
          </w:tcPr>
          <w:p w14:paraId="17A33085">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1481" w:type="dxa"/>
          </w:tcPr>
          <w:p w14:paraId="5BFAFF54">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531" w:type="dxa"/>
          </w:tcPr>
          <w:p w14:paraId="38F7A3BF">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717" w:type="dxa"/>
          </w:tcPr>
          <w:p w14:paraId="03166698">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730" w:type="dxa"/>
          </w:tcPr>
          <w:p w14:paraId="6127EFA3">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1060" w:type="dxa"/>
          </w:tcPr>
          <w:p w14:paraId="3E1E7F8E">
            <w:pPr>
              <w:autoSpaceDE w:val="0"/>
              <w:autoSpaceDN w:val="0"/>
              <w:adjustRightInd w:val="0"/>
              <w:snapToGrid w:val="0"/>
              <w:spacing w:line="360" w:lineRule="auto"/>
              <w:ind w:firstLine="480" w:firstLineChars="200"/>
              <w:rPr>
                <w:rFonts w:hint="eastAsia" w:ascii="仿宋" w:hAnsi="仿宋" w:eastAsia="仿宋" w:cs="仿宋"/>
                <w:bCs/>
                <w:sz w:val="24"/>
              </w:rPr>
            </w:pPr>
          </w:p>
        </w:tc>
        <w:tc>
          <w:tcPr>
            <w:tcW w:w="1461" w:type="dxa"/>
          </w:tcPr>
          <w:p w14:paraId="388008FA">
            <w:pPr>
              <w:autoSpaceDE w:val="0"/>
              <w:autoSpaceDN w:val="0"/>
              <w:adjustRightInd w:val="0"/>
              <w:snapToGrid w:val="0"/>
              <w:spacing w:line="360" w:lineRule="auto"/>
              <w:ind w:firstLine="480" w:firstLineChars="200"/>
              <w:rPr>
                <w:rFonts w:hint="eastAsia" w:ascii="仿宋" w:hAnsi="仿宋" w:eastAsia="仿宋" w:cs="仿宋"/>
                <w:bCs/>
                <w:sz w:val="24"/>
              </w:rPr>
            </w:pPr>
          </w:p>
        </w:tc>
      </w:tr>
      <w:tr w14:paraId="17A092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465" w:type="dxa"/>
            <w:gridSpan w:val="2"/>
            <w:vAlign w:val="center"/>
          </w:tcPr>
          <w:p w14:paraId="0AC44D95">
            <w:pPr>
              <w:autoSpaceDE w:val="0"/>
              <w:autoSpaceDN w:val="0"/>
              <w:adjustRightInd w:val="0"/>
              <w:snapToGrid w:val="0"/>
              <w:jc w:val="center"/>
              <w:rPr>
                <w:rFonts w:hint="eastAsia" w:ascii="仿宋" w:hAnsi="仿宋" w:eastAsia="仿宋" w:cs="仿宋"/>
                <w:bCs/>
                <w:sz w:val="24"/>
              </w:rPr>
            </w:pPr>
            <w:r>
              <w:rPr>
                <w:rFonts w:hint="eastAsia" w:ascii="仿宋" w:hAnsi="仿宋" w:eastAsia="仿宋" w:cs="仿宋"/>
                <w:bCs/>
                <w:sz w:val="24"/>
              </w:rPr>
              <w:t>合计</w:t>
            </w:r>
          </w:p>
        </w:tc>
        <w:tc>
          <w:tcPr>
            <w:tcW w:w="3459" w:type="dxa"/>
            <w:gridSpan w:val="4"/>
            <w:vAlign w:val="center"/>
          </w:tcPr>
          <w:p w14:paraId="4B4D81C3">
            <w:pPr>
              <w:autoSpaceDE w:val="0"/>
              <w:autoSpaceDN w:val="0"/>
              <w:adjustRightInd w:val="0"/>
              <w:snapToGrid w:val="0"/>
              <w:jc w:val="left"/>
              <w:rPr>
                <w:rFonts w:hint="eastAsia" w:ascii="仿宋" w:hAnsi="仿宋" w:eastAsia="仿宋" w:cs="仿宋"/>
                <w:bCs/>
                <w:sz w:val="24"/>
              </w:rPr>
            </w:pPr>
            <w:r>
              <w:rPr>
                <w:rFonts w:hint="eastAsia" w:ascii="仿宋" w:hAnsi="仿宋" w:eastAsia="仿宋" w:cs="仿宋"/>
                <w:bCs/>
                <w:sz w:val="24"/>
              </w:rPr>
              <w:t>大写</w:t>
            </w:r>
          </w:p>
        </w:tc>
        <w:tc>
          <w:tcPr>
            <w:tcW w:w="2521" w:type="dxa"/>
            <w:gridSpan w:val="2"/>
            <w:vAlign w:val="center"/>
          </w:tcPr>
          <w:p w14:paraId="090BD9EB">
            <w:pPr>
              <w:autoSpaceDE w:val="0"/>
              <w:autoSpaceDN w:val="0"/>
              <w:adjustRightInd w:val="0"/>
              <w:snapToGrid w:val="0"/>
              <w:ind w:firstLine="480" w:firstLineChars="200"/>
              <w:jc w:val="left"/>
              <w:rPr>
                <w:rFonts w:hint="eastAsia" w:ascii="仿宋" w:hAnsi="仿宋" w:eastAsia="仿宋" w:cs="仿宋"/>
                <w:bCs/>
                <w:sz w:val="24"/>
              </w:rPr>
            </w:pPr>
            <w:r>
              <w:rPr>
                <w:rFonts w:hint="eastAsia" w:ascii="仿宋" w:hAnsi="仿宋" w:eastAsia="仿宋" w:cs="仿宋"/>
                <w:bCs/>
                <w:sz w:val="24"/>
              </w:rPr>
              <w:t>¥</w:t>
            </w:r>
          </w:p>
        </w:tc>
      </w:tr>
    </w:tbl>
    <w:p w14:paraId="28C00B61">
      <w:pPr>
        <w:autoSpaceDE w:val="0"/>
        <w:autoSpaceDN w:val="0"/>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二、合同价款</w:t>
      </w:r>
    </w:p>
    <w:p w14:paraId="413538FB">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（一）合同价款为人民币（大写）</w:t>
      </w:r>
      <w:r>
        <w:rPr>
          <w:rFonts w:hint="eastAsia" w:ascii="仿宋" w:hAnsi="仿宋" w:eastAsia="仿宋" w:cs="仿宋"/>
          <w:bCs/>
          <w:sz w:val="24"/>
          <w:u w:val="single"/>
        </w:rPr>
        <w:t xml:space="preserve">        </w:t>
      </w:r>
      <w:r>
        <w:rPr>
          <w:rFonts w:hint="eastAsia" w:ascii="仿宋" w:hAnsi="仿宋" w:eastAsia="仿宋" w:cs="仿宋"/>
          <w:bCs/>
          <w:sz w:val="24"/>
        </w:rPr>
        <w:t>（¥</w:t>
      </w:r>
      <w:r>
        <w:rPr>
          <w:rFonts w:hint="eastAsia" w:ascii="仿宋" w:hAnsi="仿宋" w:eastAsia="仿宋" w:cs="仿宋"/>
          <w:bCs/>
          <w:sz w:val="24"/>
          <w:u w:val="single"/>
        </w:rPr>
        <w:t xml:space="preserve">        </w:t>
      </w:r>
      <w:r>
        <w:rPr>
          <w:rFonts w:hint="eastAsia" w:ascii="仿宋" w:hAnsi="仿宋" w:eastAsia="仿宋" w:cs="仿宋"/>
          <w:bCs/>
          <w:sz w:val="24"/>
        </w:rPr>
        <w:t>）。</w:t>
      </w:r>
    </w:p>
    <w:p w14:paraId="11DDB6D9">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（二）合同价款包括但不限于</w:t>
      </w:r>
      <w:r>
        <w:rPr>
          <w:rFonts w:hint="eastAsia" w:ascii="仿宋" w:hAnsi="仿宋" w:eastAsia="仿宋" w:cs="仿宋"/>
          <w:sz w:val="24"/>
          <w:lang w:val="zh-CN"/>
        </w:rPr>
        <w:t>产品供应费、运</w:t>
      </w:r>
      <w:r>
        <w:rPr>
          <w:rFonts w:hint="eastAsia" w:ascii="仿宋" w:hAnsi="仿宋" w:eastAsia="仿宋" w:cs="仿宋"/>
          <w:sz w:val="24"/>
        </w:rPr>
        <w:t>杂</w:t>
      </w:r>
      <w:r>
        <w:rPr>
          <w:rFonts w:hint="eastAsia" w:ascii="仿宋" w:hAnsi="仿宋" w:eastAsia="仿宋" w:cs="仿宋"/>
          <w:sz w:val="24"/>
          <w:lang w:val="zh-CN"/>
        </w:rPr>
        <w:t>费、</w:t>
      </w:r>
      <w:r>
        <w:rPr>
          <w:rFonts w:hint="eastAsia" w:ascii="仿宋" w:hAnsi="仿宋" w:eastAsia="仿宋" w:cs="仿宋"/>
          <w:sz w:val="24"/>
        </w:rPr>
        <w:t>质检</w:t>
      </w:r>
      <w:r>
        <w:rPr>
          <w:rFonts w:hint="eastAsia" w:ascii="仿宋" w:hAnsi="仿宋" w:eastAsia="仿宋" w:cs="仿宋"/>
          <w:sz w:val="24"/>
          <w:lang w:val="zh-CN"/>
        </w:rPr>
        <w:t>验收费、税金及其它相关的费用</w:t>
      </w:r>
      <w:r>
        <w:rPr>
          <w:rFonts w:hint="eastAsia" w:ascii="仿宋" w:hAnsi="仿宋" w:eastAsia="仿宋" w:cs="仿宋"/>
          <w:bCs/>
          <w:sz w:val="24"/>
        </w:rPr>
        <w:t>。</w:t>
      </w:r>
    </w:p>
    <w:p w14:paraId="428DDED8">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bCs/>
          <w:sz w:val="24"/>
        </w:rPr>
        <w:t>（三）合同价款一次性包死，不受市场价格变化因素的影响。</w:t>
      </w:r>
    </w:p>
    <w:p w14:paraId="6BA27243">
      <w:pPr>
        <w:autoSpaceDE w:val="0"/>
        <w:autoSpaceDN w:val="0"/>
        <w:adjustRightIn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三、款项结算</w:t>
      </w:r>
    </w:p>
    <w:p w14:paraId="03C9F85D">
      <w:pPr>
        <w:autoSpaceDE w:val="0"/>
        <w:autoSpaceDN w:val="0"/>
        <w:adjustRightIn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（一）付款方式：</w:t>
      </w:r>
    </w:p>
    <w:p w14:paraId="4C31BDEE">
      <w:pPr>
        <w:autoSpaceDE w:val="0"/>
        <w:autoSpaceDN w:val="0"/>
        <w:adjustRightInd w:val="0"/>
        <w:spacing w:line="360" w:lineRule="auto"/>
        <w:ind w:firstLine="480" w:firstLineChars="200"/>
        <w:rPr>
          <w:rFonts w:hint="eastAsia" w:ascii="仿宋" w:hAnsi="仿宋" w:eastAsia="仿宋" w:cs="仿宋"/>
          <w:bCs/>
          <w:sz w:val="24"/>
        </w:rPr>
      </w:pPr>
      <w:r>
        <w:rPr>
          <w:rFonts w:ascii="仿宋" w:hAnsi="仿宋" w:eastAsia="仿宋" w:cs="仿宋"/>
          <w:bCs/>
          <w:sz w:val="24"/>
        </w:rPr>
        <w:t>合同签订后，货物到达采购人指定地点履约验收合格后，</w:t>
      </w:r>
      <w:r>
        <w:rPr>
          <w:rFonts w:ascii="仿宋" w:hAnsi="仿宋" w:eastAsia="仿宋" w:cs="仿宋"/>
          <w:sz w:val="24"/>
        </w:rPr>
        <w:t xml:space="preserve">甲方收到乙方开具的全额增值税发票后，达到付款条件起 15 </w:t>
      </w:r>
      <w:r>
        <w:rPr>
          <w:rFonts w:hint="eastAsia" w:ascii="仿宋" w:hAnsi="仿宋" w:eastAsia="仿宋" w:cs="仿宋"/>
          <w:sz w:val="24"/>
          <w:lang w:val="en-US" w:eastAsia="zh-CN"/>
        </w:rPr>
        <w:t>个工作</w:t>
      </w:r>
      <w:bookmarkStart w:id="0" w:name="_GoBack"/>
      <w:bookmarkEnd w:id="0"/>
      <w:r>
        <w:rPr>
          <w:rFonts w:ascii="仿宋" w:hAnsi="仿宋" w:eastAsia="仿宋" w:cs="仿宋"/>
          <w:sz w:val="24"/>
        </w:rPr>
        <w:t>日内，支付合同总金额的 100.00%。</w:t>
      </w:r>
      <w:r>
        <w:rPr>
          <w:rFonts w:hint="eastAsia" w:ascii="仿宋" w:hAnsi="仿宋" w:eastAsia="仿宋" w:cs="仿宋"/>
          <w:bCs/>
          <w:sz w:val="24"/>
        </w:rPr>
        <w:t>（二）结算方式：银行转账。</w:t>
      </w:r>
    </w:p>
    <w:p w14:paraId="15E52D2D">
      <w:pPr>
        <w:autoSpaceDE w:val="0"/>
        <w:autoSpaceDN w:val="0"/>
        <w:adjustRightIn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（三）结算单位：</w:t>
      </w:r>
      <w:r>
        <w:rPr>
          <w:rFonts w:hint="eastAsia" w:ascii="仿宋" w:hAnsi="仿宋" w:eastAsia="仿宋" w:cs="仿宋"/>
          <w:sz w:val="24"/>
          <w:lang w:val="zh-CN"/>
        </w:rPr>
        <w:t>由</w:t>
      </w:r>
      <w:r>
        <w:rPr>
          <w:rFonts w:hint="eastAsia" w:ascii="仿宋" w:hAnsi="仿宋" w:eastAsia="仿宋" w:cs="仿宋"/>
          <w:sz w:val="24"/>
        </w:rPr>
        <w:t>甲方</w:t>
      </w:r>
      <w:r>
        <w:rPr>
          <w:rFonts w:hint="eastAsia" w:ascii="仿宋" w:hAnsi="仿宋" w:eastAsia="仿宋" w:cs="仿宋"/>
          <w:sz w:val="24"/>
          <w:lang w:val="zh-CN"/>
        </w:rPr>
        <w:t>负责结算，</w:t>
      </w:r>
      <w:r>
        <w:rPr>
          <w:rFonts w:hint="eastAsia" w:ascii="仿宋" w:hAnsi="仿宋" w:eastAsia="仿宋" w:cs="仿宋"/>
          <w:bCs/>
          <w:sz w:val="24"/>
        </w:rPr>
        <w:t>乙方开具等额发票给甲方。</w:t>
      </w:r>
    </w:p>
    <w:p w14:paraId="00A41548">
      <w:pPr>
        <w:autoSpaceDE w:val="0"/>
        <w:autoSpaceDN w:val="0"/>
        <w:adjustRightIn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四、交货条件</w:t>
      </w:r>
    </w:p>
    <w:p w14:paraId="34FD6A14">
      <w:pPr>
        <w:autoSpaceDE w:val="0"/>
        <w:autoSpaceDN w:val="0"/>
        <w:adjustRightIn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（一）交货期：自合同签订后</w:t>
      </w:r>
      <w:r>
        <w:rPr>
          <w:rFonts w:hint="eastAsia" w:ascii="仿宋" w:hAnsi="仿宋" w:eastAsia="仿宋" w:cs="仿宋"/>
          <w:bCs/>
          <w:sz w:val="24"/>
          <w:u w:val="single"/>
        </w:rPr>
        <w:t xml:space="preserve">     </w:t>
      </w:r>
      <w:r>
        <w:rPr>
          <w:rFonts w:hint="eastAsia" w:ascii="仿宋" w:hAnsi="仿宋" w:eastAsia="仿宋" w:cs="仿宋"/>
          <w:bCs/>
          <w:sz w:val="24"/>
        </w:rPr>
        <w:t>日内供货到位。</w:t>
      </w:r>
    </w:p>
    <w:p w14:paraId="1482F533">
      <w:pPr>
        <w:autoSpaceDE w:val="0"/>
        <w:autoSpaceDN w:val="0"/>
        <w:adjustRightIn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（二）交货地点：甲方指定地点。</w:t>
      </w:r>
    </w:p>
    <w:p w14:paraId="33247ED9">
      <w:pPr>
        <w:autoSpaceDE w:val="0"/>
        <w:autoSpaceDN w:val="0"/>
        <w:adjustRightIn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五、技术标准、质量标准及其他要求</w:t>
      </w:r>
    </w:p>
    <w:p w14:paraId="7D8DB21F">
      <w:pPr>
        <w:autoSpaceDE w:val="0"/>
        <w:autoSpaceDN w:val="0"/>
        <w:adjustRightIn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（一）所选材料必须保证质量可靠、进货渠道正规，服装面料、成衣符合国家、行业标准合格品要求。</w:t>
      </w:r>
    </w:p>
    <w:p w14:paraId="2C4D8564">
      <w:pPr>
        <w:autoSpaceDE w:val="0"/>
        <w:autoSpaceDN w:val="0"/>
        <w:adjustRightIn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（二）所提供的产品符合国家现行标准和相应的技术规范，标准和技术规范应为合同签订之日为止最新公布发行的标准和技术规范。</w:t>
      </w:r>
    </w:p>
    <w:p w14:paraId="57EECC1D">
      <w:pPr>
        <w:autoSpaceDE w:val="0"/>
        <w:autoSpaceDN w:val="0"/>
        <w:adjustRightIn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（三）产品质保期一年，服装到达用户所在地后90日内，如发现不合体的警服，制造厂商应负责包修、包换；如发现服装材料及加工质量问题，制造厂商应负责包换。</w:t>
      </w:r>
    </w:p>
    <w:p w14:paraId="08D2F49A">
      <w:pPr>
        <w:autoSpaceDE w:val="0"/>
        <w:autoSpaceDN w:val="0"/>
        <w:adjustRightIn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（四）乙方提供的产品，若发生侵权而产生的一切后果，由乙方负责，甲方保留索赔权力。</w:t>
      </w:r>
    </w:p>
    <w:p w14:paraId="490658C8">
      <w:pPr>
        <w:autoSpaceDE w:val="0"/>
        <w:autoSpaceDN w:val="0"/>
        <w:adjustRightIn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六、双方的权利和义务</w:t>
      </w:r>
    </w:p>
    <w:p w14:paraId="7E4FE71C">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（一）甲方的权利与义务</w:t>
      </w:r>
    </w:p>
    <w:p w14:paraId="4432449C">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1、积极配合乙方验收工作。</w:t>
      </w:r>
    </w:p>
    <w:p w14:paraId="39132893">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2、组织使用单位严格按照磋商文件及响应文件要求和标准验收货物。</w:t>
      </w:r>
    </w:p>
    <w:p w14:paraId="67B07D12">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（二）乙方的权利与义务</w:t>
      </w:r>
    </w:p>
    <w:p w14:paraId="47EE1C21">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1、保证对其出售的产品享有合法的权利，不存在任何未曾向甲方透露的担保物权，如抵押权、质押权、留置权。</w:t>
      </w:r>
    </w:p>
    <w:p w14:paraId="396DC751">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2、保证对其出售的产品或其任何一部分没有侵犯第三方的专利权、版权、商标权或其他权利。</w:t>
      </w:r>
    </w:p>
    <w:p w14:paraId="47A217FF">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3、负责产品的供应、运输，并在合同约定的时间完工，运输及安装施工全过程中的安全由乙方负责。</w:t>
      </w:r>
    </w:p>
    <w:p w14:paraId="1FD272FE">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4、按照合同约定要求甲方及时付款。</w:t>
      </w:r>
    </w:p>
    <w:p w14:paraId="27D85106">
      <w:pPr>
        <w:autoSpaceDE w:val="0"/>
        <w:autoSpaceDN w:val="0"/>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七、运输</w:t>
      </w:r>
    </w:p>
    <w:p w14:paraId="12EEAEB9">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（一）乙方负责所有产品的运输，确保采购产品安全、完整 到达采购人指定地点。运杂费一次性包死在总价内，采购人不再额外支付，包括从生产厂家到使用（安装）现场的包装、装载、运 输、卸载、现场保管、二次倒运等费用。</w:t>
      </w:r>
    </w:p>
    <w:p w14:paraId="20519F2A">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（二）运输方式由乙方自行选择，选择风险小、运费低、运距短的运输路线。但必须保证按期交货所有采购产品在运输、搬运的过程中，造成甲方损失的，由乙方为甲方修复或更新。</w:t>
      </w:r>
    </w:p>
    <w:p w14:paraId="660CBDCB">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（三）全部货物(产品)均应按照国家、行业规定的标准和保护措施进行包装，该包装应适应于远距离运输、防潮、防震、防锈和防野蛮装卸，以确保货物安全运抵指定地点。</w:t>
      </w:r>
    </w:p>
    <w:p w14:paraId="1AD2FA02">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（四）当包装使用塑料、纸质、木材等包装材料时，除应当按照国家、行业规定的包装标准进行包装外，还需按照《商品包装政府采购 需求标准(试行)》(财办库[2020])123号)规定的环保要求进行包装。</w:t>
      </w:r>
    </w:p>
    <w:p w14:paraId="64775C5A">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（五）当采用快递交货方式时，快递包装除应当按照国家、行业规定的包装标准进行包装外，还需按照《快递包装政府采购需求标准(试行)》(财办库[2020])123号)规定的环保要求进行包装。</w:t>
      </w:r>
    </w:p>
    <w:p w14:paraId="5FED488F">
      <w:pPr>
        <w:autoSpaceDE w:val="0"/>
        <w:autoSpaceDN w:val="0"/>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八、验收</w:t>
      </w:r>
    </w:p>
    <w:p w14:paraId="76945CCF">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（一）本项目验收费用，由乙方自行承担。</w:t>
      </w:r>
    </w:p>
    <w:p w14:paraId="64290FF8">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二）初验：产品到达交货地点后，乙方须提供提供省级或以上质量监督检验机构出具的检验报告，相对应的检验费用发票复印件及所提供货物（产品）的合格证、装箱清单、配件等资料交付给甲方，甲方根据合同要求，对产品进行外观验收、确认产品的产地、规格和数量，甲方和乙方共同签署到货验收单。未签收到货验收单的产品不得擅自开箱安装。</w:t>
      </w:r>
    </w:p>
    <w:p w14:paraId="6DA29E1C">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（三）终验：产品供货完成后，乙方进行自测并形成自测报告，出现的问题限期整改。自检最终通过后，乙方提出验收申请 ，甲方确认乙方的自检内容后，会同乙方（必要时请有关专家）进行最终验收。验收合格后，填写项目验收单作为对产品的最终认可。</w:t>
      </w:r>
    </w:p>
    <w:p w14:paraId="5294410A">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（四）验收依据：</w:t>
      </w:r>
    </w:p>
    <w:p w14:paraId="2E9AC956">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1、本合同及附加文本；</w:t>
      </w:r>
    </w:p>
    <w:p w14:paraId="79132C7D">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2、招标文件、中标单位的响应文件及澄清（承诺）函；</w:t>
      </w:r>
    </w:p>
    <w:p w14:paraId="1FB5F6AE">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3、国家相应的标准、规范。</w:t>
      </w:r>
    </w:p>
    <w:p w14:paraId="2CD80BB0">
      <w:pPr>
        <w:autoSpaceDE w:val="0"/>
        <w:autoSpaceDN w:val="0"/>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九、违约责任</w:t>
      </w:r>
    </w:p>
    <w:p w14:paraId="30632D9E">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（一）按《中华人民共和国民法典》中的相关条款执行。</w:t>
      </w:r>
    </w:p>
    <w:p w14:paraId="2E3F2F58">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（二）未按合同要求提供服务或服务质量不能满足合同要求，甲方有权依据《中华人民共和国民法典》有关条款及合同约定终止合同，并要求乙方承担违约责任。</w:t>
      </w:r>
    </w:p>
    <w:p w14:paraId="3B058314">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（三）乙方未按合同约定的交货日期交货的，每逾期一个日历日，向甲方支付逾期交付货物价款的3%的违约金，但不超过合同总金额10%。乙方支付逾期交货违约金并不免除其交货的责任。</w:t>
      </w:r>
    </w:p>
    <w:p w14:paraId="4389FB64">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四）如乙方在政府采购合同规定的交货日期后5个日历日后仍未能交货，则视为乙方不能交货，甲方有权解除政府采购合同，乙方除退还已收取的货款外，还应向甲方偿付政府采购合同总金额30%的违约金，并承担由此给甲方造成的一切损失。</w:t>
      </w:r>
    </w:p>
    <w:p w14:paraId="0E89C1B4">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（五）乙方所交付货物及伴随的工程或服务不符合其投标承诺，存在偷工减料、以次充好情形的，甲方要求更换一次后仍不符合约定的，甲方有权解除政府采购合同，并将有关情况上报政府购监管部门处理。</w:t>
      </w:r>
    </w:p>
    <w:p w14:paraId="151F085C">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（六）任何一方因不可抗力原因不能履行协议时，应尽快通知对方，双方均设法补偿。如仍无法履约协议，可协商延缓或撤销协议，双方责任免除。</w:t>
      </w:r>
    </w:p>
    <w:p w14:paraId="78212992">
      <w:pPr>
        <w:autoSpaceDE w:val="0"/>
        <w:autoSpaceDN w:val="0"/>
        <w:adjustRightInd w:val="0"/>
        <w:snapToGrid w:val="0"/>
        <w:spacing w:line="360" w:lineRule="auto"/>
        <w:ind w:firstLine="482" w:firstLineChars="200"/>
        <w:rPr>
          <w:rFonts w:hint="eastAsia" w:ascii="仿宋" w:hAnsi="仿宋" w:eastAsia="仿宋" w:cs="仿宋"/>
          <w:bCs/>
          <w:sz w:val="24"/>
        </w:rPr>
      </w:pPr>
      <w:r>
        <w:rPr>
          <w:rFonts w:hint="eastAsia" w:ascii="仿宋" w:hAnsi="仿宋" w:eastAsia="仿宋" w:cs="仿宋"/>
          <w:b/>
          <w:bCs/>
          <w:sz w:val="24"/>
        </w:rPr>
        <w:t>十、合同争议解决的方式</w:t>
      </w:r>
    </w:p>
    <w:p w14:paraId="090E00A3">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（一）本合同在履行过程中发生的争议，由甲、乙双方当事人协商解决，协商不成的按下列第</w:t>
      </w:r>
      <w:r>
        <w:rPr>
          <w:rFonts w:hint="eastAsia" w:ascii="仿宋" w:hAnsi="仿宋" w:eastAsia="仿宋" w:cs="仿宋"/>
          <w:bCs/>
          <w:sz w:val="24"/>
          <w:u w:val="single"/>
        </w:rPr>
        <w:t xml:space="preserve"> 2 </w:t>
      </w:r>
      <w:r>
        <w:rPr>
          <w:rFonts w:hint="eastAsia" w:ascii="仿宋" w:hAnsi="仿宋" w:eastAsia="仿宋" w:cs="仿宋"/>
          <w:bCs/>
          <w:sz w:val="24"/>
        </w:rPr>
        <w:t>种方式解决：</w:t>
      </w:r>
    </w:p>
    <w:p w14:paraId="2A09EBB3">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1、提交西安市仲裁委员会仲裁；</w:t>
      </w:r>
    </w:p>
    <w:p w14:paraId="3ABD0856">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2、依法向甲方所在地人民法院起诉。</w:t>
      </w:r>
    </w:p>
    <w:p w14:paraId="40B9D485">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（二）因质量问题发生的争议，由国家权威技术单位进行质量鉴定，该鉴定结论为最终结果，甲乙双方应当接受。</w:t>
      </w:r>
    </w:p>
    <w:p w14:paraId="43568881">
      <w:pPr>
        <w:autoSpaceDE w:val="0"/>
        <w:autoSpaceDN w:val="0"/>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十一、合同生效</w:t>
      </w:r>
    </w:p>
    <w:p w14:paraId="0DDF4221">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（一）本合同须经甲、乙双方的法定代表人（授权代理人）在合同书上签字并加盖本单位公章后正式生效。</w:t>
      </w:r>
    </w:p>
    <w:p w14:paraId="37FEDFFF">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（二）合同生效后，甲、乙双方须严格执行本合同条款的规定，全面履行合同，违者按《中华人民共和国民法典》的有关规定承担相应责任。</w:t>
      </w:r>
    </w:p>
    <w:p w14:paraId="7F658891">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（三）本合同一式</w:t>
      </w:r>
      <w:r>
        <w:rPr>
          <w:rFonts w:hint="eastAsia" w:ascii="仿宋" w:hAnsi="仿宋" w:eastAsia="仿宋" w:cs="仿宋"/>
          <w:bCs/>
          <w:sz w:val="24"/>
          <w:u w:val="single"/>
        </w:rPr>
        <w:t xml:space="preserve">   </w:t>
      </w:r>
      <w:r>
        <w:rPr>
          <w:rFonts w:hint="eastAsia" w:ascii="仿宋" w:hAnsi="仿宋" w:eastAsia="仿宋" w:cs="仿宋"/>
          <w:bCs/>
          <w:sz w:val="24"/>
        </w:rPr>
        <w:t>份，甲乙双方各执</w:t>
      </w:r>
      <w:r>
        <w:rPr>
          <w:rFonts w:hint="eastAsia" w:ascii="仿宋" w:hAnsi="仿宋" w:eastAsia="仿宋" w:cs="仿宋"/>
          <w:bCs/>
          <w:sz w:val="24"/>
          <w:u w:val="single"/>
        </w:rPr>
        <w:t xml:space="preserve">    </w:t>
      </w:r>
      <w:r>
        <w:rPr>
          <w:rFonts w:hint="eastAsia" w:ascii="仿宋" w:hAnsi="仿宋" w:eastAsia="仿宋" w:cs="仿宋"/>
          <w:bCs/>
          <w:sz w:val="24"/>
        </w:rPr>
        <w:t>份。</w:t>
      </w:r>
    </w:p>
    <w:p w14:paraId="031EF79E">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bCs/>
          <w:sz w:val="24"/>
        </w:rPr>
        <w:t>（四）本合同如有未尽事宜，甲、乙双方协商解决。</w:t>
      </w:r>
    </w:p>
    <w:p w14:paraId="5AC04E29">
      <w:pPr>
        <w:rPr>
          <w:rFonts w:hint="eastAsia" w:ascii="仿宋" w:hAnsi="仿宋" w:eastAsia="仿宋" w:cs="仿宋"/>
          <w:sz w:val="24"/>
        </w:rPr>
      </w:pPr>
    </w:p>
    <w:p w14:paraId="325327C7">
      <w:pPr>
        <w:rPr>
          <w:rFonts w:hint="eastAsia" w:ascii="仿宋" w:hAnsi="仿宋" w:eastAsia="仿宋" w:cs="仿宋"/>
          <w:sz w:val="24"/>
        </w:rPr>
      </w:pPr>
      <w:r>
        <w:rPr>
          <w:rFonts w:hint="eastAsia" w:ascii="仿宋" w:hAnsi="仿宋" w:eastAsia="仿宋" w:cs="仿宋"/>
          <w:sz w:val="24"/>
        </w:rPr>
        <w:br w:type="page"/>
      </w:r>
    </w:p>
    <w:p w14:paraId="46386224">
      <w:pPr>
        <w:rPr>
          <w:rFonts w:hint="eastAsia" w:ascii="仿宋" w:hAnsi="仿宋" w:eastAsia="仿宋" w:cs="仿宋"/>
        </w:rPr>
      </w:pPr>
    </w:p>
    <w:tbl>
      <w:tblPr>
        <w:tblStyle w:val="5"/>
        <w:tblW w:w="0" w:type="auto"/>
        <w:jc w:val="center"/>
        <w:tblLayout w:type="fixed"/>
        <w:tblCellMar>
          <w:top w:w="0" w:type="dxa"/>
          <w:left w:w="108" w:type="dxa"/>
          <w:bottom w:w="0" w:type="dxa"/>
          <w:right w:w="108" w:type="dxa"/>
        </w:tblCellMar>
      </w:tblPr>
      <w:tblGrid>
        <w:gridCol w:w="4201"/>
        <w:gridCol w:w="4202"/>
      </w:tblGrid>
      <w:tr w14:paraId="15B66534">
        <w:tblPrEx>
          <w:tblCellMar>
            <w:top w:w="0" w:type="dxa"/>
            <w:left w:w="108" w:type="dxa"/>
            <w:bottom w:w="0" w:type="dxa"/>
            <w:right w:w="108" w:type="dxa"/>
          </w:tblCellMar>
        </w:tblPrEx>
        <w:trPr>
          <w:trHeight w:val="564" w:hRule="exact"/>
          <w:jc w:val="center"/>
        </w:trPr>
        <w:tc>
          <w:tcPr>
            <w:tcW w:w="4201" w:type="dxa"/>
            <w:vAlign w:val="center"/>
          </w:tcPr>
          <w:p w14:paraId="25EF276D">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甲  方</w:t>
            </w:r>
          </w:p>
        </w:tc>
        <w:tc>
          <w:tcPr>
            <w:tcW w:w="4202" w:type="dxa"/>
            <w:vAlign w:val="center"/>
          </w:tcPr>
          <w:p w14:paraId="26E60690">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乙  方</w:t>
            </w:r>
          </w:p>
        </w:tc>
      </w:tr>
      <w:tr w14:paraId="0DB0EC94">
        <w:tblPrEx>
          <w:tblCellMar>
            <w:top w:w="0" w:type="dxa"/>
            <w:left w:w="108" w:type="dxa"/>
            <w:bottom w:w="0" w:type="dxa"/>
            <w:right w:w="108" w:type="dxa"/>
          </w:tblCellMar>
        </w:tblPrEx>
        <w:trPr>
          <w:trHeight w:val="550" w:hRule="exact"/>
          <w:jc w:val="center"/>
        </w:trPr>
        <w:tc>
          <w:tcPr>
            <w:tcW w:w="4201" w:type="dxa"/>
            <w:vAlign w:val="center"/>
          </w:tcPr>
          <w:p w14:paraId="7B47EDBF">
            <w:pPr>
              <w:autoSpaceDE w:val="0"/>
              <w:autoSpaceDN w:val="0"/>
              <w:adjustRightInd w:val="0"/>
              <w:jc w:val="right"/>
              <w:rPr>
                <w:rFonts w:hint="eastAsia" w:ascii="仿宋" w:hAnsi="仿宋" w:eastAsia="仿宋" w:cs="仿宋"/>
                <w:spacing w:val="-20"/>
                <w:kern w:val="0"/>
                <w:sz w:val="24"/>
              </w:rPr>
            </w:pPr>
            <w:r>
              <w:rPr>
                <w:rFonts w:hint="eastAsia" w:ascii="仿宋" w:hAnsi="仿宋" w:eastAsia="仿宋" w:cs="仿宋"/>
                <w:spacing w:val="-20"/>
                <w:kern w:val="0"/>
                <w:sz w:val="24"/>
              </w:rPr>
              <w:t>（盖章）</w:t>
            </w:r>
          </w:p>
        </w:tc>
        <w:tc>
          <w:tcPr>
            <w:tcW w:w="4202" w:type="dxa"/>
            <w:vAlign w:val="center"/>
          </w:tcPr>
          <w:p w14:paraId="6744793F">
            <w:pPr>
              <w:autoSpaceDE w:val="0"/>
              <w:autoSpaceDN w:val="0"/>
              <w:adjustRightInd w:val="0"/>
              <w:ind w:firstLine="800" w:firstLineChars="400"/>
              <w:rPr>
                <w:rFonts w:hint="eastAsia" w:ascii="仿宋" w:hAnsi="仿宋" w:eastAsia="仿宋" w:cs="仿宋"/>
                <w:spacing w:val="-20"/>
                <w:kern w:val="0"/>
                <w:sz w:val="24"/>
              </w:rPr>
            </w:pPr>
            <w:r>
              <w:rPr>
                <w:rFonts w:hint="eastAsia" w:ascii="仿宋" w:hAnsi="仿宋" w:eastAsia="仿宋" w:cs="仿宋"/>
                <w:spacing w:val="-20"/>
                <w:kern w:val="0"/>
                <w:sz w:val="24"/>
              </w:rPr>
              <w:t>（盖章）</w:t>
            </w:r>
          </w:p>
        </w:tc>
      </w:tr>
      <w:tr w14:paraId="1B6B0DF1">
        <w:tblPrEx>
          <w:tblCellMar>
            <w:top w:w="0" w:type="dxa"/>
            <w:left w:w="108" w:type="dxa"/>
            <w:bottom w:w="0" w:type="dxa"/>
            <w:right w:w="108" w:type="dxa"/>
          </w:tblCellMar>
        </w:tblPrEx>
        <w:trPr>
          <w:trHeight w:val="550" w:hRule="exact"/>
          <w:jc w:val="center"/>
        </w:trPr>
        <w:tc>
          <w:tcPr>
            <w:tcW w:w="4201" w:type="dxa"/>
            <w:vAlign w:val="center"/>
          </w:tcPr>
          <w:p w14:paraId="5262B3D2">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 xml:space="preserve">地址： </w:t>
            </w:r>
          </w:p>
        </w:tc>
        <w:tc>
          <w:tcPr>
            <w:tcW w:w="4202" w:type="dxa"/>
            <w:vAlign w:val="center"/>
          </w:tcPr>
          <w:p w14:paraId="6D5DA718">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地址：</w:t>
            </w:r>
          </w:p>
        </w:tc>
      </w:tr>
      <w:tr w14:paraId="58E599A3">
        <w:tblPrEx>
          <w:tblCellMar>
            <w:top w:w="0" w:type="dxa"/>
            <w:left w:w="108" w:type="dxa"/>
            <w:bottom w:w="0" w:type="dxa"/>
            <w:right w:w="108" w:type="dxa"/>
          </w:tblCellMar>
        </w:tblPrEx>
        <w:trPr>
          <w:trHeight w:val="579" w:hRule="exact"/>
          <w:jc w:val="center"/>
        </w:trPr>
        <w:tc>
          <w:tcPr>
            <w:tcW w:w="4201" w:type="dxa"/>
            <w:vAlign w:val="center"/>
          </w:tcPr>
          <w:p w14:paraId="3D5EEF5C">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邮编：</w:t>
            </w:r>
          </w:p>
        </w:tc>
        <w:tc>
          <w:tcPr>
            <w:tcW w:w="4202" w:type="dxa"/>
            <w:vAlign w:val="center"/>
          </w:tcPr>
          <w:p w14:paraId="6AA5548C">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邮编：</w:t>
            </w:r>
          </w:p>
        </w:tc>
      </w:tr>
      <w:tr w14:paraId="43075008">
        <w:tblPrEx>
          <w:tblCellMar>
            <w:top w:w="0" w:type="dxa"/>
            <w:left w:w="108" w:type="dxa"/>
            <w:bottom w:w="0" w:type="dxa"/>
            <w:right w:w="108" w:type="dxa"/>
          </w:tblCellMar>
        </w:tblPrEx>
        <w:trPr>
          <w:trHeight w:val="622" w:hRule="exact"/>
          <w:jc w:val="center"/>
        </w:trPr>
        <w:tc>
          <w:tcPr>
            <w:tcW w:w="4201" w:type="dxa"/>
            <w:vAlign w:val="center"/>
          </w:tcPr>
          <w:p w14:paraId="74E3E747">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 xml:space="preserve">法定代表人： </w:t>
            </w:r>
          </w:p>
        </w:tc>
        <w:tc>
          <w:tcPr>
            <w:tcW w:w="4202" w:type="dxa"/>
            <w:vAlign w:val="center"/>
          </w:tcPr>
          <w:p w14:paraId="06000618">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法定代表人：</w:t>
            </w:r>
          </w:p>
        </w:tc>
      </w:tr>
      <w:tr w14:paraId="38D8AB59">
        <w:tblPrEx>
          <w:tblCellMar>
            <w:top w:w="0" w:type="dxa"/>
            <w:left w:w="108" w:type="dxa"/>
            <w:bottom w:w="0" w:type="dxa"/>
            <w:right w:w="108" w:type="dxa"/>
          </w:tblCellMar>
        </w:tblPrEx>
        <w:trPr>
          <w:trHeight w:val="593" w:hRule="exact"/>
          <w:jc w:val="center"/>
        </w:trPr>
        <w:tc>
          <w:tcPr>
            <w:tcW w:w="4201" w:type="dxa"/>
            <w:vAlign w:val="center"/>
          </w:tcPr>
          <w:p w14:paraId="1A610CD2">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被授权代表：</w:t>
            </w:r>
          </w:p>
        </w:tc>
        <w:tc>
          <w:tcPr>
            <w:tcW w:w="4202" w:type="dxa"/>
            <w:vAlign w:val="center"/>
          </w:tcPr>
          <w:p w14:paraId="550229EE">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被授权代表：</w:t>
            </w:r>
          </w:p>
        </w:tc>
      </w:tr>
      <w:tr w14:paraId="48875FE1">
        <w:tblPrEx>
          <w:tblCellMar>
            <w:top w:w="0" w:type="dxa"/>
            <w:left w:w="108" w:type="dxa"/>
            <w:bottom w:w="0" w:type="dxa"/>
            <w:right w:w="108" w:type="dxa"/>
          </w:tblCellMar>
        </w:tblPrEx>
        <w:trPr>
          <w:trHeight w:val="578" w:hRule="exact"/>
          <w:jc w:val="center"/>
        </w:trPr>
        <w:tc>
          <w:tcPr>
            <w:tcW w:w="4201" w:type="dxa"/>
            <w:vAlign w:val="center"/>
          </w:tcPr>
          <w:p w14:paraId="6EB4E4B0">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电话：</w:t>
            </w:r>
          </w:p>
        </w:tc>
        <w:tc>
          <w:tcPr>
            <w:tcW w:w="4202" w:type="dxa"/>
            <w:vAlign w:val="center"/>
          </w:tcPr>
          <w:p w14:paraId="0651BE80">
            <w:pPr>
              <w:autoSpaceDE w:val="0"/>
              <w:autoSpaceDN w:val="0"/>
              <w:adjustRightInd w:val="0"/>
              <w:ind w:left="600" w:hanging="600" w:hangingChars="300"/>
              <w:rPr>
                <w:rFonts w:hint="eastAsia" w:ascii="仿宋" w:hAnsi="仿宋" w:eastAsia="仿宋" w:cs="仿宋"/>
                <w:spacing w:val="-20"/>
                <w:kern w:val="0"/>
                <w:sz w:val="24"/>
              </w:rPr>
            </w:pPr>
            <w:r>
              <w:rPr>
                <w:rFonts w:hint="eastAsia" w:ascii="仿宋" w:hAnsi="仿宋" w:eastAsia="仿宋" w:cs="仿宋"/>
                <w:spacing w:val="-20"/>
                <w:kern w:val="0"/>
                <w:sz w:val="24"/>
              </w:rPr>
              <w:t>电话：</w:t>
            </w:r>
          </w:p>
        </w:tc>
      </w:tr>
      <w:tr w14:paraId="7B01C03A">
        <w:tblPrEx>
          <w:tblCellMar>
            <w:top w:w="0" w:type="dxa"/>
            <w:left w:w="108" w:type="dxa"/>
            <w:bottom w:w="0" w:type="dxa"/>
            <w:right w:w="108" w:type="dxa"/>
          </w:tblCellMar>
        </w:tblPrEx>
        <w:trPr>
          <w:trHeight w:val="578" w:hRule="exact"/>
          <w:jc w:val="center"/>
        </w:trPr>
        <w:tc>
          <w:tcPr>
            <w:tcW w:w="4201" w:type="dxa"/>
            <w:vAlign w:val="center"/>
          </w:tcPr>
          <w:p w14:paraId="3B7F0D6A">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传真：</w:t>
            </w:r>
          </w:p>
        </w:tc>
        <w:tc>
          <w:tcPr>
            <w:tcW w:w="4202" w:type="dxa"/>
            <w:vAlign w:val="center"/>
          </w:tcPr>
          <w:p w14:paraId="5F2AEC41">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传真：</w:t>
            </w:r>
          </w:p>
        </w:tc>
      </w:tr>
      <w:tr w14:paraId="75051210">
        <w:tblPrEx>
          <w:tblCellMar>
            <w:top w:w="0" w:type="dxa"/>
            <w:left w:w="108" w:type="dxa"/>
            <w:bottom w:w="0" w:type="dxa"/>
            <w:right w:w="108" w:type="dxa"/>
          </w:tblCellMar>
        </w:tblPrEx>
        <w:trPr>
          <w:trHeight w:val="607" w:hRule="exact"/>
          <w:jc w:val="center"/>
        </w:trPr>
        <w:tc>
          <w:tcPr>
            <w:tcW w:w="4201" w:type="dxa"/>
            <w:vAlign w:val="center"/>
          </w:tcPr>
          <w:p w14:paraId="3CB454BE">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开户银行：</w:t>
            </w:r>
          </w:p>
        </w:tc>
        <w:tc>
          <w:tcPr>
            <w:tcW w:w="4202" w:type="dxa"/>
            <w:vAlign w:val="center"/>
          </w:tcPr>
          <w:p w14:paraId="6EAE380B">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开户银行：</w:t>
            </w:r>
          </w:p>
        </w:tc>
      </w:tr>
      <w:tr w14:paraId="70FBB612">
        <w:tblPrEx>
          <w:tblCellMar>
            <w:top w:w="0" w:type="dxa"/>
            <w:left w:w="108" w:type="dxa"/>
            <w:bottom w:w="0" w:type="dxa"/>
            <w:right w:w="108" w:type="dxa"/>
          </w:tblCellMar>
        </w:tblPrEx>
        <w:trPr>
          <w:trHeight w:val="594" w:hRule="exact"/>
          <w:jc w:val="center"/>
        </w:trPr>
        <w:tc>
          <w:tcPr>
            <w:tcW w:w="4201" w:type="dxa"/>
            <w:vAlign w:val="center"/>
          </w:tcPr>
          <w:p w14:paraId="5ECE3464">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日期：</w:t>
            </w:r>
          </w:p>
        </w:tc>
        <w:tc>
          <w:tcPr>
            <w:tcW w:w="4202" w:type="dxa"/>
            <w:vAlign w:val="center"/>
          </w:tcPr>
          <w:p w14:paraId="66A9B5BD">
            <w:pPr>
              <w:autoSpaceDE w:val="0"/>
              <w:autoSpaceDN w:val="0"/>
              <w:adjustRightInd w:val="0"/>
              <w:rPr>
                <w:rFonts w:hint="eastAsia" w:ascii="仿宋" w:hAnsi="仿宋" w:eastAsia="仿宋" w:cs="仿宋"/>
                <w:spacing w:val="-20"/>
                <w:kern w:val="0"/>
                <w:sz w:val="24"/>
              </w:rPr>
            </w:pPr>
            <w:r>
              <w:rPr>
                <w:rFonts w:hint="eastAsia" w:ascii="仿宋" w:hAnsi="仿宋" w:eastAsia="仿宋" w:cs="仿宋"/>
                <w:spacing w:val="-20"/>
                <w:kern w:val="0"/>
                <w:sz w:val="24"/>
              </w:rPr>
              <w:t>日期：</w:t>
            </w:r>
          </w:p>
        </w:tc>
      </w:tr>
    </w:tbl>
    <w:p w14:paraId="7089521F">
      <w:pPr>
        <w:pStyle w:val="8"/>
        <w:rPr>
          <w:rFonts w:ascii="仿宋" w:hAnsi="仿宋" w:eastAsia="仿宋" w:cs="仿宋"/>
        </w:rPr>
      </w:pPr>
    </w:p>
    <w:p w14:paraId="3871D7C7"/>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BAEF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C69829">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BC69829">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E64EB2"/>
    <w:rsid w:val="6FEC0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7"/>
    <w:qFormat/>
    <w:uiPriority w:val="0"/>
    <w:pPr>
      <w:keepNext/>
      <w:jc w:val="center"/>
      <w:outlineLvl w:val="0"/>
    </w:pPr>
    <w:rPr>
      <w:rFonts w:ascii="黑体" w:eastAsia="黑体"/>
      <w:sz w:val="28"/>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character" w:customStyle="1" w:styleId="7">
    <w:name w:val="标题 1 字符"/>
    <w:link w:val="3"/>
    <w:qFormat/>
    <w:uiPriority w:val="0"/>
    <w:rPr>
      <w:rFonts w:ascii="黑体" w:eastAsia="黑体"/>
      <w:sz w:val="2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2573</Words>
  <Characters>2623</Characters>
  <Lines>0</Lines>
  <Paragraphs>0</Paragraphs>
  <TotalTime>0</TotalTime>
  <ScaleCrop>false</ScaleCrop>
  <LinksUpToDate>false</LinksUpToDate>
  <CharactersWithSpaces>2680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2026-06-13T15:23:00Z</dcterms:created>
  <dc:creator>23808</dc:creator>
  <cp:lastModifiedBy>王小臭</cp:lastModifiedBy>
  <dcterms:modified xsi:type="dcterms:W3CDTF">2026-06-14T09:37:38Z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eyJoZGlkIjoiYTc2ZGZiNzZiNDVlOGViOWVmM2JhOTY0NGJkNjUyYzgiLCJ1c2VySWQiOiI2NjgyMTAyNjYifQ==</vt:lpwstr>
  </property>
  <property fmtid="{D5CDD505-2E9C-101B-9397-08002B2CF9AE}" pid="4" name="ICV">
    <vt:lpwstr>E890112894074FCB87ABA1ADFEA46DC7_12</vt:lpwstr>
  </property>
</Properties>
</file>