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版本号：SXMX-BP-CS-26-002.1B120260814001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临时展览深化设计及布展项目(二次)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SXMX-BP-CS-26-002.1B1</w:t>
      </w:r>
      <w:r>
        <w:br/>
      </w:r>
      <w:r>
        <w:br/>
      </w:r>
      <w:r>
        <w:br/>
      </w:r>
    </w:p>
    <w:p>
      <w:pPr>
        <w:pStyle w:val="null3"/>
        <w:jc w:val="center"/>
        <w:outlineLvl w:val="2"/>
      </w:pPr>
      <w:r>
        <w:rPr>
          <w:rFonts w:ascii="仿宋_GB2312" w:hAnsi="仿宋_GB2312" w:cs="仿宋_GB2312" w:eastAsia="仿宋_GB2312"/>
          <w:sz w:val="28"/>
          <w:b/>
        </w:rPr>
        <w:t>西安半坡博物馆</w:t>
      </w:r>
    </w:p>
    <w:p>
      <w:pPr>
        <w:pStyle w:val="null3"/>
        <w:jc w:val="center"/>
        <w:outlineLvl w:val="2"/>
      </w:pPr>
      <w:r>
        <w:rPr>
          <w:rFonts w:ascii="仿宋_GB2312" w:hAnsi="仿宋_GB2312" w:cs="仿宋_GB2312" w:eastAsia="仿宋_GB2312"/>
          <w:sz w:val="28"/>
          <w:b/>
        </w:rPr>
        <w:t>四川铭信工程招标咨询有限公司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四川铭信工程招标咨询有限公司</w:t>
      </w:r>
      <w:r>
        <w:rPr>
          <w:rFonts w:ascii="仿宋_GB2312" w:hAnsi="仿宋_GB2312" w:cs="仿宋_GB2312" w:eastAsia="仿宋_GB2312"/>
        </w:rPr>
        <w:t>（以下简称“代理机构”）受</w:t>
      </w:r>
      <w:r>
        <w:rPr>
          <w:rFonts w:ascii="仿宋_GB2312" w:hAnsi="仿宋_GB2312" w:cs="仿宋_GB2312" w:eastAsia="仿宋_GB2312"/>
        </w:rPr>
        <w:t>西安半坡博物馆</w:t>
      </w:r>
      <w:r>
        <w:rPr>
          <w:rFonts w:ascii="仿宋_GB2312" w:hAnsi="仿宋_GB2312" w:cs="仿宋_GB2312" w:eastAsia="仿宋_GB2312"/>
        </w:rPr>
        <w:t>委托，拟对</w:t>
      </w:r>
      <w:r>
        <w:rPr>
          <w:rFonts w:ascii="仿宋_GB2312" w:hAnsi="仿宋_GB2312" w:cs="仿宋_GB2312" w:eastAsia="仿宋_GB2312"/>
        </w:rPr>
        <w:t>临时展览深化设计及布展项目(二次)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SXMX-BP-CS-26-002.1B1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临时展览深化设计及布展项目(二次)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西安半坡博物馆临时展览深化设计及布展项目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采购包1（临时展览深化设计及布展项目）：属于专门面向中小企业采购。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2、财务状况报告：提供2025年度经审计的财务报告，或其开标前六个月内银行出具的资信证明。（以上两种形式的资料提供任何一种即可）</w:t>
      </w:r>
    </w:p>
    <w:p>
      <w:pPr>
        <w:pStyle w:val="null3"/>
      </w:pPr>
      <w:r>
        <w:rPr>
          <w:rFonts w:ascii="仿宋_GB2312" w:hAnsi="仿宋_GB2312" w:cs="仿宋_GB2312" w:eastAsia="仿宋_GB2312"/>
        </w:rPr>
        <w:t>3、税收缴纳证明：提供2026年1月至投标文件递交截止之日已缴纳至少一个月的依法缴纳税款的相关凭据，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2026年1月至投标文件递交截止之日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6、设备和专业技术能力的承诺：提供具有履行合同所必需的设备和专业技术能力的承诺函。</w:t>
      </w:r>
    </w:p>
    <w:p>
      <w:pPr>
        <w:pStyle w:val="null3"/>
      </w:pPr>
      <w:r>
        <w:rPr>
          <w:rFonts w:ascii="仿宋_GB2312" w:hAnsi="仿宋_GB2312" w:cs="仿宋_GB2312" w:eastAsia="仿宋_GB2312"/>
        </w:rPr>
        <w:t>7、供应商身份证明文件：提供有效的法定代表人授权书及被授权人身份证。（法定代表人直接投标只须提供其身份证明）</w:t>
      </w:r>
    </w:p>
    <w:p>
      <w:pPr>
        <w:pStyle w:val="null3"/>
      </w:pPr>
      <w:r>
        <w:rPr>
          <w:rFonts w:ascii="仿宋_GB2312" w:hAnsi="仿宋_GB2312" w:cs="仿宋_GB2312" w:eastAsia="仿宋_GB2312"/>
        </w:rPr>
        <w:t>8、非联合体声明函：本项目不接受联合体投标（提供承诺函）。</w:t>
      </w:r>
    </w:p>
    <w:p>
      <w:pPr>
        <w:pStyle w:val="null3"/>
      </w:pPr>
      <w:r>
        <w:rPr>
          <w:rFonts w:ascii="仿宋_GB2312" w:hAnsi="仿宋_GB2312" w:cs="仿宋_GB2312" w:eastAsia="仿宋_GB2312"/>
        </w:rPr>
        <w:t>9、企业资质：供应商需具备建筑装修装饰工程专业承包资质贰级（含贰级）以上资质，具备有效的安全生产许可证；</w:t>
      </w:r>
    </w:p>
    <w:p>
      <w:pPr>
        <w:pStyle w:val="null3"/>
      </w:pPr>
      <w:r>
        <w:rPr>
          <w:rFonts w:ascii="仿宋_GB2312" w:hAnsi="仿宋_GB2312" w:cs="仿宋_GB2312" w:eastAsia="仿宋_GB2312"/>
        </w:rPr>
        <w:t>10、拟派项目经理：拟派项目经理具备建筑工程专业贰级及以上注册建造师资质，具备有效的安全生产考核合格证书（安全生产考核 B 类证书）；且无在建工程（提供承诺书)；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西安半坡博物馆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西安市东郊半坡路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西安半坡博物馆经办郭罗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83325353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四川铭信工程招标咨询有限公司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陕西省西安市高新区科技五路数字大厦16楼1606室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18502987004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开户名称：四川铭信工程招标咨询有限公司</w:t>
            </w:r>
          </w:p>
          <w:p>
            <w:pPr>
              <w:pStyle w:val="null3"/>
            </w:pPr>
            <w:r>
              <w:rPr>
                <w:rFonts w:ascii="仿宋_GB2312" w:hAnsi="仿宋_GB2312" w:cs="仿宋_GB2312" w:eastAsia="仿宋_GB2312"/>
              </w:rPr>
              <w:t>开户银行：成都银行高升桥支行</w:t>
            </w:r>
          </w:p>
          <w:p>
            <w:pPr>
              <w:pStyle w:val="null3"/>
            </w:pPr>
            <w:r>
              <w:rPr>
                <w:rFonts w:ascii="仿宋_GB2312" w:hAnsi="仿宋_GB2312" w:cs="仿宋_GB2312" w:eastAsia="仿宋_GB2312"/>
              </w:rPr>
              <w:t>银行账号：1001300000379923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代理服务费收费标准：采购代理服务费计算方法参考原《国家计委关于印发〈招标代理服务收费管理暂行办法〉的通知（计价格[2002]1980号）》由中标/成交供应商一次性缴纳。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西安半坡博物馆</w:t>
      </w:r>
      <w:r>
        <w:rPr>
          <w:rFonts w:ascii="仿宋_GB2312" w:hAnsi="仿宋_GB2312" w:cs="仿宋_GB2312" w:eastAsia="仿宋_GB2312"/>
        </w:rPr>
        <w:t>和</w:t>
      </w:r>
      <w:r>
        <w:rPr>
          <w:rFonts w:ascii="仿宋_GB2312" w:hAnsi="仿宋_GB2312" w:cs="仿宋_GB2312" w:eastAsia="仿宋_GB2312"/>
        </w:rPr>
        <w:t>四川铭信工程招标咨询有限公司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西安半坡博物馆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四川铭信工程招标咨询有限公司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西安半坡博物馆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四川铭信工程招标咨询有限公司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设计、布展满足国家规范行业标准及甲方要求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四川铭信工程招标咨询有限公司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四川铭信工程招标咨询有限公司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四川铭信工程招标咨询有限公司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联系人：魏颖</w:t>
      </w:r>
    </w:p>
    <w:p>
      <w:pPr>
        <w:pStyle w:val="null3"/>
      </w:pPr>
      <w:r>
        <w:rPr>
          <w:rFonts w:ascii="仿宋_GB2312" w:hAnsi="仿宋_GB2312" w:cs="仿宋_GB2312" w:eastAsia="仿宋_GB2312"/>
        </w:rPr>
        <w:t>联系电话：18502987004</w:t>
      </w:r>
    </w:p>
    <w:p>
      <w:pPr>
        <w:pStyle w:val="null3"/>
      </w:pPr>
      <w:r>
        <w:rPr>
          <w:rFonts w:ascii="仿宋_GB2312" w:hAnsi="仿宋_GB2312" w:cs="仿宋_GB2312" w:eastAsia="仿宋_GB2312"/>
        </w:rPr>
        <w:t>地址：西安市高新区科技五路数字大厦1606室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本项目为西安半坡博物馆临时展览《红山文化特展》《西安半坡博物馆馆史展》展览内容深化设计及布展项目。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836,000.00</w:t>
      </w:r>
    </w:p>
    <w:p>
      <w:pPr>
        <w:pStyle w:val="null3"/>
      </w:pPr>
      <w:r>
        <w:rPr>
          <w:rFonts w:ascii="仿宋_GB2312" w:hAnsi="仿宋_GB2312" w:cs="仿宋_GB2312" w:eastAsia="仿宋_GB2312"/>
        </w:rPr>
        <w:t>采购包最高限价（元）: 836,000.00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临时展览深化设计及布展项目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标的名称：临时展览深化设计及布展项目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00"/>
              <w:jc w:val="both"/>
            </w:pPr>
            <w:r>
              <w:rPr>
                <w:rFonts w:ascii="仿宋_GB2312" w:hAnsi="仿宋_GB2312" w:cs="仿宋_GB2312" w:eastAsia="仿宋_GB2312"/>
                <w:sz w:val="20"/>
                <w:color w:val="0000FF"/>
              </w:rPr>
              <w:t>1、</w:t>
            </w:r>
            <w:r>
              <w:rPr>
                <w:rFonts w:ascii="仿宋_GB2312" w:hAnsi="仿宋_GB2312" w:cs="仿宋_GB2312" w:eastAsia="仿宋_GB2312"/>
                <w:sz w:val="20"/>
                <w:color w:val="0000FF"/>
              </w:rPr>
              <w:t>西安半坡博物馆《红山文化特展》</w:t>
            </w:r>
          </w:p>
          <w:p>
            <w:pPr>
              <w:pStyle w:val="null3"/>
              <w:ind w:firstLine="400"/>
              <w:jc w:val="both"/>
            </w:pPr>
            <w:r>
              <w:rPr>
                <w:rFonts w:ascii="仿宋_GB2312" w:hAnsi="仿宋_GB2312" w:cs="仿宋_GB2312" w:eastAsia="仿宋_GB2312"/>
                <w:sz w:val="20"/>
                <w:color w:val="0000FF"/>
              </w:rPr>
              <w:t>包括展览设计、基础</w:t>
            </w:r>
            <w:r>
              <w:rPr>
                <w:rFonts w:ascii="仿宋_GB2312" w:hAnsi="仿宋_GB2312" w:cs="仿宋_GB2312" w:eastAsia="仿宋_GB2312"/>
                <w:sz w:val="20"/>
                <w:color w:val="0000FF"/>
              </w:rPr>
              <w:t>改造</w:t>
            </w:r>
            <w:r>
              <w:rPr>
                <w:rFonts w:ascii="仿宋_GB2312" w:hAnsi="仿宋_GB2312" w:cs="仿宋_GB2312" w:eastAsia="仿宋_GB2312"/>
                <w:sz w:val="20"/>
                <w:color w:val="0000FF"/>
              </w:rPr>
              <w:t>、陈列布展、多媒体系统工程、展览宣传物料制作等</w:t>
            </w:r>
            <w:r>
              <w:rPr>
                <w:rFonts w:ascii="仿宋_GB2312" w:hAnsi="仿宋_GB2312" w:cs="仿宋_GB2312" w:eastAsia="仿宋_GB2312"/>
                <w:sz w:val="20"/>
                <w:color w:val="0000FF"/>
              </w:rPr>
              <w:t>，</w:t>
            </w:r>
            <w:r>
              <w:rPr>
                <w:rFonts w:ascii="仿宋_GB2312" w:hAnsi="仿宋_GB2312" w:cs="仿宋_GB2312" w:eastAsia="仿宋_GB2312"/>
                <w:sz w:val="20"/>
                <w:color w:val="0000FF"/>
              </w:rPr>
              <w:t>展厅面积约</w:t>
            </w:r>
            <w:r>
              <w:rPr>
                <w:rFonts w:ascii="仿宋_GB2312" w:hAnsi="仿宋_GB2312" w:cs="仿宋_GB2312" w:eastAsia="仿宋_GB2312"/>
                <w:sz w:val="20"/>
                <w:color w:val="0000FF"/>
              </w:rPr>
              <w:t>300㎡</w:t>
            </w:r>
            <w:r>
              <w:rPr>
                <w:rFonts w:ascii="仿宋_GB2312" w:hAnsi="仿宋_GB2312" w:cs="仿宋_GB2312" w:eastAsia="仿宋_GB2312"/>
                <w:sz w:val="20"/>
                <w:color w:val="0000FF"/>
              </w:rPr>
              <w:t>；</w:t>
            </w:r>
          </w:p>
          <w:p>
            <w:pPr>
              <w:pStyle w:val="null3"/>
              <w:ind w:firstLine="400"/>
              <w:jc w:val="both"/>
            </w:pPr>
            <w:r>
              <w:rPr>
                <w:rFonts w:ascii="仿宋_GB2312" w:hAnsi="仿宋_GB2312" w:cs="仿宋_GB2312" w:eastAsia="仿宋_GB2312"/>
                <w:sz w:val="20"/>
                <w:color w:val="0000FF"/>
              </w:rPr>
              <w:t>2、</w:t>
            </w:r>
            <w:r>
              <w:rPr>
                <w:rFonts w:ascii="仿宋_GB2312" w:hAnsi="仿宋_GB2312" w:cs="仿宋_GB2312" w:eastAsia="仿宋_GB2312"/>
                <w:sz w:val="20"/>
                <w:color w:val="0000FF"/>
              </w:rPr>
              <w:t>西安半坡博物馆《馆史展》</w:t>
            </w:r>
          </w:p>
          <w:p>
            <w:pPr>
              <w:pStyle w:val="null3"/>
              <w:ind w:firstLine="400"/>
              <w:jc w:val="both"/>
            </w:pPr>
            <w:r>
              <w:rPr>
                <w:rFonts w:ascii="仿宋_GB2312" w:hAnsi="仿宋_GB2312" w:cs="仿宋_GB2312" w:eastAsia="仿宋_GB2312"/>
                <w:sz w:val="20"/>
                <w:color w:val="0000FF"/>
              </w:rPr>
              <w:t>包括展览设计、基础</w:t>
            </w:r>
            <w:r>
              <w:rPr>
                <w:rFonts w:ascii="仿宋_GB2312" w:hAnsi="仿宋_GB2312" w:cs="仿宋_GB2312" w:eastAsia="仿宋_GB2312"/>
                <w:sz w:val="20"/>
                <w:color w:val="0000FF"/>
              </w:rPr>
              <w:t>改造</w:t>
            </w:r>
            <w:r>
              <w:rPr>
                <w:rFonts w:ascii="仿宋_GB2312" w:hAnsi="仿宋_GB2312" w:cs="仿宋_GB2312" w:eastAsia="仿宋_GB2312"/>
                <w:sz w:val="20"/>
                <w:color w:val="0000FF"/>
              </w:rPr>
              <w:t>、陈列布展、多媒体系统工程、展览宣传物料制作等</w:t>
            </w:r>
            <w:r>
              <w:rPr>
                <w:rFonts w:ascii="仿宋_GB2312" w:hAnsi="仿宋_GB2312" w:cs="仿宋_GB2312" w:eastAsia="仿宋_GB2312"/>
                <w:sz w:val="20"/>
                <w:color w:val="0000FF"/>
              </w:rPr>
              <w:t>，</w:t>
            </w:r>
            <w:r>
              <w:rPr>
                <w:rFonts w:ascii="仿宋_GB2312" w:hAnsi="仿宋_GB2312" w:cs="仿宋_GB2312" w:eastAsia="仿宋_GB2312"/>
                <w:sz w:val="20"/>
                <w:color w:val="0000FF"/>
              </w:rPr>
              <w:t>展厅面积约</w:t>
            </w:r>
            <w:r>
              <w:rPr>
                <w:rFonts w:ascii="仿宋_GB2312" w:hAnsi="仿宋_GB2312" w:cs="仿宋_GB2312" w:eastAsia="仿宋_GB2312"/>
                <w:sz w:val="20"/>
                <w:color w:val="0000FF"/>
              </w:rPr>
              <w:t>100㎡。</w:t>
            </w:r>
          </w:p>
          <w:p>
            <w:pPr>
              <w:pStyle w:val="null3"/>
              <w:jc w:val="both"/>
            </w:pPr>
            <w:r>
              <w:rPr>
                <w:rFonts w:ascii="仿宋_GB2312" w:hAnsi="仿宋_GB2312" w:cs="仿宋_GB2312" w:eastAsia="仿宋_GB2312"/>
                <w:sz w:val="20"/>
                <w:b/>
                <w:color w:val="0000FF"/>
              </w:rPr>
              <w:t>二、服务要求</w:t>
            </w:r>
          </w:p>
          <w:p>
            <w:pPr>
              <w:pStyle w:val="null3"/>
              <w:ind w:firstLine="400"/>
              <w:jc w:val="both"/>
            </w:pPr>
            <w:r>
              <w:rPr>
                <w:rFonts w:ascii="仿宋_GB2312" w:hAnsi="仿宋_GB2312" w:cs="仿宋_GB2312" w:eastAsia="仿宋_GB2312"/>
                <w:sz w:val="20"/>
                <w:color w:val="0000FF"/>
              </w:rPr>
              <w:t>1、展示内容要求：</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一</w:t>
            </w:r>
            <w:r>
              <w:rPr>
                <w:rFonts w:ascii="仿宋_GB2312" w:hAnsi="仿宋_GB2312" w:cs="仿宋_GB2312" w:eastAsia="仿宋_GB2312"/>
                <w:sz w:val="20"/>
                <w:color w:val="0000FF"/>
              </w:rPr>
              <w:t>）</w:t>
            </w:r>
            <w:r>
              <w:rPr>
                <w:rFonts w:ascii="仿宋_GB2312" w:hAnsi="仿宋_GB2312" w:cs="仿宋_GB2312" w:eastAsia="仿宋_GB2312"/>
                <w:sz w:val="20"/>
                <w:color w:val="0000FF"/>
              </w:rPr>
              <w:t>红山文化是距今约</w:t>
            </w:r>
            <w:r>
              <w:rPr>
                <w:rFonts w:ascii="仿宋_GB2312" w:hAnsi="仿宋_GB2312" w:cs="仿宋_GB2312" w:eastAsia="仿宋_GB2312"/>
                <w:sz w:val="20"/>
                <w:color w:val="0000FF"/>
              </w:rPr>
              <w:t>6500—5000年的重要考古学文化，分布于西辽河流域及燕山北麓地区，是中华文明起源进程中的重要组成部分。本展览以“红山文化”为核心展示对象，以红山文化的文化特征和文明成就为主要叙事线索，同时以红山文化与仰韶文化之间的交流互动为辅助线索，展现距今五千年前中华大地不同区域文化相互交流、融合发展的历史进程。</w:t>
            </w:r>
          </w:p>
          <w:p>
            <w:pPr>
              <w:pStyle w:val="null3"/>
              <w:ind w:firstLine="400"/>
              <w:jc w:val="both"/>
            </w:pPr>
            <w:r>
              <w:rPr>
                <w:rFonts w:ascii="仿宋_GB2312" w:hAnsi="仿宋_GB2312" w:cs="仿宋_GB2312" w:eastAsia="仿宋_GB2312"/>
                <w:sz w:val="20"/>
                <w:color w:val="0000FF"/>
              </w:rPr>
              <w:t>（</w:t>
            </w:r>
            <w:r>
              <w:rPr>
                <w:rFonts w:ascii="仿宋_GB2312" w:hAnsi="仿宋_GB2312" w:cs="仿宋_GB2312" w:eastAsia="仿宋_GB2312"/>
                <w:sz w:val="20"/>
                <w:color w:val="0000FF"/>
              </w:rPr>
              <w:t>二</w:t>
            </w:r>
            <w:r>
              <w:rPr>
                <w:rFonts w:ascii="仿宋_GB2312" w:hAnsi="仿宋_GB2312" w:cs="仿宋_GB2312" w:eastAsia="仿宋_GB2312"/>
                <w:sz w:val="20"/>
                <w:color w:val="0000FF"/>
              </w:rPr>
              <w:t>）《</w:t>
            </w:r>
            <w:r>
              <w:rPr>
                <w:rFonts w:ascii="仿宋_GB2312" w:hAnsi="仿宋_GB2312" w:cs="仿宋_GB2312" w:eastAsia="仿宋_GB2312"/>
                <w:sz w:val="20"/>
                <w:color w:val="0000FF"/>
              </w:rPr>
              <w:t>馆史展</w:t>
            </w:r>
            <w:r>
              <w:rPr>
                <w:rFonts w:ascii="仿宋_GB2312" w:hAnsi="仿宋_GB2312" w:cs="仿宋_GB2312" w:eastAsia="仿宋_GB2312"/>
                <w:sz w:val="20"/>
                <w:color w:val="0000FF"/>
              </w:rPr>
              <w:t>》</w:t>
            </w:r>
            <w:r>
              <w:rPr>
                <w:rFonts w:ascii="仿宋_GB2312" w:hAnsi="仿宋_GB2312" w:cs="仿宋_GB2312" w:eastAsia="仿宋_GB2312"/>
                <w:sz w:val="20"/>
                <w:color w:val="0000FF"/>
              </w:rPr>
              <w:t>展览以</w:t>
            </w:r>
            <w:r>
              <w:rPr>
                <w:rFonts w:ascii="仿宋_GB2312" w:hAnsi="仿宋_GB2312" w:cs="仿宋_GB2312" w:eastAsia="仿宋_GB2312"/>
                <w:sz w:val="20"/>
                <w:color w:val="0000FF"/>
              </w:rPr>
              <w:t>“发展成就”为主线，以“人”为辅线，通过三大篇章，讲述从发现半坡、守望半坡再到未来半坡的光辉历程，更彰显几代半坡人“守护初心”的社会使命与精神传承，展现如何发现、保护、研究并活化这份文化遗产的过程，多维度呈现从考古发掘到国家级遗址博物馆的发展历程，还原这场属于半坡的成就旅程。</w:t>
            </w:r>
          </w:p>
          <w:p>
            <w:pPr>
              <w:pStyle w:val="null3"/>
              <w:ind w:firstLine="400"/>
              <w:jc w:val="both"/>
            </w:pPr>
            <w:r>
              <w:rPr>
                <w:rFonts w:ascii="仿宋_GB2312" w:hAnsi="仿宋_GB2312" w:cs="仿宋_GB2312" w:eastAsia="仿宋_GB2312"/>
                <w:sz w:val="20"/>
                <w:color w:val="0000FF"/>
              </w:rPr>
              <w:t>2、展陈形式要求：采用“实物+图文+多媒体”结合模式，设计在符合</w:t>
            </w:r>
            <w:r>
              <w:rPr>
                <w:rFonts w:ascii="仿宋_GB2312" w:hAnsi="仿宋_GB2312" w:cs="仿宋_GB2312" w:eastAsia="仿宋_GB2312"/>
                <w:sz w:val="20"/>
                <w:color w:val="0000FF"/>
              </w:rPr>
              <w:t>半坡博物馆</w:t>
            </w:r>
            <w:r>
              <w:rPr>
                <w:rFonts w:ascii="仿宋_GB2312" w:hAnsi="仿宋_GB2312" w:cs="仿宋_GB2312" w:eastAsia="仿宋_GB2312"/>
                <w:sz w:val="20"/>
                <w:color w:val="0000FF"/>
              </w:rPr>
              <w:t>总体基调的基础上，有创新有亮点。</w:t>
            </w:r>
          </w:p>
          <w:p>
            <w:pPr>
              <w:pStyle w:val="null3"/>
              <w:ind w:firstLine="400"/>
              <w:jc w:val="both"/>
            </w:pPr>
            <w:r>
              <w:rPr>
                <w:rFonts w:ascii="仿宋_GB2312" w:hAnsi="仿宋_GB2312" w:cs="仿宋_GB2312" w:eastAsia="仿宋_GB2312"/>
                <w:sz w:val="20"/>
                <w:color w:val="0000FF"/>
              </w:rPr>
              <w:t>3、结构安全要求：展体主体框架采用钢结构或铝合金材质，钢结构必须防锈处理，结构强度、承重性能满足设计及现场使用要求，安装牢固无松动、无晃动、无安全隐患，符合建筑结构安全相关规范标准。</w:t>
            </w:r>
          </w:p>
          <w:p>
            <w:pPr>
              <w:pStyle w:val="null3"/>
              <w:ind w:firstLine="400"/>
              <w:jc w:val="both"/>
            </w:pPr>
            <w:r>
              <w:rPr>
                <w:rFonts w:ascii="仿宋_GB2312" w:hAnsi="仿宋_GB2312" w:cs="仿宋_GB2312" w:eastAsia="仿宋_GB2312"/>
                <w:sz w:val="20"/>
                <w:color w:val="0000FF"/>
              </w:rPr>
              <w:t>4、制作工艺要求：所有制作材料符合国家环保及安全标准，户外展项采用耐候、防水、防晒、防腐材料，工艺精细，画面高清、色彩持久，造型装置还原设计效果，无开裂、变形、褪色、脱落等质量问题。</w:t>
            </w:r>
          </w:p>
          <w:p>
            <w:pPr>
              <w:pStyle w:val="null3"/>
              <w:ind w:firstLine="400"/>
              <w:jc w:val="both"/>
            </w:pPr>
            <w:r>
              <w:rPr>
                <w:rFonts w:ascii="仿宋_GB2312" w:hAnsi="仿宋_GB2312" w:cs="仿宋_GB2312" w:eastAsia="仿宋_GB2312"/>
                <w:sz w:val="20"/>
                <w:color w:val="0000FF"/>
              </w:rPr>
              <w:t>5</w:t>
            </w:r>
            <w:r>
              <w:rPr>
                <w:rFonts w:ascii="仿宋_GB2312" w:hAnsi="仿宋_GB2312" w:cs="仿宋_GB2312" w:eastAsia="仿宋_GB2312"/>
                <w:sz w:val="20"/>
                <w:color w:val="0000FF"/>
              </w:rPr>
              <w:t>、服务保障要求：供应商需按约定工期完成全部工作，展期内专人负责对接、维护，出现问题及时响应处置；撤场后彻底清理场地，无施工遗留问题，全程满足采购人现场管理要求。</w:t>
            </w:r>
          </w:p>
          <w:p>
            <w:pPr>
              <w:pStyle w:val="null3"/>
              <w:ind w:firstLine="400"/>
              <w:jc w:val="both"/>
            </w:pPr>
            <w:r>
              <w:rPr>
                <w:rFonts w:ascii="仿宋_GB2312" w:hAnsi="仿宋_GB2312" w:cs="仿宋_GB2312" w:eastAsia="仿宋_GB2312"/>
                <w:sz w:val="20"/>
                <w:color w:val="0000FF"/>
              </w:rPr>
              <w:t>6</w:t>
            </w:r>
            <w:r>
              <w:rPr>
                <w:rFonts w:ascii="仿宋_GB2312" w:hAnsi="仿宋_GB2312" w:cs="仿宋_GB2312" w:eastAsia="仿宋_GB2312"/>
                <w:sz w:val="20"/>
                <w:color w:val="0000FF"/>
              </w:rPr>
              <w:t>、供应商负责展览期间全程运维值守，定期巡检展陈设施，制定应急方案；遇突发问题及时响应、限时整改，保障展览安全正常运行，杜绝安全隐患。</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00"/>
              <w:jc w:val="both"/>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自合同签订日期起，50个日历天内完成。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西安半坡博物馆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8）设计、布展满足国家规范行业标准及甲方要求。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进度款，完成合同约定的所有工程内容，达到验收条件，验收通过后，达到付款条件起20个工作日内，支付合同总金额的50.0%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提供2026年1月至投标文件递交截止之日已缴纳至少一个月的依法缴纳税款的相关凭据，凭据应有税务机关或代收机关的公章或业务专用章。依法免税或无须缴纳税款的投标人，应提供相关证明文件。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提供2026年1月至投标文件递交截止之日已缴存的至少一个月的社会保障资金缴存单据或社保机构开具的社会保险参保缴费情况证明，依法不需要缴纳社会保障资金的单位应提供相关证明材料。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提供有效的法定代表人授权书及被授权人身份证。（法定代表人直接投标只须提供其身份证明）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供应商需具备建筑装修装饰工程专业承包资质贰级（含贰级）以上资质，具备有效的安全生产许可证；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拟派项目经理具备建筑工程专业贰级及以上注册建造师资质，具备有效的安全生产考核合格证书（安全生产考核 B 类证书）；且无在建工程（提供承诺书)；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磋商响应报价超过采购预算或者最高限价，其磋商响应文件作为无效处理。</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磋商响应文件的交货期、质保期</w:t>
            </w:r>
          </w:p>
        </w:tc>
        <w:tc>
          <w:tcPr>
            <w:tcW w:type="dxa" w:w="3322"/>
          </w:tcPr>
          <w:p>
            <w:pPr>
              <w:pStyle w:val="null3"/>
            </w:pPr>
            <w:r>
              <w:rPr>
                <w:rFonts w:ascii="仿宋_GB2312" w:hAnsi="仿宋_GB2312" w:cs="仿宋_GB2312" w:eastAsia="仿宋_GB2312"/>
              </w:rPr>
              <w:t>磋商响应文件的交货期、质保期不满足招标文件要求，其投标文件作为无效处理。</w:t>
            </w:r>
          </w:p>
        </w:tc>
        <w:tc>
          <w:tcPr>
            <w:tcW w:type="dxa" w:w="1661"/>
          </w:tcPr>
          <w:p>
            <w:pPr>
              <w:pStyle w:val="null3"/>
            </w:pPr>
            <w:r>
              <w:rPr>
                <w:rFonts w:ascii="仿宋_GB2312" w:hAnsi="仿宋_GB2312" w:cs="仿宋_GB2312" w:eastAsia="仿宋_GB2312"/>
              </w:rPr>
              <w:t>响应文件封面 服务内容及服务要求应答表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磋商响应文件的签署、盖章不符合竞争性磋商文件要求，其磋商响应文件作为无效处理。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磋商响应文件无响应有效期或有效期达不到磋商文件要求的，其磋商响应文件作为无效处理。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磋商响应文件含有采购人不能接受的附加条件的，其磋商响应文件作为无效处理。</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存在法律、法规和磋商文件规定的其他无效情形，其磋商响应文件作为无效处理。</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一、评审内容：供应商针对本项目的理解程度，内容包含：①项目背景、内容及意义的理解；②项目重点难点分析及应对措施。 二、评审标准：1、完整性：方案（内容）非常全面，对评审内容中的各项要求有详细描述；2、针对性：方案（内容）能够紧扣项目实际情况，内容科学合理。 三、赋分标准（满分6分）：每个评审项满分3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一、评审内容：供应商针对本项目提供完善的设计方案，内容包含： ①馆内展览设计理念；②馆内展览空间规划、展线设计；③馆内展览设计风格及深化设计效果图；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4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一、评审内容：供应商针对本项目提供项目实施方案，内容包含：①布展总体实施方案；②装修施工方案；③多媒体系统布置方案；④场景搭建方案；⑤陈列布展方案；⑥数字化展示方案。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一、评审内容：供应商针对本项目提供服务保障措施，内容包含：①服务质量保障措施：质量目标管理体系及施工质量控制措施、服务质量承诺；②进度保障措施：进度计划安排、进度保障方案；③服务承诺。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安全文明施工及环保措施</w:t>
            </w:r>
          </w:p>
        </w:tc>
        <w:tc>
          <w:tcPr>
            <w:tcW w:type="dxa" w:w="2492"/>
          </w:tcPr>
          <w:p>
            <w:pPr>
              <w:pStyle w:val="null3"/>
            </w:pPr>
            <w:r>
              <w:rPr>
                <w:rFonts w:ascii="仿宋_GB2312" w:hAnsi="仿宋_GB2312" w:cs="仿宋_GB2312" w:eastAsia="仿宋_GB2312"/>
              </w:rPr>
              <w:t>一、评审内容 供应商针对本项目提供安全文明施工及环保措施，内容包含：①安全管理制度；②安全施工措施；③文明施工及环境保护措施。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编制的应急方案，内容包含：①应急响应时效；②应急响应保障方案和人员。二、评审标准：1、完整性：方案（内容）非常全面，对评审内容中的各项要求有详细描述；2、可实施性：切合本项目实际情况，提出步骤清晰、合理的方案（内容）；3、针对性：方案（内容）能够紧扣项目实际情况，内容科学合理。三、赋分标准（满分4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一、评审内容：供应商针对本项目提供的团队人员配备方案，内容包含：①团队组织架构及岗位责任制度；②岗位设置及工作分工。 二、评审标准：1、完整性：人员配备方案（内容）非常全面，对评审内容中的各项要求有详细描述；2、可实施性：切合本项目实际情况，提出步骤清晰、合理的方案（内容）；3、针对性：方案（内容）能够紧扣项目实际情况，内容科学合理。 三、赋分标准（满分4分）：每个评审项满分2分，每完全满足一个评审标准得1分，针对每条评审标准，如内容不完整或不符合实际要求或不满足实施要求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除法律规定或合同另有约定外，供应商及其工作人员应对与采购单位有关文档资料、商业秘密及采购单位要求保密的其他信息严格保密，在未征得采购单位书面同意的情况下，不得向第三方透露。提供承诺函及相应措施得3分。未提供或提供不全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团队实力</w:t>
            </w:r>
          </w:p>
        </w:tc>
        <w:tc>
          <w:tcPr>
            <w:tcW w:type="dxa" w:w="2492"/>
          </w:tcPr>
          <w:p>
            <w:pPr>
              <w:pStyle w:val="null3"/>
            </w:pPr>
            <w:r>
              <w:rPr>
                <w:rFonts w:ascii="仿宋_GB2312" w:hAnsi="仿宋_GB2312" w:cs="仿宋_GB2312" w:eastAsia="仿宋_GB2312"/>
              </w:rPr>
              <w:t>1、拟派的设计负责人具有本科及以上学历的2分、具有中级及以上技术职称得2分；满分4分，提供证书复印件，未提供不得分。 2、团队人员（不含项目经理、设计负责人、）：团队人员具备与本项目相关的中级工程师及以上职称证书，每提供一个证书得1分，满分3分。 注：拟派人员须为供应商本单位人员，提供以上人员开标前半年内任意一个月社保证明、身份证和相应专业职称证书或注册证书，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2021年1月1日至今完成过类似项目的业绩。每提供一份得4分，最多得20分。业绩证明以加盖单位公章的合同复印件为准，日期以合同签订日期为准。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