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900CC1">
      <w:pPr>
        <w:pStyle w:val="11"/>
      </w:pPr>
      <w:r>
        <w:rPr>
          <w:rFonts w:ascii="仿宋_GB2312" w:hAnsi="仿宋_GB2312" w:eastAsia="仿宋_GB2312" w:cs="仿宋_GB2312"/>
        </w:rPr>
        <w:t>采购包1：</w:t>
      </w:r>
    </w:p>
    <w:p w14:paraId="22943A4C">
      <w:pPr>
        <w:pStyle w:val="11"/>
      </w:pPr>
      <w:r>
        <w:rPr>
          <w:rFonts w:ascii="仿宋_GB2312" w:hAnsi="仿宋_GB2312" w:eastAsia="仿宋_GB2312" w:cs="仿宋_GB2312"/>
        </w:rPr>
        <w:t>标的名称：</w:t>
      </w:r>
      <w:r>
        <w:rPr>
          <w:rFonts w:hint="eastAsia" w:ascii="仿宋_GB2312" w:hAnsi="仿宋_GB2312" w:eastAsia="仿宋_GB2312" w:cs="仿宋_GB2312"/>
        </w:rPr>
        <w:t>陕西省西安中学公寓楼水房改造及校舍维修</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05"/>
        <w:gridCol w:w="1125"/>
        <w:gridCol w:w="6377"/>
      </w:tblGrid>
      <w:tr w14:paraId="6F0CE8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5" w:type="dxa"/>
          </w:tcPr>
          <w:p w14:paraId="489D9EA6">
            <w:pPr>
              <w:pStyle w:val="11"/>
            </w:pPr>
            <w:r>
              <w:rPr>
                <w:rFonts w:ascii="仿宋_GB2312" w:hAnsi="仿宋_GB2312" w:eastAsia="仿宋_GB2312" w:cs="仿宋_GB2312"/>
              </w:rPr>
              <w:t xml:space="preserve"> 序号</w:t>
            </w:r>
          </w:p>
        </w:tc>
        <w:tc>
          <w:tcPr>
            <w:tcW w:w="1125" w:type="dxa"/>
          </w:tcPr>
          <w:p w14:paraId="2B64EB76">
            <w:pPr>
              <w:pStyle w:val="11"/>
            </w:pPr>
            <w:r>
              <w:rPr>
                <w:rFonts w:ascii="仿宋_GB2312" w:hAnsi="仿宋_GB2312" w:eastAsia="仿宋_GB2312" w:cs="仿宋_GB2312"/>
              </w:rPr>
              <w:t xml:space="preserve"> 参数性质</w:t>
            </w:r>
          </w:p>
        </w:tc>
        <w:tc>
          <w:tcPr>
            <w:tcW w:w="6377" w:type="dxa"/>
          </w:tcPr>
          <w:p w14:paraId="1CA5B88D">
            <w:pPr>
              <w:pStyle w:val="11"/>
            </w:pPr>
            <w:r>
              <w:rPr>
                <w:rFonts w:ascii="仿宋_GB2312" w:hAnsi="仿宋_GB2312" w:eastAsia="仿宋_GB2312" w:cs="仿宋_GB2312"/>
              </w:rPr>
              <w:t xml:space="preserve"> 技术参数与性能指标</w:t>
            </w:r>
          </w:p>
        </w:tc>
      </w:tr>
      <w:tr w14:paraId="2D6C87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5" w:type="dxa"/>
          </w:tcPr>
          <w:p w14:paraId="4D1D7B71">
            <w:pPr>
              <w:pStyle w:val="11"/>
            </w:pPr>
            <w:r>
              <w:rPr>
                <w:rFonts w:ascii="仿宋_GB2312" w:hAnsi="仿宋_GB2312" w:eastAsia="仿宋_GB2312" w:cs="仿宋_GB2312"/>
              </w:rPr>
              <w:t>1</w:t>
            </w:r>
          </w:p>
        </w:tc>
        <w:tc>
          <w:tcPr>
            <w:tcW w:w="1125" w:type="dxa"/>
          </w:tcPr>
          <w:p w14:paraId="08298D07"/>
        </w:tc>
        <w:tc>
          <w:tcPr>
            <w:tcW w:w="6377" w:type="dxa"/>
          </w:tcPr>
          <w:p w14:paraId="3085960E">
            <w:pPr>
              <w:pStyle w:val="11"/>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因系统格式原因，本项目最高限价实际为1395355.88元。</w:t>
            </w:r>
          </w:p>
          <w:p w14:paraId="06E631C9">
            <w:pPr>
              <w:pStyle w:val="11"/>
              <w:rPr>
                <w:rFonts w:hint="eastAsia" w:ascii="仿宋_GB2312" w:hAnsi="仿宋_GB2312" w:eastAsia="仿宋_GB2312" w:cs="仿宋_GB2312"/>
                <w:b/>
                <w:bCs/>
                <w:highlight w:val="none"/>
              </w:rPr>
            </w:pPr>
            <w:r>
              <w:rPr>
                <w:rFonts w:hint="eastAsia" w:ascii="仿宋_GB2312" w:hAnsi="仿宋_GB2312" w:eastAsia="仿宋_GB2312" w:cs="仿宋_GB2312"/>
                <w:b/>
                <w:bCs/>
                <w:highlight w:val="none"/>
                <w:lang w:val="en-US" w:eastAsia="zh-CN"/>
              </w:rPr>
              <w:t>一、</w:t>
            </w:r>
            <w:r>
              <w:rPr>
                <w:rFonts w:hint="eastAsia" w:ascii="仿宋_GB2312" w:hAnsi="仿宋_GB2312" w:eastAsia="仿宋_GB2312" w:cs="仿宋_GB2312"/>
                <w:b/>
                <w:bCs/>
                <w:highlight w:val="none"/>
              </w:rPr>
              <w:t>工程概况</w:t>
            </w:r>
          </w:p>
          <w:p w14:paraId="119C6C05">
            <w:pPr>
              <w:pStyle w:val="11"/>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陕西省西安中学公寓楼水房改造及校舍维修项目，位于陕西省西安中学院内。拟对教学楼、行政楼、男生宿舍一、二号楼及女生宿舍一、二号楼进行维修改造。</w:t>
            </w:r>
          </w:p>
          <w:p w14:paraId="405D973F">
            <w:pPr>
              <w:pStyle w:val="11"/>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二、编制范围</w:t>
            </w:r>
          </w:p>
          <w:p w14:paraId="4EC8E4E3">
            <w:pPr>
              <w:pStyle w:val="11"/>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设计改造范围内的全部工程。其中：男生宿舍二号楼5、6层水房进行改造，增加淋浴功能，重新改造给排水；男生宿舍一号楼更换1-6层宿舍门，男生宿舍一、二号楼及女生宿舍一、二号楼墙、顶面乳胶漆部分修补粉刷，楼地面地砖修补维修，卫生间吊顶及隔断维修；教学楼、行政楼墙、顶面乳胶漆部分修补粉刷等。</w:t>
            </w:r>
          </w:p>
          <w:p w14:paraId="6781A18E">
            <w:pPr>
              <w:pStyle w:val="11"/>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三、编制依据</w:t>
            </w:r>
            <w:bookmarkStart w:id="1" w:name="_GoBack"/>
            <w:bookmarkEnd w:id="1"/>
          </w:p>
          <w:p w14:paraId="2FA8E8C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textAlignment w:val="auto"/>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1、陕西省西安中学公寓楼水房改造及校舍维修项目专项资金项目申请书，项目设计资料；</w:t>
            </w:r>
          </w:p>
          <w:p w14:paraId="7761528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2、陕建管发【2025】10号文；</w:t>
            </w:r>
          </w:p>
          <w:p w14:paraId="6BFA1015">
            <w:pPr>
              <w:pStyle w:val="1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3、《陕西省建设工程工程量清单计价计算标准（2025）》、《陕西省房屋建筑与装饰工程基价表》（2025）、《陕西省安装工程基价表》（2025）及其配套文件中工程量计算办法；</w:t>
            </w:r>
          </w:p>
          <w:p w14:paraId="5BC4C473">
            <w:pPr>
              <w:pStyle w:val="1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4、材料价依据2026年6月陕西省信息价及市场价计入；</w:t>
            </w:r>
          </w:p>
          <w:p w14:paraId="52688E49">
            <w:pPr>
              <w:pStyle w:val="1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5、现场情况、工程特点及常规施工方案等。</w:t>
            </w:r>
          </w:p>
          <w:p w14:paraId="430EBA8B">
            <w:pPr>
              <w:pStyle w:val="11"/>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四、其他说明：</w:t>
            </w:r>
          </w:p>
          <w:p w14:paraId="78E85FC5">
            <w:pPr>
              <w:pStyle w:val="11"/>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1、计价软件采用广联达软件7.5000.23.3版本；</w:t>
            </w:r>
          </w:p>
          <w:p w14:paraId="34681B50">
            <w:pPr>
              <w:pStyle w:val="11"/>
              <w:rPr>
                <w:rFonts w:hint="default" w:ascii="仿宋_GB2312" w:hAnsi="仿宋_GB2312" w:cs="仿宋_GB2312" w:eastAsiaTheme="minorEastAsia"/>
                <w:b/>
                <w:bCs/>
                <w:color w:val="FF0000"/>
                <w:highlight w:val="none"/>
                <w:lang w:val="en-US" w:eastAsia="zh-CN"/>
              </w:rPr>
            </w:pPr>
            <w:r>
              <w:rPr>
                <w:rFonts w:hint="eastAsia" w:ascii="仿宋_GB2312" w:hAnsi="仿宋_GB2312" w:eastAsia="仿宋_GB2312" w:cs="仿宋_GB2312"/>
                <w:highlight w:val="none"/>
                <w:lang w:val="en-US" w:eastAsia="zh-CN"/>
              </w:rPr>
              <w:t>2、本项目暂列金额10万元，投标限价编制费4800元，均计入装饰工程其他项目费中。投标限价编制费由中标人向对应单位支付。</w:t>
            </w:r>
          </w:p>
          <w:p w14:paraId="2F98C631">
            <w:pPr>
              <w:pStyle w:val="11"/>
              <w:rPr>
                <w:rFonts w:ascii="仿宋_GB2312" w:hAnsi="仿宋_GB2312" w:eastAsia="仿宋_GB2312" w:cs="仿宋_GB2312"/>
                <w:sz w:val="21"/>
              </w:rPr>
            </w:pPr>
            <w:r>
              <w:rPr>
                <w:rFonts w:hint="eastAsia" w:ascii="仿宋_GB2312" w:hAnsi="仿宋_GB2312" w:eastAsia="仿宋_GB2312" w:cs="仿宋_GB2312"/>
                <w:b/>
                <w:bCs/>
                <w:sz w:val="21"/>
                <w:lang w:val="en-US" w:eastAsia="zh-CN"/>
              </w:rPr>
              <w:t>五</w:t>
            </w:r>
            <w:r>
              <w:rPr>
                <w:rFonts w:ascii="仿宋_GB2312" w:hAnsi="仿宋_GB2312" w:eastAsia="仿宋_GB2312" w:cs="仿宋_GB2312"/>
                <w:b/>
                <w:bCs/>
                <w:sz w:val="21"/>
              </w:rPr>
              <w:t>、工程量清单：</w:t>
            </w:r>
            <w:r>
              <w:rPr>
                <w:rFonts w:ascii="仿宋_GB2312" w:hAnsi="仿宋_GB2312" w:eastAsia="仿宋_GB2312" w:cs="仿宋_GB2312"/>
                <w:sz w:val="21"/>
              </w:rPr>
              <w:t>见附件</w:t>
            </w:r>
          </w:p>
          <w:p w14:paraId="1AE5BCCA">
            <w:pPr>
              <w:pStyle w:val="11"/>
              <w:rPr>
                <w:rFonts w:ascii="仿宋_GB2312" w:hAnsi="仿宋_GB2312" w:eastAsia="仿宋_GB2312" w:cs="仿宋_GB2312"/>
                <w:sz w:val="21"/>
              </w:rPr>
            </w:pPr>
          </w:p>
          <w:p w14:paraId="591436C9">
            <w:pPr>
              <w:pStyle w:val="11"/>
            </w:pPr>
            <w:r>
              <w:rPr>
                <w:rFonts w:hint="eastAsia" w:ascii="仿宋_GB2312" w:hAnsi="仿宋_GB2312" w:eastAsia="仿宋_GB2312" w:cs="仿宋_GB2312"/>
                <w:b/>
                <w:bCs/>
                <w:lang w:val="en-US" w:eastAsia="zh-CN"/>
              </w:rPr>
              <w:t>★六</w:t>
            </w:r>
            <w:r>
              <w:rPr>
                <w:rFonts w:ascii="仿宋_GB2312" w:hAnsi="仿宋_GB2312" w:eastAsia="仿宋_GB2312" w:cs="仿宋_GB2312"/>
                <w:b/>
                <w:bCs/>
              </w:rPr>
              <w:t>、</w:t>
            </w:r>
            <w:r>
              <w:rPr>
                <w:rFonts w:hint="eastAsia" w:ascii="仿宋_GB2312" w:hAnsi="仿宋_GB2312" w:eastAsia="仿宋_GB2312" w:cs="仿宋_GB2312"/>
                <w:b/>
                <w:bCs/>
                <w:lang w:val="en-US" w:eastAsia="zh-CN"/>
              </w:rPr>
              <w:t>商务</w:t>
            </w:r>
            <w:r>
              <w:rPr>
                <w:rFonts w:ascii="仿宋_GB2312" w:hAnsi="仿宋_GB2312" w:eastAsia="仿宋_GB2312" w:cs="仿宋_GB2312"/>
                <w:b/>
                <w:bCs/>
              </w:rPr>
              <w:t>要求</w:t>
            </w:r>
          </w:p>
          <w:tbl>
            <w:tblPr>
              <w:tblStyle w:val="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2"/>
              <w:gridCol w:w="1369"/>
              <w:gridCol w:w="4429"/>
            </w:tblGrid>
            <w:tr w14:paraId="39042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 w:type="pct"/>
                  <w:tcMar>
                    <w:top w:w="0" w:type="dxa"/>
                    <w:left w:w="105" w:type="dxa"/>
                    <w:bottom w:w="0" w:type="dxa"/>
                    <w:right w:w="105" w:type="dxa"/>
                  </w:tcMar>
                  <w:vAlign w:val="top"/>
                </w:tcPr>
                <w:p w14:paraId="214A1EAC">
                  <w:pPr>
                    <w:pStyle w:val="11"/>
                    <w:jc w:val="center"/>
                    <w:rPr>
                      <w:highlight w:val="none"/>
                    </w:rPr>
                  </w:pPr>
                  <w:r>
                    <w:rPr>
                      <w:rFonts w:ascii="仿宋_GB2312" w:hAnsi="仿宋_GB2312" w:eastAsia="仿宋_GB2312" w:cs="仿宋_GB2312"/>
                      <w:sz w:val="19"/>
                      <w:highlight w:val="none"/>
                    </w:rPr>
                    <w:t>序号</w:t>
                  </w:r>
                </w:p>
              </w:tc>
              <w:tc>
                <w:tcPr>
                  <w:tcW w:w="4713" w:type="pct"/>
                  <w:gridSpan w:val="2"/>
                  <w:tcMar>
                    <w:top w:w="0" w:type="dxa"/>
                    <w:left w:w="105" w:type="dxa"/>
                    <w:bottom w:w="0" w:type="dxa"/>
                    <w:right w:w="105" w:type="dxa"/>
                  </w:tcMar>
                  <w:vAlign w:val="top"/>
                </w:tcPr>
                <w:p w14:paraId="0D515002">
                  <w:pPr>
                    <w:pStyle w:val="11"/>
                    <w:jc w:val="center"/>
                    <w:rPr>
                      <w:highlight w:val="none"/>
                    </w:rPr>
                  </w:pPr>
                  <w:r>
                    <w:rPr>
                      <w:rFonts w:ascii="仿宋_GB2312" w:hAnsi="仿宋_GB2312" w:eastAsia="仿宋_GB2312" w:cs="仿宋_GB2312"/>
                      <w:sz w:val="19"/>
                      <w:highlight w:val="none"/>
                    </w:rPr>
                    <w:t>项目要求</w:t>
                  </w:r>
                </w:p>
              </w:tc>
            </w:tr>
            <w:tr w14:paraId="734D0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 w:type="pct"/>
                  <w:tcMar>
                    <w:top w:w="0" w:type="dxa"/>
                    <w:left w:w="105" w:type="dxa"/>
                    <w:bottom w:w="0" w:type="dxa"/>
                    <w:right w:w="105" w:type="dxa"/>
                  </w:tcMar>
                  <w:vAlign w:val="top"/>
                </w:tcPr>
                <w:p w14:paraId="3F97F16F">
                  <w:pPr>
                    <w:pStyle w:val="11"/>
                    <w:jc w:val="center"/>
                    <w:rPr>
                      <w:highlight w:val="none"/>
                    </w:rPr>
                  </w:pPr>
                  <w:r>
                    <w:rPr>
                      <w:rFonts w:ascii="仿宋_GB2312" w:hAnsi="仿宋_GB2312" w:eastAsia="仿宋_GB2312" w:cs="仿宋_GB2312"/>
                      <w:sz w:val="19"/>
                      <w:highlight w:val="none"/>
                    </w:rPr>
                    <w:t>1</w:t>
                  </w:r>
                </w:p>
              </w:tc>
              <w:tc>
                <w:tcPr>
                  <w:tcW w:w="1113" w:type="pct"/>
                  <w:tcMar>
                    <w:top w:w="0" w:type="dxa"/>
                    <w:left w:w="105" w:type="dxa"/>
                    <w:bottom w:w="0" w:type="dxa"/>
                    <w:right w:w="105" w:type="dxa"/>
                  </w:tcMar>
                  <w:vAlign w:val="top"/>
                </w:tcPr>
                <w:p w14:paraId="1EE11C12">
                  <w:pPr>
                    <w:pStyle w:val="11"/>
                    <w:jc w:val="center"/>
                    <w:rPr>
                      <w:highlight w:val="none"/>
                    </w:rPr>
                  </w:pPr>
                  <w:r>
                    <w:rPr>
                      <w:rFonts w:ascii="仿宋_GB2312" w:hAnsi="仿宋_GB2312" w:eastAsia="仿宋_GB2312" w:cs="仿宋_GB2312"/>
                      <w:sz w:val="19"/>
                      <w:highlight w:val="none"/>
                    </w:rPr>
                    <w:t>付款方式</w:t>
                  </w:r>
                </w:p>
              </w:tc>
              <w:tc>
                <w:tcPr>
                  <w:tcW w:w="3599" w:type="pct"/>
                  <w:tcMar>
                    <w:top w:w="0" w:type="dxa"/>
                    <w:left w:w="105" w:type="dxa"/>
                    <w:bottom w:w="0" w:type="dxa"/>
                    <w:right w:w="105" w:type="dxa"/>
                  </w:tcMar>
                  <w:vAlign w:val="top"/>
                </w:tcPr>
                <w:p w14:paraId="14B2FF0A">
                  <w:pPr>
                    <w:pStyle w:val="11"/>
                    <w:rPr>
                      <w:highlight w:val="none"/>
                    </w:rPr>
                  </w:pPr>
                  <w:r>
                    <w:rPr>
                      <w:rFonts w:ascii="仿宋_GB2312" w:hAnsi="仿宋_GB2312" w:eastAsia="仿宋_GB2312" w:cs="仿宋_GB2312"/>
                      <w:sz w:val="19"/>
                      <w:highlight w:val="none"/>
                    </w:rPr>
                    <w:t>1、付款方式</w:t>
                  </w:r>
                </w:p>
                <w:p w14:paraId="55FB15FD">
                  <w:pPr>
                    <w:pStyle w:val="11"/>
                    <w:rPr>
                      <w:highlight w:val="none"/>
                    </w:rPr>
                  </w:pPr>
                  <w:r>
                    <w:rPr>
                      <w:rFonts w:ascii="仿宋_GB2312" w:hAnsi="仿宋_GB2312" w:eastAsia="仿宋_GB2312" w:cs="仿宋_GB2312"/>
                      <w:sz w:val="19"/>
                      <w:highlight w:val="none"/>
                    </w:rPr>
                    <w:t>（1）合同签订后支付合同金额的</w:t>
                  </w:r>
                  <w:r>
                    <w:rPr>
                      <w:rFonts w:hint="eastAsia" w:ascii="仿宋_GB2312" w:hAnsi="仿宋_GB2312" w:eastAsia="仿宋_GB2312" w:cs="仿宋_GB2312"/>
                      <w:sz w:val="19"/>
                      <w:highlight w:val="none"/>
                      <w:lang w:val="en-US" w:eastAsia="zh-CN"/>
                    </w:rPr>
                    <w:t>40</w:t>
                  </w:r>
                  <w:r>
                    <w:rPr>
                      <w:rFonts w:ascii="仿宋_GB2312" w:hAnsi="仿宋_GB2312" w:eastAsia="仿宋_GB2312" w:cs="仿宋_GB2312"/>
                      <w:sz w:val="19"/>
                      <w:highlight w:val="none"/>
                    </w:rPr>
                    <w:t>％作为预付工程款；</w:t>
                  </w:r>
                </w:p>
                <w:p w14:paraId="49F66405">
                  <w:pPr>
                    <w:pStyle w:val="11"/>
                    <w:rPr>
                      <w:highlight w:val="none"/>
                    </w:rPr>
                  </w:pPr>
                  <w:r>
                    <w:rPr>
                      <w:rFonts w:ascii="仿宋_GB2312" w:hAnsi="仿宋_GB2312" w:eastAsia="仿宋_GB2312" w:cs="仿宋_GB2312"/>
                      <w:sz w:val="19"/>
                      <w:highlight w:val="none"/>
                    </w:rPr>
                    <w:t>（2）工程竣工验收合格后（提供全部项目资料）支付合同金额的</w:t>
                  </w:r>
                  <w:r>
                    <w:rPr>
                      <w:rFonts w:hint="eastAsia" w:ascii="仿宋_GB2312" w:hAnsi="仿宋_GB2312" w:eastAsia="仿宋_GB2312" w:cs="仿宋_GB2312"/>
                      <w:sz w:val="19"/>
                      <w:highlight w:val="none"/>
                      <w:lang w:val="en-US" w:eastAsia="zh-CN"/>
                    </w:rPr>
                    <w:t>40</w:t>
                  </w:r>
                  <w:r>
                    <w:rPr>
                      <w:rFonts w:ascii="仿宋_GB2312" w:hAnsi="仿宋_GB2312" w:eastAsia="仿宋_GB2312" w:cs="仿宋_GB2312"/>
                      <w:sz w:val="19"/>
                      <w:highlight w:val="none"/>
                    </w:rPr>
                    <w:t>%工程款；</w:t>
                  </w:r>
                </w:p>
                <w:p w14:paraId="7D167901">
                  <w:pPr>
                    <w:pStyle w:val="11"/>
                    <w:rPr>
                      <w:highlight w:val="none"/>
                    </w:rPr>
                  </w:pPr>
                  <w:r>
                    <w:rPr>
                      <w:rFonts w:ascii="仿宋_GB2312" w:hAnsi="仿宋_GB2312" w:eastAsia="仿宋_GB2312" w:cs="仿宋_GB2312"/>
                      <w:sz w:val="19"/>
                      <w:highlight w:val="none"/>
                    </w:rPr>
                    <w:t>（3）经审计部门审定后支付至审定总价款的100%。</w:t>
                  </w:r>
                </w:p>
                <w:p w14:paraId="441401E3">
                  <w:pPr>
                    <w:pStyle w:val="11"/>
                    <w:rPr>
                      <w:highlight w:val="none"/>
                    </w:rPr>
                  </w:pPr>
                  <w:r>
                    <w:rPr>
                      <w:rFonts w:ascii="仿宋_GB2312" w:hAnsi="仿宋_GB2312" w:eastAsia="仿宋_GB2312" w:cs="仿宋_GB2312"/>
                      <w:sz w:val="19"/>
                      <w:highlight w:val="none"/>
                    </w:rPr>
                    <w:t>2、本项目采用固定综合单价合同。</w:t>
                  </w:r>
                </w:p>
              </w:tc>
            </w:tr>
            <w:tr w14:paraId="1C575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 w:type="pct"/>
                  <w:tcMar>
                    <w:top w:w="0" w:type="dxa"/>
                    <w:left w:w="105" w:type="dxa"/>
                    <w:bottom w:w="0" w:type="dxa"/>
                    <w:right w:w="105" w:type="dxa"/>
                  </w:tcMar>
                  <w:vAlign w:val="top"/>
                </w:tcPr>
                <w:p w14:paraId="3812487D">
                  <w:pPr>
                    <w:pStyle w:val="11"/>
                    <w:jc w:val="center"/>
                    <w:rPr>
                      <w:highlight w:val="none"/>
                    </w:rPr>
                  </w:pPr>
                  <w:r>
                    <w:rPr>
                      <w:rFonts w:ascii="仿宋_GB2312" w:hAnsi="仿宋_GB2312" w:eastAsia="仿宋_GB2312" w:cs="仿宋_GB2312"/>
                      <w:sz w:val="19"/>
                      <w:highlight w:val="none"/>
                    </w:rPr>
                    <w:t>2</w:t>
                  </w:r>
                </w:p>
              </w:tc>
              <w:tc>
                <w:tcPr>
                  <w:tcW w:w="1113" w:type="pct"/>
                  <w:tcMar>
                    <w:top w:w="0" w:type="dxa"/>
                    <w:left w:w="105" w:type="dxa"/>
                    <w:bottom w:w="0" w:type="dxa"/>
                    <w:right w:w="105" w:type="dxa"/>
                  </w:tcMar>
                  <w:vAlign w:val="top"/>
                </w:tcPr>
                <w:p w14:paraId="1C86A518">
                  <w:pPr>
                    <w:pStyle w:val="11"/>
                    <w:jc w:val="center"/>
                    <w:rPr>
                      <w:highlight w:val="none"/>
                    </w:rPr>
                  </w:pPr>
                  <w:r>
                    <w:rPr>
                      <w:rFonts w:ascii="仿宋_GB2312" w:hAnsi="仿宋_GB2312" w:eastAsia="仿宋_GB2312" w:cs="仿宋_GB2312"/>
                      <w:sz w:val="19"/>
                      <w:highlight w:val="none"/>
                    </w:rPr>
                    <w:t>项目完工期</w:t>
                  </w:r>
                </w:p>
              </w:tc>
              <w:tc>
                <w:tcPr>
                  <w:tcW w:w="3599" w:type="pct"/>
                  <w:tcMar>
                    <w:top w:w="0" w:type="dxa"/>
                    <w:left w:w="105" w:type="dxa"/>
                    <w:bottom w:w="0" w:type="dxa"/>
                    <w:right w:w="105" w:type="dxa"/>
                  </w:tcMar>
                  <w:vAlign w:val="top"/>
                </w:tcPr>
                <w:p w14:paraId="09AEB9CA">
                  <w:pPr>
                    <w:pStyle w:val="11"/>
                    <w:rPr>
                      <w:rFonts w:hint="eastAsia" w:eastAsia="仿宋_GB2312"/>
                      <w:highlight w:val="none"/>
                      <w:lang w:eastAsia="zh-CN"/>
                    </w:rPr>
                  </w:pPr>
                  <w:r>
                    <w:rPr>
                      <w:rFonts w:ascii="仿宋_GB2312" w:hAnsi="仿宋_GB2312" w:eastAsia="仿宋_GB2312" w:cs="仿宋_GB2312"/>
                      <w:sz w:val="19"/>
                      <w:highlight w:val="none"/>
                    </w:rPr>
                    <w:t>合同签订之日起</w:t>
                  </w:r>
                  <w:r>
                    <w:rPr>
                      <w:rFonts w:hint="eastAsia" w:ascii="仿宋_GB2312" w:hAnsi="仿宋_GB2312" w:eastAsia="仿宋_GB2312" w:cs="仿宋_GB2312"/>
                      <w:sz w:val="19"/>
                      <w:highlight w:val="none"/>
                      <w:lang w:val="en-US" w:eastAsia="zh-CN"/>
                    </w:rPr>
                    <w:t>30</w:t>
                  </w:r>
                  <w:r>
                    <w:rPr>
                      <w:rFonts w:ascii="仿宋_GB2312" w:hAnsi="仿宋_GB2312" w:eastAsia="仿宋_GB2312" w:cs="仿宋_GB2312"/>
                      <w:sz w:val="19"/>
                      <w:highlight w:val="none"/>
                    </w:rPr>
                    <w:t>日历天内完成。</w:t>
                  </w:r>
                </w:p>
              </w:tc>
            </w:tr>
            <w:tr w14:paraId="6D382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 w:type="pct"/>
                  <w:tcMar>
                    <w:top w:w="0" w:type="dxa"/>
                    <w:left w:w="105" w:type="dxa"/>
                    <w:bottom w:w="0" w:type="dxa"/>
                    <w:right w:w="105" w:type="dxa"/>
                  </w:tcMar>
                  <w:vAlign w:val="top"/>
                </w:tcPr>
                <w:p w14:paraId="11C3BE7F">
                  <w:pPr>
                    <w:pStyle w:val="11"/>
                    <w:jc w:val="center"/>
                    <w:rPr>
                      <w:highlight w:val="none"/>
                    </w:rPr>
                  </w:pPr>
                  <w:r>
                    <w:rPr>
                      <w:rFonts w:ascii="仿宋_GB2312" w:hAnsi="仿宋_GB2312" w:eastAsia="仿宋_GB2312" w:cs="仿宋_GB2312"/>
                      <w:sz w:val="19"/>
                      <w:highlight w:val="none"/>
                    </w:rPr>
                    <w:t>3</w:t>
                  </w:r>
                </w:p>
              </w:tc>
              <w:tc>
                <w:tcPr>
                  <w:tcW w:w="1113" w:type="pct"/>
                  <w:tcMar>
                    <w:top w:w="0" w:type="dxa"/>
                    <w:left w:w="105" w:type="dxa"/>
                    <w:bottom w:w="0" w:type="dxa"/>
                    <w:right w:w="105" w:type="dxa"/>
                  </w:tcMar>
                  <w:vAlign w:val="top"/>
                </w:tcPr>
                <w:p w14:paraId="27536420">
                  <w:pPr>
                    <w:pStyle w:val="11"/>
                    <w:jc w:val="center"/>
                    <w:rPr>
                      <w:highlight w:val="none"/>
                    </w:rPr>
                  </w:pPr>
                  <w:r>
                    <w:rPr>
                      <w:rFonts w:ascii="仿宋_GB2312" w:hAnsi="仿宋_GB2312" w:eastAsia="仿宋_GB2312" w:cs="仿宋_GB2312"/>
                      <w:sz w:val="19"/>
                      <w:highlight w:val="none"/>
                    </w:rPr>
                    <w:t>质保期</w:t>
                  </w:r>
                </w:p>
              </w:tc>
              <w:tc>
                <w:tcPr>
                  <w:tcW w:w="3599" w:type="pct"/>
                  <w:tcMar>
                    <w:top w:w="0" w:type="dxa"/>
                    <w:left w:w="105" w:type="dxa"/>
                    <w:bottom w:w="0" w:type="dxa"/>
                    <w:right w:w="105" w:type="dxa"/>
                  </w:tcMar>
                  <w:vAlign w:val="top"/>
                </w:tcPr>
                <w:p w14:paraId="433C52D2">
                  <w:pPr>
                    <w:pStyle w:val="11"/>
                    <w:rPr>
                      <w:rFonts w:hint="eastAsia" w:eastAsia="仿宋_GB2312"/>
                      <w:highlight w:val="none"/>
                      <w:lang w:eastAsia="zh-CN"/>
                    </w:rPr>
                  </w:pPr>
                  <w:r>
                    <w:rPr>
                      <w:rFonts w:ascii="仿宋_GB2312" w:hAnsi="仿宋_GB2312" w:eastAsia="仿宋_GB2312" w:cs="仿宋_GB2312"/>
                      <w:sz w:val="19"/>
                      <w:highlight w:val="none"/>
                    </w:rPr>
                    <w:t>自项目竣工验收合格之日起</w:t>
                  </w:r>
                  <w:r>
                    <w:rPr>
                      <w:rFonts w:hint="eastAsia" w:ascii="仿宋_GB2312" w:hAnsi="仿宋_GB2312" w:eastAsia="仿宋_GB2312" w:cs="仿宋_GB2312"/>
                      <w:sz w:val="19"/>
                      <w:highlight w:val="none"/>
                    </w:rPr>
                    <w:t>维修改造部分2年，防水部分5年</w:t>
                  </w:r>
                  <w:r>
                    <w:rPr>
                      <w:rFonts w:hint="eastAsia" w:ascii="仿宋_GB2312" w:hAnsi="仿宋_GB2312" w:eastAsia="仿宋_GB2312" w:cs="仿宋_GB2312"/>
                      <w:sz w:val="19"/>
                      <w:highlight w:val="none"/>
                      <w:lang w:eastAsia="zh-CN"/>
                    </w:rPr>
                    <w:t>。</w:t>
                  </w:r>
                </w:p>
              </w:tc>
            </w:tr>
          </w:tbl>
          <w:p w14:paraId="3356F003">
            <w:pPr>
              <w:pStyle w:val="11"/>
              <w:rPr>
                <w:rFonts w:hint="eastAsia" w:ascii="仿宋_GB2312" w:hAnsi="仿宋_GB2312" w:eastAsia="仿宋_GB2312" w:cs="仿宋_GB2312"/>
                <w:sz w:val="19"/>
                <w:highlight w:val="yellow"/>
              </w:rPr>
            </w:pPr>
          </w:p>
          <w:p w14:paraId="2B239B0C">
            <w:pPr>
              <w:pStyle w:val="11"/>
              <w:rPr>
                <w:rFonts w:hint="eastAsia" w:ascii="仿宋_GB2312" w:hAnsi="仿宋_GB2312" w:eastAsia="仿宋_GB2312" w:cs="仿宋_GB2312"/>
                <w:sz w:val="21"/>
                <w:lang w:val="en-US" w:eastAsia="zh-CN"/>
              </w:rPr>
            </w:pPr>
            <w:r>
              <w:rPr>
                <w:rFonts w:hint="eastAsia" w:ascii="仿宋_GB2312" w:hAnsi="仿宋_GB2312" w:eastAsia="仿宋_GB2312" w:cs="仿宋_GB2312"/>
                <w:sz w:val="19"/>
                <w:highlight w:val="none"/>
              </w:rPr>
              <w:t>本项目竣工结算审计费用由成交供应商负责（费用标准为：陕价行发〔2014〕88号执行标准下浮20%），供应商应在本项目报价中包含此部分内容。</w:t>
            </w:r>
          </w:p>
        </w:tc>
      </w:tr>
    </w:tbl>
    <w:p w14:paraId="524ADEBA">
      <w:pPr>
        <w:pStyle w:val="11"/>
      </w:pPr>
      <w:r>
        <w:rPr>
          <w:rFonts w:ascii="仿宋_GB2312" w:hAnsi="仿宋_GB2312" w:eastAsia="仿宋_GB2312" w:cs="仿宋_GB2312"/>
        </w:rPr>
        <w:t>采购包2：</w:t>
      </w:r>
    </w:p>
    <w:p w14:paraId="5537A0FC">
      <w:pPr>
        <w:pStyle w:val="11"/>
      </w:pPr>
      <w:r>
        <w:rPr>
          <w:rFonts w:ascii="仿宋_GB2312" w:hAnsi="仿宋_GB2312" w:eastAsia="仿宋_GB2312" w:cs="仿宋_GB2312"/>
        </w:rPr>
        <w:t>标的名称：</w:t>
      </w:r>
      <w:r>
        <w:rPr>
          <w:rFonts w:hint="eastAsia" w:ascii="仿宋_GB2312" w:hAnsi="仿宋_GB2312" w:eastAsia="仿宋_GB2312" w:cs="仿宋_GB2312"/>
        </w:rPr>
        <w:t>陕西省西安中学教学培训楼提升改造</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30"/>
        <w:gridCol w:w="834"/>
        <w:gridCol w:w="6943"/>
      </w:tblGrid>
      <w:tr w14:paraId="74925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0" w:type="dxa"/>
          </w:tcPr>
          <w:p w14:paraId="0B6247C6">
            <w:pPr>
              <w:pStyle w:val="11"/>
            </w:pPr>
            <w:r>
              <w:rPr>
                <w:rFonts w:ascii="仿宋_GB2312" w:hAnsi="仿宋_GB2312" w:eastAsia="仿宋_GB2312" w:cs="仿宋_GB2312"/>
              </w:rPr>
              <w:t>序号</w:t>
            </w:r>
          </w:p>
        </w:tc>
        <w:tc>
          <w:tcPr>
            <w:tcW w:w="834" w:type="dxa"/>
          </w:tcPr>
          <w:p w14:paraId="6881D4F9">
            <w:pPr>
              <w:pStyle w:val="11"/>
              <w:rPr>
                <w:rFonts w:ascii="仿宋_GB2312" w:hAnsi="仿宋_GB2312" w:eastAsia="仿宋_GB2312" w:cs="仿宋_GB2312"/>
              </w:rPr>
            </w:pPr>
            <w:r>
              <w:rPr>
                <w:rFonts w:ascii="仿宋_GB2312" w:hAnsi="仿宋_GB2312" w:eastAsia="仿宋_GB2312" w:cs="仿宋_GB2312"/>
              </w:rPr>
              <w:t>参数</w:t>
            </w:r>
          </w:p>
          <w:p w14:paraId="209EE538">
            <w:pPr>
              <w:pStyle w:val="11"/>
            </w:pPr>
            <w:r>
              <w:rPr>
                <w:rFonts w:ascii="仿宋_GB2312" w:hAnsi="仿宋_GB2312" w:eastAsia="仿宋_GB2312" w:cs="仿宋_GB2312"/>
              </w:rPr>
              <w:t>性质</w:t>
            </w:r>
          </w:p>
        </w:tc>
        <w:tc>
          <w:tcPr>
            <w:tcW w:w="6943" w:type="dxa"/>
          </w:tcPr>
          <w:p w14:paraId="14D5EA6E">
            <w:pPr>
              <w:pStyle w:val="11"/>
            </w:pPr>
            <w:r>
              <w:rPr>
                <w:rFonts w:ascii="仿宋_GB2312" w:hAnsi="仿宋_GB2312" w:eastAsia="仿宋_GB2312" w:cs="仿宋_GB2312"/>
              </w:rPr>
              <w:t xml:space="preserve"> 技术参数与性能指标</w:t>
            </w:r>
          </w:p>
        </w:tc>
      </w:tr>
      <w:tr w14:paraId="47E73D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0" w:type="dxa"/>
          </w:tcPr>
          <w:p w14:paraId="286BDE9A">
            <w:pPr>
              <w:pStyle w:val="11"/>
            </w:pPr>
            <w:r>
              <w:rPr>
                <w:rFonts w:ascii="仿宋_GB2312" w:hAnsi="仿宋_GB2312" w:eastAsia="仿宋_GB2312" w:cs="仿宋_GB2312"/>
              </w:rPr>
              <w:t>1</w:t>
            </w:r>
          </w:p>
        </w:tc>
        <w:tc>
          <w:tcPr>
            <w:tcW w:w="834" w:type="dxa"/>
          </w:tcPr>
          <w:p w14:paraId="66BBBB55"/>
        </w:tc>
        <w:tc>
          <w:tcPr>
            <w:tcW w:w="6943" w:type="dxa"/>
          </w:tcPr>
          <w:p w14:paraId="6A7E7AA6">
            <w:pPr>
              <w:keepNext w:val="0"/>
              <w:keepLines w:val="0"/>
              <w:pageBreakBefore w:val="0"/>
              <w:kinsoku/>
              <w:wordWrap/>
              <w:overflowPunct/>
              <w:topLinePunct w:val="0"/>
              <w:autoSpaceDE/>
              <w:autoSpaceDN/>
              <w:bidi w:val="0"/>
              <w:adjustRightInd w:val="0"/>
              <w:snapToGrid w:val="0"/>
              <w:spacing w:line="360" w:lineRule="auto"/>
              <w:ind w:right="0" w:rightChars="0"/>
              <w:textAlignment w:val="auto"/>
              <w:rPr>
                <w:rFonts w:hint="eastAsia" w:ascii="仿宋_GB2312" w:hAnsi="仿宋_GB2312" w:eastAsia="仿宋_GB2312" w:cs="仿宋_GB2312"/>
                <w:kern w:val="0"/>
                <w:sz w:val="20"/>
                <w:szCs w:val="20"/>
                <w:highlight w:val="none"/>
                <w:lang w:val="en-US" w:eastAsia="zh-CN"/>
              </w:rPr>
            </w:pPr>
            <w:r>
              <w:rPr>
                <w:rFonts w:hint="eastAsia" w:ascii="仿宋_GB2312" w:hAnsi="仿宋_GB2312" w:eastAsia="仿宋_GB2312" w:cs="仿宋_GB2312"/>
                <w:kern w:val="0"/>
                <w:sz w:val="20"/>
                <w:szCs w:val="20"/>
                <w:highlight w:val="none"/>
                <w:lang w:val="en-US" w:eastAsia="zh-CN"/>
              </w:rPr>
              <w:t>因系统格式原因，本项目最高限价实际为1599699.39元。</w:t>
            </w:r>
          </w:p>
          <w:p w14:paraId="7BE8C253">
            <w:pPr>
              <w:keepNext w:val="0"/>
              <w:keepLines w:val="0"/>
              <w:pageBreakBefore w:val="0"/>
              <w:numPr>
                <w:ilvl w:val="0"/>
                <w:numId w:val="0"/>
              </w:numPr>
              <w:tabs>
                <w:tab w:val="left" w:pos="540"/>
                <w:tab w:val="left" w:pos="720"/>
              </w:tabs>
              <w:kinsoku/>
              <w:wordWrap/>
              <w:overflowPunct/>
              <w:topLinePunct w:val="0"/>
              <w:autoSpaceDE/>
              <w:autoSpaceDN/>
              <w:bidi w:val="0"/>
              <w:spacing w:line="360" w:lineRule="auto"/>
              <w:ind w:right="0" w:rightChars="0"/>
              <w:jc w:val="left"/>
              <w:textAlignment w:val="auto"/>
              <w:rPr>
                <w:rFonts w:hint="eastAsia" w:ascii="仿宋" w:hAnsi="仿宋" w:eastAsia="仿宋" w:cs="仿宋"/>
                <w:b/>
                <w:bCs/>
                <w:sz w:val="20"/>
                <w:szCs w:val="20"/>
                <w:highlight w:val="none"/>
                <w:lang w:val="en-US" w:eastAsia="zh-CN"/>
              </w:rPr>
            </w:pPr>
            <w:r>
              <w:rPr>
                <w:rFonts w:hint="eastAsia" w:ascii="仿宋" w:hAnsi="仿宋" w:eastAsia="仿宋" w:cs="仿宋"/>
                <w:b/>
                <w:bCs/>
                <w:kern w:val="2"/>
                <w:sz w:val="20"/>
                <w:szCs w:val="20"/>
                <w:lang w:val="en-US" w:eastAsia="zh-CN" w:bidi="ar-SA"/>
              </w:rPr>
              <w:t>一、</w:t>
            </w:r>
            <w:r>
              <w:rPr>
                <w:rFonts w:hint="eastAsia" w:ascii="仿宋" w:hAnsi="仿宋" w:eastAsia="仿宋" w:cs="仿宋"/>
                <w:b/>
                <w:bCs/>
                <w:sz w:val="20"/>
                <w:szCs w:val="20"/>
                <w:highlight w:val="none"/>
                <w:lang w:val="en-US" w:eastAsia="zh-CN"/>
              </w:rPr>
              <w:t>项目概况</w:t>
            </w:r>
          </w:p>
          <w:p w14:paraId="7552755C">
            <w:pPr>
              <w:keepNext w:val="0"/>
              <w:keepLines w:val="0"/>
              <w:pageBreakBefore w:val="0"/>
              <w:kinsoku/>
              <w:wordWrap/>
              <w:overflowPunct/>
              <w:topLinePunct w:val="0"/>
              <w:autoSpaceDE/>
              <w:autoSpaceDN/>
              <w:bidi w:val="0"/>
              <w:adjustRightInd w:val="0"/>
              <w:snapToGrid w:val="0"/>
              <w:spacing w:line="360" w:lineRule="auto"/>
              <w:ind w:left="0" w:right="0" w:rightChars="0" w:firstLine="400" w:firstLineChars="200"/>
              <w:textAlignment w:val="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1、项目名称：陕西省西安中学教学培训楼提升改造；</w:t>
            </w:r>
          </w:p>
          <w:p w14:paraId="1A9999CF">
            <w:pPr>
              <w:keepNext w:val="0"/>
              <w:keepLines w:val="0"/>
              <w:pageBreakBefore w:val="0"/>
              <w:kinsoku/>
              <w:wordWrap/>
              <w:overflowPunct/>
              <w:topLinePunct w:val="0"/>
              <w:autoSpaceDE/>
              <w:autoSpaceDN/>
              <w:bidi w:val="0"/>
              <w:adjustRightInd w:val="0"/>
              <w:snapToGrid w:val="0"/>
              <w:spacing w:line="360" w:lineRule="auto"/>
              <w:ind w:left="0" w:right="0" w:rightChars="0" w:firstLine="400" w:firstLineChars="200"/>
              <w:textAlignment w:val="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2、工程地址：陕西省西安市；</w:t>
            </w:r>
          </w:p>
          <w:p w14:paraId="0569CC7A">
            <w:pPr>
              <w:keepNext w:val="0"/>
              <w:keepLines w:val="0"/>
              <w:pageBreakBefore w:val="0"/>
              <w:kinsoku/>
              <w:wordWrap/>
              <w:overflowPunct/>
              <w:topLinePunct w:val="0"/>
              <w:autoSpaceDE/>
              <w:autoSpaceDN/>
              <w:bidi w:val="0"/>
              <w:adjustRightInd w:val="0"/>
              <w:snapToGrid w:val="0"/>
              <w:spacing w:line="360" w:lineRule="auto"/>
              <w:ind w:left="0" w:right="0" w:rightChars="0" w:firstLine="400" w:firstLineChars="200"/>
              <w:textAlignment w:val="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3、建设单位：陕西省西安中学</w:t>
            </w:r>
          </w:p>
          <w:p w14:paraId="630F1327">
            <w:pPr>
              <w:keepNext w:val="0"/>
              <w:keepLines w:val="0"/>
              <w:pageBreakBefore w:val="0"/>
              <w:kinsoku/>
              <w:wordWrap/>
              <w:overflowPunct/>
              <w:topLinePunct w:val="0"/>
              <w:autoSpaceDE/>
              <w:autoSpaceDN/>
              <w:bidi w:val="0"/>
              <w:adjustRightInd w:val="0"/>
              <w:snapToGrid w:val="0"/>
              <w:spacing w:line="360" w:lineRule="auto"/>
              <w:ind w:left="0" w:right="0" w:rightChars="0" w:firstLine="400" w:firstLineChars="200"/>
              <w:textAlignment w:val="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4、改造面积：1,523.53m²。</w:t>
            </w:r>
          </w:p>
          <w:p w14:paraId="77B1A030">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b/>
                <w:bCs/>
                <w:sz w:val="20"/>
                <w:szCs w:val="20"/>
              </w:rPr>
            </w:pPr>
            <w:r>
              <w:rPr>
                <w:rFonts w:hint="eastAsia" w:ascii="仿宋" w:hAnsi="仿宋" w:eastAsia="仿宋" w:cs="仿宋"/>
                <w:b/>
                <w:color w:val="auto"/>
                <w:sz w:val="20"/>
                <w:szCs w:val="20"/>
                <w:lang w:val="en-US" w:eastAsia="zh-CN"/>
              </w:rPr>
              <w:t>二、</w:t>
            </w:r>
            <w:r>
              <w:rPr>
                <w:rFonts w:hint="eastAsia" w:ascii="仿宋" w:hAnsi="仿宋" w:eastAsia="仿宋" w:cs="仿宋"/>
                <w:b/>
                <w:bCs/>
                <w:sz w:val="20"/>
                <w:szCs w:val="20"/>
              </w:rPr>
              <w:t>编制范围</w:t>
            </w:r>
          </w:p>
          <w:p w14:paraId="56591446">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1、装饰：室内墙面涂料老化剥落、地面磨损严重；卫生间防水层老化，存在渗漏隐患；室内空间布局不尽合理，部分区域功能划分不够明确，无法满足现代教学需求。</w:t>
            </w:r>
          </w:p>
          <w:p w14:paraId="52C4B5F0">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2、给排水：原有给排水管道老化锈蚀，跑冒滴漏现象频发；卫生洁具老化，部分区域排水不畅，尤其卫生间存在返味、堵塞等问题。</w:t>
            </w:r>
          </w:p>
          <w:p w14:paraId="5F5C911E">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3、电气：原电气线路老化严重，且原设计容量偏低，随着现代教学设备（智慧黑板、投影仪等）大量增加，跳闸停电时有发生；照明系统仍以传统荧光灯为主，照度不均、频闪严重，影响学生视力健康。</w:t>
            </w:r>
          </w:p>
          <w:p w14:paraId="414C3B0F">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4、暖通： 根据需求重新布局后，部分教室缺乏有效的空调设施，且年限较长，管道具有腐蚀现象，原安装的空调已超期服役、效果不佳。</w:t>
            </w:r>
          </w:p>
          <w:p w14:paraId="72C186F7">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b/>
                <w:bCs/>
                <w:color w:val="auto"/>
                <w:kern w:val="2"/>
                <w:sz w:val="20"/>
                <w:szCs w:val="20"/>
                <w:highlight w:val="none"/>
                <w:lang w:val="en-US" w:eastAsia="zh-CN" w:bidi="ar-SA"/>
              </w:rPr>
            </w:pPr>
            <w:r>
              <w:rPr>
                <w:rFonts w:hint="eastAsia" w:ascii="仿宋" w:hAnsi="仿宋" w:eastAsia="仿宋" w:cs="仿宋"/>
                <w:b/>
                <w:bCs/>
                <w:color w:val="auto"/>
                <w:kern w:val="2"/>
                <w:sz w:val="20"/>
                <w:szCs w:val="20"/>
                <w:highlight w:val="none"/>
                <w:lang w:val="en-US" w:eastAsia="zh-CN" w:bidi="ar-SA"/>
              </w:rPr>
              <w:t>三、建筑装修的范围及主要内容</w:t>
            </w:r>
          </w:p>
          <w:p w14:paraId="09115DF8">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本项目为陕西省西安中学教学培训楼提升改造工程，因教室需求变动，需提升空间改造教学教室使用，改造范围包括室内装饰、给排水、暖通及电气进行提升改造，旨在为师生营造安全、健康、舒适、节能的校园环境。</w:t>
            </w:r>
          </w:p>
          <w:p w14:paraId="0E7066B5">
            <w:pPr>
              <w:keepNext w:val="0"/>
              <w:keepLines w:val="0"/>
              <w:pageBreakBefore w:val="0"/>
              <w:numPr>
                <w:ilvl w:val="0"/>
                <w:numId w:val="1"/>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装饰：</w:t>
            </w:r>
          </w:p>
          <w:p w14:paraId="1574EA01">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① 培训楼1~4层提升改造设计（墙、顶面翻新，地面更换）。</w:t>
            </w:r>
          </w:p>
          <w:p w14:paraId="5D33434C">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② 楼梯间一层楼梯下增加库房。</w:t>
            </w:r>
          </w:p>
          <w:p w14:paraId="296F26E5">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③ 更换木门，更换走廊窗套（黑色不锈钢窗套），教室、办公室更换为石材窗台</w:t>
            </w:r>
          </w:p>
          <w:p w14:paraId="22570CFC">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2、给排水：</w:t>
            </w:r>
          </w:p>
          <w:p w14:paraId="41409FF8">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① 卫生间提升改造（墙顶地、隔断、洁具）。</w:t>
            </w:r>
          </w:p>
          <w:p w14:paraId="0B01EAAC">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② 拆除原有的给排水管网，新做给排水管道。</w:t>
            </w:r>
          </w:p>
          <w:p w14:paraId="52B1880E">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③ 根据学生人数扩大卫生间范围。</w:t>
            </w:r>
          </w:p>
          <w:p w14:paraId="54F22B06">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3、电气：</w:t>
            </w:r>
          </w:p>
          <w:p w14:paraId="0582C52E">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① 只改造培训楼内常规的配电系统及照明系统，不改变原消防系统。</w:t>
            </w:r>
          </w:p>
          <w:p w14:paraId="6E8652C5">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②拆除原有的老旧电路，新做电路。</w:t>
            </w:r>
          </w:p>
          <w:p w14:paraId="563A1A29">
            <w:pPr>
              <w:keepNext w:val="0"/>
              <w:keepLines w:val="0"/>
              <w:pageBreakBefore w:val="0"/>
              <w:numPr>
                <w:ilvl w:val="0"/>
                <w:numId w:val="2"/>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暖通：</w:t>
            </w:r>
          </w:p>
          <w:p w14:paraId="50ED6BAF">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① 新做四出风机盘管空调制冷系统+电辅热的空调形式。</w:t>
            </w:r>
          </w:p>
          <w:p w14:paraId="6BEEDDAB">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② 卫生间设独立的机械排风系统。</w:t>
            </w:r>
          </w:p>
          <w:p w14:paraId="2860C8ED">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55" w:firstLineChars="228"/>
              <w:textAlignment w:val="auto"/>
              <w:rPr>
                <w:rFonts w:hint="eastAsia" w:ascii="仿宋" w:hAnsi="仿宋" w:eastAsia="仿宋" w:cs="仿宋"/>
                <w:color w:val="auto"/>
                <w:kern w:val="2"/>
                <w:sz w:val="20"/>
                <w:szCs w:val="20"/>
                <w:highlight w:val="yellow"/>
                <w:lang w:val="en-US" w:eastAsia="zh-CN" w:bidi="ar-SA"/>
              </w:rPr>
            </w:pPr>
            <w:r>
              <w:rPr>
                <w:rFonts w:hint="eastAsia" w:ascii="仿宋" w:hAnsi="仿宋" w:eastAsia="仿宋" w:cs="仿宋"/>
                <w:color w:val="auto"/>
                <w:kern w:val="2"/>
                <w:sz w:val="20"/>
                <w:szCs w:val="20"/>
                <w:highlight w:val="none"/>
                <w:lang w:val="en-US" w:eastAsia="zh-CN" w:bidi="ar-SA"/>
              </w:rPr>
              <w:t>③ 拆除原风机盘管及空调管道。</w:t>
            </w:r>
          </w:p>
          <w:p w14:paraId="0BF352EE">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textAlignment w:val="auto"/>
              <w:rPr>
                <w:rFonts w:hint="eastAsia" w:ascii="仿宋" w:hAnsi="仿宋" w:eastAsia="仿宋" w:cs="仿宋"/>
                <w:b/>
                <w:color w:val="auto"/>
                <w:sz w:val="20"/>
                <w:szCs w:val="20"/>
              </w:rPr>
            </w:pPr>
            <w:r>
              <w:rPr>
                <w:rFonts w:hint="eastAsia" w:ascii="仿宋" w:hAnsi="仿宋" w:eastAsia="仿宋" w:cs="仿宋"/>
                <w:b/>
                <w:color w:val="auto"/>
                <w:sz w:val="20"/>
                <w:szCs w:val="20"/>
                <w:lang w:val="en-US" w:eastAsia="zh-CN"/>
              </w:rPr>
              <w:t>四、</w:t>
            </w:r>
            <w:r>
              <w:rPr>
                <w:rFonts w:hint="eastAsia" w:ascii="仿宋" w:hAnsi="仿宋" w:eastAsia="仿宋" w:cs="仿宋"/>
                <w:b/>
                <w:color w:val="auto"/>
                <w:sz w:val="20"/>
                <w:szCs w:val="20"/>
              </w:rPr>
              <w:t>编制依据</w:t>
            </w:r>
          </w:p>
          <w:p w14:paraId="14F82BF7">
            <w:pPr>
              <w:keepNext w:val="0"/>
              <w:keepLines w:val="0"/>
              <w:pageBreakBefore w:val="0"/>
              <w:numPr>
                <w:ilvl w:val="0"/>
                <w:numId w:val="0"/>
              </w:numPr>
              <w:kinsoku/>
              <w:wordWrap/>
              <w:overflowPunct/>
              <w:topLinePunct w:val="0"/>
              <w:autoSpaceDE/>
              <w:autoSpaceDN/>
              <w:bidi w:val="0"/>
              <w:adjustRightInd w:val="0"/>
              <w:snapToGrid w:val="0"/>
              <w:spacing w:line="360" w:lineRule="auto"/>
              <w:ind w:left="559" w:leftChars="266" w:right="0" w:rightChars="0" w:firstLine="0" w:firstLineChars="0"/>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b w:val="0"/>
                <w:bCs/>
                <w:color w:val="auto"/>
                <w:sz w:val="20"/>
                <w:szCs w:val="20"/>
                <w:lang w:val="en-US" w:eastAsia="zh-CN"/>
              </w:rPr>
              <w:t>1、</w:t>
            </w:r>
            <w:r>
              <w:rPr>
                <w:rFonts w:hint="eastAsia" w:ascii="仿宋" w:hAnsi="仿宋" w:eastAsia="仿宋" w:cs="仿宋"/>
                <w:color w:val="auto"/>
                <w:sz w:val="20"/>
                <w:szCs w:val="20"/>
                <w:highlight w:val="none"/>
                <w:lang w:val="en-US" w:eastAsia="zh-CN"/>
              </w:rPr>
              <w:t>陕西省西安中学教学培训楼提升改造项目甲方需求</w:t>
            </w:r>
            <w:r>
              <w:rPr>
                <w:rFonts w:hint="eastAsia" w:ascii="仿宋" w:hAnsi="仿宋" w:eastAsia="仿宋" w:cs="仿宋"/>
                <w:color w:val="auto"/>
                <w:kern w:val="2"/>
                <w:sz w:val="20"/>
                <w:szCs w:val="20"/>
                <w:highlight w:val="none"/>
                <w:lang w:val="en-US" w:eastAsia="zh-CN" w:bidi="ar-SA"/>
              </w:rPr>
              <w:t>；</w:t>
            </w:r>
          </w:p>
          <w:p w14:paraId="1DE7BFB3">
            <w:pPr>
              <w:keepNext w:val="0"/>
              <w:keepLines w:val="0"/>
              <w:pageBreakBefore w:val="0"/>
              <w:numPr>
                <w:ilvl w:val="0"/>
                <w:numId w:val="0"/>
              </w:numPr>
              <w:kinsoku/>
              <w:wordWrap/>
              <w:overflowPunct/>
              <w:topLinePunct w:val="0"/>
              <w:autoSpaceDE/>
              <w:autoSpaceDN/>
              <w:bidi w:val="0"/>
              <w:adjustRightInd w:val="0"/>
              <w:snapToGrid w:val="0"/>
              <w:spacing w:line="360" w:lineRule="auto"/>
              <w:ind w:left="559" w:leftChars="266" w:right="0" w:rightChars="0" w:firstLine="0" w:firstLineChars="0"/>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2、《陕西省建设工程计价标准》（2025）；</w:t>
            </w:r>
          </w:p>
          <w:p w14:paraId="6279F251">
            <w:pPr>
              <w:keepNext w:val="0"/>
              <w:keepLines w:val="0"/>
              <w:pageBreakBefore w:val="0"/>
              <w:numPr>
                <w:ilvl w:val="0"/>
                <w:numId w:val="0"/>
              </w:numPr>
              <w:kinsoku/>
              <w:wordWrap/>
              <w:overflowPunct/>
              <w:topLinePunct w:val="0"/>
              <w:autoSpaceDE/>
              <w:autoSpaceDN/>
              <w:bidi w:val="0"/>
              <w:adjustRightInd w:val="0"/>
              <w:snapToGrid w:val="0"/>
              <w:spacing w:line="360" w:lineRule="auto"/>
              <w:ind w:left="559" w:leftChars="266" w:right="0" w:rightChars="0" w:firstLine="0" w:firstLineChars="0"/>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3、《陕西房屋建筑与装饰工程工程量计算标准》（2025）、《陕西省通用安装工程工程量计算标准》（2025）、《陕西省市政工程工程量计算标准》（2025）；</w:t>
            </w:r>
          </w:p>
          <w:p w14:paraId="55E6892F">
            <w:pPr>
              <w:keepNext w:val="0"/>
              <w:keepLines w:val="0"/>
              <w:pageBreakBefore w:val="0"/>
              <w:numPr>
                <w:ilvl w:val="0"/>
                <w:numId w:val="0"/>
              </w:numPr>
              <w:kinsoku/>
              <w:wordWrap/>
              <w:overflowPunct/>
              <w:topLinePunct w:val="0"/>
              <w:autoSpaceDE/>
              <w:autoSpaceDN/>
              <w:bidi w:val="0"/>
              <w:adjustRightInd w:val="0"/>
              <w:snapToGrid w:val="0"/>
              <w:spacing w:line="360" w:lineRule="auto"/>
              <w:ind w:left="559" w:leftChars="266" w:right="0" w:rightChars="0" w:firstLine="0" w:firstLineChars="0"/>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4、《陕西省建设工程费用定额》（2025）；</w:t>
            </w:r>
          </w:p>
          <w:p w14:paraId="6BD9EFEF">
            <w:pPr>
              <w:keepNext w:val="0"/>
              <w:keepLines w:val="0"/>
              <w:pageBreakBefore w:val="0"/>
              <w:numPr>
                <w:ilvl w:val="0"/>
                <w:numId w:val="0"/>
              </w:numPr>
              <w:kinsoku/>
              <w:wordWrap/>
              <w:overflowPunct/>
              <w:topLinePunct w:val="0"/>
              <w:autoSpaceDE/>
              <w:autoSpaceDN/>
              <w:bidi w:val="0"/>
              <w:adjustRightInd w:val="0"/>
              <w:snapToGrid w:val="0"/>
              <w:spacing w:line="360" w:lineRule="auto"/>
              <w:ind w:left="559" w:leftChars="266" w:right="0" w:rightChars="0" w:firstLine="0" w:firstLineChars="0"/>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5、建设工程设计文件及相关资料；</w:t>
            </w:r>
          </w:p>
          <w:p w14:paraId="3001AD94">
            <w:pPr>
              <w:keepNext w:val="0"/>
              <w:keepLines w:val="0"/>
              <w:pageBreakBefore w:val="0"/>
              <w:numPr>
                <w:ilvl w:val="0"/>
                <w:numId w:val="0"/>
              </w:numPr>
              <w:kinsoku/>
              <w:wordWrap/>
              <w:overflowPunct/>
              <w:topLinePunct w:val="0"/>
              <w:autoSpaceDE/>
              <w:autoSpaceDN/>
              <w:bidi w:val="0"/>
              <w:adjustRightInd w:val="0"/>
              <w:snapToGrid w:val="0"/>
              <w:spacing w:line="360" w:lineRule="auto"/>
              <w:ind w:left="559" w:leftChars="266" w:right="0" w:rightChars="0" w:firstLine="0" w:firstLineChars="0"/>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6、与建设工程有关的标准、规范及技术资料；</w:t>
            </w:r>
          </w:p>
          <w:p w14:paraId="3EA656EC">
            <w:pPr>
              <w:keepNext w:val="0"/>
              <w:keepLines w:val="0"/>
              <w:pageBreakBefore w:val="0"/>
              <w:numPr>
                <w:ilvl w:val="0"/>
                <w:numId w:val="0"/>
              </w:numPr>
              <w:kinsoku/>
              <w:wordWrap/>
              <w:overflowPunct/>
              <w:topLinePunct w:val="0"/>
              <w:autoSpaceDE/>
              <w:autoSpaceDN/>
              <w:bidi w:val="0"/>
              <w:adjustRightInd w:val="0"/>
              <w:snapToGrid w:val="0"/>
              <w:spacing w:line="360" w:lineRule="auto"/>
              <w:ind w:left="559" w:leftChars="266" w:right="0" w:rightChars="0" w:firstLine="0" w:firstLineChars="0"/>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7、主要材料、设备优先参照2026年第6月《陕西工程造价管理信息（材料信息价）》，信息价没有的材料参照市场询价计入，但信息价与市场价差异较大的以市场价计入；</w:t>
            </w:r>
          </w:p>
          <w:p w14:paraId="27545C39">
            <w:pPr>
              <w:keepNext w:val="0"/>
              <w:keepLines w:val="0"/>
              <w:pageBreakBefore w:val="0"/>
              <w:numPr>
                <w:ilvl w:val="0"/>
                <w:numId w:val="0"/>
              </w:numPr>
              <w:kinsoku/>
              <w:wordWrap/>
              <w:overflowPunct/>
              <w:topLinePunct w:val="0"/>
              <w:autoSpaceDE/>
              <w:autoSpaceDN/>
              <w:bidi w:val="0"/>
              <w:adjustRightInd w:val="0"/>
              <w:snapToGrid w:val="0"/>
              <w:spacing w:line="360" w:lineRule="auto"/>
              <w:ind w:left="559" w:leftChars="266" w:right="0" w:rightChars="0" w:firstLine="0" w:firstLineChars="0"/>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8、本清单所提供工程项目特征仅表达了主要工程做法，组价时应依据设计图纸、相关图集，结合招标文件，合同条款，技术规范、图纸、答疑纪要等进行组价；</w:t>
            </w:r>
          </w:p>
          <w:p w14:paraId="5922F01E">
            <w:pPr>
              <w:keepNext w:val="0"/>
              <w:keepLines w:val="0"/>
              <w:pageBreakBefore w:val="0"/>
              <w:numPr>
                <w:ilvl w:val="0"/>
                <w:numId w:val="0"/>
              </w:numPr>
              <w:kinsoku/>
              <w:wordWrap/>
              <w:overflowPunct/>
              <w:topLinePunct w:val="0"/>
              <w:autoSpaceDE/>
              <w:autoSpaceDN/>
              <w:bidi w:val="0"/>
              <w:adjustRightInd w:val="0"/>
              <w:snapToGrid w:val="0"/>
              <w:spacing w:line="360" w:lineRule="auto"/>
              <w:ind w:left="559" w:leftChars="266" w:right="0" w:rightChars="0" w:firstLine="0" w:firstLineChars="0"/>
              <w:textAlignment w:val="auto"/>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9、其他相关资料。</w:t>
            </w:r>
          </w:p>
          <w:p w14:paraId="33E4166E">
            <w:pPr>
              <w:keepNext w:val="0"/>
              <w:keepLines w:val="0"/>
              <w:pageBreakBefore w:val="0"/>
              <w:widowControl w:val="0"/>
              <w:tabs>
                <w:tab w:val="left" w:pos="540"/>
                <w:tab w:val="left" w:pos="720"/>
              </w:tabs>
              <w:kinsoku/>
              <w:wordWrap/>
              <w:overflowPunct/>
              <w:topLinePunct w:val="0"/>
              <w:autoSpaceDE/>
              <w:autoSpaceDN/>
              <w:bidi w:val="0"/>
              <w:adjustRightInd/>
              <w:snapToGrid/>
              <w:spacing w:line="360" w:lineRule="auto"/>
              <w:ind w:right="0" w:rightChars="0"/>
              <w:jc w:val="left"/>
              <w:textAlignment w:val="auto"/>
              <w:rPr>
                <w:rFonts w:hint="eastAsia" w:ascii="仿宋" w:hAnsi="仿宋" w:eastAsia="仿宋" w:cs="仿宋"/>
                <w:b/>
                <w:bCs w:val="0"/>
                <w:sz w:val="20"/>
                <w:szCs w:val="20"/>
                <w:highlight w:val="none"/>
                <w:u w:val="none"/>
                <w:lang w:val="en-US" w:eastAsia="zh-CN"/>
              </w:rPr>
            </w:pPr>
            <w:r>
              <w:rPr>
                <w:rFonts w:hint="eastAsia" w:ascii="仿宋" w:hAnsi="仿宋" w:eastAsia="仿宋" w:cs="仿宋"/>
                <w:b/>
                <w:bCs w:val="0"/>
                <w:sz w:val="20"/>
                <w:szCs w:val="20"/>
                <w:highlight w:val="none"/>
                <w:u w:val="none"/>
                <w:lang w:val="en-US" w:eastAsia="zh-CN"/>
              </w:rPr>
              <w:t>五、其他说明</w:t>
            </w:r>
          </w:p>
          <w:p w14:paraId="02093DBD">
            <w:pPr>
              <w:keepNext w:val="0"/>
              <w:keepLines w:val="0"/>
              <w:pageBreakBefore w:val="0"/>
              <w:widowControl w:val="0"/>
              <w:tabs>
                <w:tab w:val="left" w:pos="540"/>
                <w:tab w:val="left" w:pos="720"/>
              </w:tabs>
              <w:kinsoku/>
              <w:wordWrap/>
              <w:overflowPunct/>
              <w:topLinePunct w:val="0"/>
              <w:autoSpaceDE/>
              <w:autoSpaceDN/>
              <w:bidi w:val="0"/>
              <w:adjustRightInd/>
              <w:snapToGrid/>
              <w:spacing w:line="360" w:lineRule="auto"/>
              <w:ind w:left="0" w:leftChars="0" w:right="0" w:rightChars="0" w:firstLine="400" w:firstLineChars="200"/>
              <w:jc w:val="left"/>
              <w:textAlignment w:val="auto"/>
              <w:rPr>
                <w:rFonts w:hint="default" w:ascii="仿宋" w:hAnsi="仿宋" w:cs="仿宋" w:eastAsiaTheme="minorEastAsia"/>
                <w:b w:val="0"/>
                <w:bCs/>
                <w:sz w:val="20"/>
                <w:szCs w:val="20"/>
                <w:highlight w:val="none"/>
                <w:u w:val="none"/>
                <w:lang w:val="en-US" w:eastAsia="zh-CN"/>
              </w:rPr>
            </w:pPr>
            <w:r>
              <w:rPr>
                <w:rFonts w:hint="eastAsia" w:ascii="仿宋" w:hAnsi="仿宋" w:eastAsia="仿宋" w:cs="仿宋"/>
                <w:b w:val="0"/>
                <w:bCs/>
                <w:sz w:val="20"/>
                <w:szCs w:val="20"/>
                <w:highlight w:val="none"/>
                <w:u w:val="none"/>
                <w:lang w:val="en-US" w:eastAsia="zh-CN"/>
              </w:rPr>
              <w:t>本项目预算编制费和设计费计入暂列金，含税金额共计100,334.50元；其中预算编制费含税金额共计5,504.50元，设计费含税金额共计94,830.00元。预算编制费和设计费由中标人向对应单位支付。</w:t>
            </w:r>
          </w:p>
          <w:p w14:paraId="09923E21">
            <w:pPr>
              <w:keepNext w:val="0"/>
              <w:keepLines w:val="0"/>
              <w:pageBreakBefore w:val="0"/>
              <w:widowControl w:val="0"/>
              <w:tabs>
                <w:tab w:val="left" w:pos="540"/>
                <w:tab w:val="left" w:pos="720"/>
              </w:tabs>
              <w:kinsoku/>
              <w:wordWrap/>
              <w:overflowPunct/>
              <w:topLinePunct w:val="0"/>
              <w:autoSpaceDE/>
              <w:autoSpaceDN/>
              <w:bidi w:val="0"/>
              <w:adjustRightInd/>
              <w:snapToGrid/>
              <w:spacing w:line="360" w:lineRule="auto"/>
              <w:ind w:right="0" w:rightChars="0"/>
              <w:jc w:val="left"/>
              <w:textAlignment w:val="auto"/>
              <w:rPr>
                <w:rFonts w:hint="eastAsia" w:ascii="仿宋_GB2312" w:hAnsi="仿宋_GB2312" w:eastAsia="仿宋_GB2312" w:cs="仿宋_GB2312"/>
                <w:b/>
                <w:bCs/>
                <w:color w:val="FF0000"/>
                <w:highlight w:val="yellow"/>
                <w:lang w:eastAsia="zh-CN"/>
              </w:rPr>
            </w:pPr>
            <w:r>
              <w:rPr>
                <w:rFonts w:hint="eastAsia" w:ascii="仿宋" w:hAnsi="仿宋" w:eastAsia="仿宋" w:cs="仿宋"/>
                <w:b/>
                <w:bCs w:val="0"/>
                <w:sz w:val="20"/>
                <w:szCs w:val="20"/>
                <w:highlight w:val="none"/>
                <w:u w:val="none"/>
                <w:lang w:val="en-US" w:eastAsia="zh-CN"/>
              </w:rPr>
              <w:t>六、</w:t>
            </w:r>
            <w:r>
              <w:rPr>
                <w:rFonts w:hint="eastAsia" w:ascii="仿宋" w:hAnsi="仿宋" w:eastAsia="仿宋" w:cs="仿宋"/>
                <w:b/>
                <w:bCs w:val="0"/>
                <w:sz w:val="20"/>
                <w:szCs w:val="20"/>
                <w:highlight w:val="none"/>
              </w:rPr>
              <w:t>本工程软件采用广联达工程量清单计价软件GCCP</w:t>
            </w:r>
            <w:r>
              <w:rPr>
                <w:rFonts w:hint="eastAsia" w:ascii="仿宋" w:hAnsi="仿宋" w:eastAsia="仿宋" w:cs="仿宋"/>
                <w:b/>
                <w:bCs w:val="0"/>
                <w:sz w:val="20"/>
                <w:szCs w:val="20"/>
                <w:highlight w:val="none"/>
                <w:lang w:val="en-US" w:eastAsia="zh-CN"/>
              </w:rPr>
              <w:t>7</w:t>
            </w:r>
            <w:r>
              <w:rPr>
                <w:rFonts w:hint="eastAsia" w:ascii="仿宋" w:hAnsi="仿宋" w:eastAsia="仿宋" w:cs="仿宋"/>
                <w:b/>
                <w:bCs w:val="0"/>
                <w:sz w:val="20"/>
                <w:szCs w:val="20"/>
                <w:highlight w:val="none"/>
              </w:rPr>
              <w:t>.0</w:t>
            </w:r>
            <w:r>
              <w:rPr>
                <w:rFonts w:hint="eastAsia" w:ascii="仿宋" w:hAnsi="仿宋" w:eastAsia="仿宋" w:cs="仿宋"/>
                <w:b/>
                <w:bCs w:val="0"/>
                <w:sz w:val="20"/>
                <w:szCs w:val="20"/>
                <w:highlight w:val="none"/>
                <w:lang w:eastAsia="zh-CN"/>
              </w:rPr>
              <w:t>，</w:t>
            </w:r>
            <w:r>
              <w:rPr>
                <w:rFonts w:hint="eastAsia" w:ascii="仿宋" w:hAnsi="仿宋" w:eastAsia="仿宋" w:cs="仿宋"/>
                <w:b/>
                <w:bCs w:val="0"/>
                <w:sz w:val="20"/>
                <w:szCs w:val="20"/>
                <w:highlight w:val="none"/>
              </w:rPr>
              <w:t xml:space="preserve">版本号 </w:t>
            </w:r>
            <w:r>
              <w:rPr>
                <w:rFonts w:hint="eastAsia" w:ascii="仿宋" w:hAnsi="仿宋" w:eastAsia="仿宋" w:cs="仿宋"/>
                <w:b/>
                <w:bCs w:val="0"/>
                <w:sz w:val="20"/>
                <w:szCs w:val="20"/>
                <w:highlight w:val="none"/>
                <w:u w:val="none"/>
                <w:lang w:val="en-US" w:eastAsia="zh-CN"/>
              </w:rPr>
              <w:t>7.5000.23.3</w:t>
            </w:r>
            <w:r>
              <w:rPr>
                <w:rFonts w:hint="eastAsia" w:ascii="仿宋" w:hAnsi="仿宋" w:eastAsia="仿宋" w:cs="仿宋"/>
                <w:b/>
                <w:bCs w:val="0"/>
                <w:sz w:val="20"/>
                <w:szCs w:val="20"/>
                <w:highlight w:val="none"/>
                <w:lang w:val="en-US" w:eastAsia="zh-CN"/>
              </w:rPr>
              <w:t>。</w:t>
            </w:r>
            <w:bookmarkStart w:id="0" w:name="_____本工程为63785部队汽车营车库改造工程，主要内容为土建工程与电气照明"/>
            <w:bookmarkEnd w:id="0"/>
          </w:p>
          <w:p w14:paraId="535D71BE">
            <w:pPr>
              <w:pStyle w:val="11"/>
              <w:rPr>
                <w:rFonts w:hint="eastAsia" w:ascii="仿宋" w:hAnsi="仿宋" w:eastAsia="仿宋" w:cs="仿宋"/>
                <w:b/>
                <w:bCs w:val="0"/>
                <w:sz w:val="20"/>
                <w:szCs w:val="20"/>
                <w:highlight w:val="none"/>
                <w:lang w:val="en-US" w:eastAsia="zh-CN"/>
              </w:rPr>
            </w:pPr>
            <w:r>
              <w:rPr>
                <w:rFonts w:hint="eastAsia" w:ascii="仿宋_GB2312" w:hAnsi="仿宋_GB2312" w:eastAsia="仿宋_GB2312" w:cs="仿宋_GB2312"/>
                <w:b/>
                <w:bCs/>
                <w:lang w:val="en-US" w:eastAsia="zh-CN"/>
              </w:rPr>
              <w:t>七、工程量</w:t>
            </w:r>
            <w:r>
              <w:rPr>
                <w:rFonts w:ascii="仿宋_GB2312" w:hAnsi="仿宋_GB2312" w:eastAsia="仿宋_GB2312" w:cs="仿宋_GB2312"/>
                <w:b/>
                <w:bCs/>
                <w:sz w:val="21"/>
              </w:rPr>
              <w:t>清单：见附件</w:t>
            </w:r>
          </w:p>
          <w:p w14:paraId="5C85000D">
            <w:pPr>
              <w:pStyle w:val="11"/>
            </w:pPr>
            <w:r>
              <w:rPr>
                <w:rFonts w:hint="eastAsia" w:ascii="仿宋_GB2312" w:hAnsi="仿宋_GB2312" w:eastAsia="仿宋_GB2312" w:cs="仿宋_GB2312"/>
                <w:b/>
                <w:bCs/>
                <w:lang w:val="en-US" w:eastAsia="zh-CN"/>
              </w:rPr>
              <w:t>★八</w:t>
            </w:r>
            <w:r>
              <w:rPr>
                <w:rFonts w:ascii="仿宋_GB2312" w:hAnsi="仿宋_GB2312" w:eastAsia="仿宋_GB2312" w:cs="仿宋_GB2312"/>
                <w:b/>
                <w:bCs/>
              </w:rPr>
              <w:t>、</w:t>
            </w:r>
            <w:r>
              <w:rPr>
                <w:rFonts w:hint="eastAsia" w:ascii="仿宋_GB2312" w:hAnsi="仿宋_GB2312" w:eastAsia="仿宋_GB2312" w:cs="仿宋_GB2312"/>
                <w:b/>
                <w:bCs/>
                <w:lang w:val="en-US" w:eastAsia="zh-CN"/>
              </w:rPr>
              <w:t>商务</w:t>
            </w:r>
            <w:r>
              <w:rPr>
                <w:rFonts w:ascii="仿宋_GB2312" w:hAnsi="仿宋_GB2312" w:eastAsia="仿宋_GB2312" w:cs="仿宋_GB2312"/>
                <w:b/>
                <w:bCs/>
              </w:rPr>
              <w:t>要求</w:t>
            </w:r>
          </w:p>
          <w:tbl>
            <w:tblPr>
              <w:tblStyle w:val="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0"/>
              <w:gridCol w:w="1483"/>
              <w:gridCol w:w="4833"/>
            </w:tblGrid>
            <w:tr w14:paraId="6DDE7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 w:type="pct"/>
                  <w:tcMar>
                    <w:top w:w="0" w:type="dxa"/>
                    <w:left w:w="105" w:type="dxa"/>
                    <w:bottom w:w="0" w:type="dxa"/>
                    <w:right w:w="105" w:type="dxa"/>
                  </w:tcMar>
                  <w:vAlign w:val="top"/>
                </w:tcPr>
                <w:p w14:paraId="08EE2028">
                  <w:pPr>
                    <w:pStyle w:val="11"/>
                    <w:jc w:val="center"/>
                    <w:rPr>
                      <w:highlight w:val="none"/>
                    </w:rPr>
                  </w:pPr>
                  <w:r>
                    <w:rPr>
                      <w:rFonts w:ascii="仿宋_GB2312" w:hAnsi="仿宋_GB2312" w:eastAsia="仿宋_GB2312" w:cs="仿宋_GB2312"/>
                      <w:sz w:val="19"/>
                      <w:highlight w:val="none"/>
                    </w:rPr>
                    <w:t>序号</w:t>
                  </w:r>
                </w:p>
              </w:tc>
              <w:tc>
                <w:tcPr>
                  <w:tcW w:w="4713" w:type="pct"/>
                  <w:gridSpan w:val="2"/>
                  <w:tcMar>
                    <w:top w:w="0" w:type="dxa"/>
                    <w:left w:w="105" w:type="dxa"/>
                    <w:bottom w:w="0" w:type="dxa"/>
                    <w:right w:w="105" w:type="dxa"/>
                  </w:tcMar>
                  <w:vAlign w:val="top"/>
                </w:tcPr>
                <w:p w14:paraId="0ED34884">
                  <w:pPr>
                    <w:pStyle w:val="11"/>
                    <w:jc w:val="center"/>
                    <w:rPr>
                      <w:highlight w:val="none"/>
                    </w:rPr>
                  </w:pPr>
                  <w:r>
                    <w:rPr>
                      <w:rFonts w:ascii="仿宋_GB2312" w:hAnsi="仿宋_GB2312" w:eastAsia="仿宋_GB2312" w:cs="仿宋_GB2312"/>
                      <w:sz w:val="19"/>
                      <w:highlight w:val="none"/>
                    </w:rPr>
                    <w:t>项目要求</w:t>
                  </w:r>
                </w:p>
              </w:tc>
            </w:tr>
            <w:tr w14:paraId="3AC43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 w:type="pct"/>
                  <w:tcMar>
                    <w:top w:w="0" w:type="dxa"/>
                    <w:left w:w="105" w:type="dxa"/>
                    <w:bottom w:w="0" w:type="dxa"/>
                    <w:right w:w="105" w:type="dxa"/>
                  </w:tcMar>
                  <w:vAlign w:val="top"/>
                </w:tcPr>
                <w:p w14:paraId="5540D814">
                  <w:pPr>
                    <w:pStyle w:val="11"/>
                    <w:jc w:val="center"/>
                    <w:rPr>
                      <w:highlight w:val="none"/>
                    </w:rPr>
                  </w:pPr>
                  <w:r>
                    <w:rPr>
                      <w:rFonts w:ascii="仿宋_GB2312" w:hAnsi="仿宋_GB2312" w:eastAsia="仿宋_GB2312" w:cs="仿宋_GB2312"/>
                      <w:sz w:val="19"/>
                      <w:highlight w:val="none"/>
                    </w:rPr>
                    <w:t>1</w:t>
                  </w:r>
                </w:p>
              </w:tc>
              <w:tc>
                <w:tcPr>
                  <w:tcW w:w="1487" w:type="dxa"/>
                  <w:tcMar>
                    <w:top w:w="0" w:type="dxa"/>
                    <w:left w:w="105" w:type="dxa"/>
                    <w:bottom w:w="0" w:type="dxa"/>
                    <w:right w:w="105" w:type="dxa"/>
                  </w:tcMar>
                  <w:vAlign w:val="top"/>
                </w:tcPr>
                <w:p w14:paraId="2BCCCFC3">
                  <w:pPr>
                    <w:pStyle w:val="11"/>
                    <w:jc w:val="center"/>
                    <w:rPr>
                      <w:highlight w:val="none"/>
                    </w:rPr>
                  </w:pPr>
                  <w:r>
                    <w:rPr>
                      <w:rFonts w:ascii="仿宋_GB2312" w:hAnsi="仿宋_GB2312" w:eastAsia="仿宋_GB2312" w:cs="仿宋_GB2312"/>
                      <w:sz w:val="19"/>
                      <w:highlight w:val="none"/>
                    </w:rPr>
                    <w:t>付款方式</w:t>
                  </w:r>
                </w:p>
              </w:tc>
              <w:tc>
                <w:tcPr>
                  <w:tcW w:w="4829" w:type="dxa"/>
                  <w:tcMar>
                    <w:top w:w="0" w:type="dxa"/>
                    <w:left w:w="105" w:type="dxa"/>
                    <w:bottom w:w="0" w:type="dxa"/>
                    <w:right w:w="105" w:type="dxa"/>
                  </w:tcMar>
                  <w:vAlign w:val="top"/>
                </w:tcPr>
                <w:p w14:paraId="0660FD4D">
                  <w:pPr>
                    <w:pStyle w:val="11"/>
                    <w:rPr>
                      <w:highlight w:val="none"/>
                    </w:rPr>
                  </w:pPr>
                  <w:r>
                    <w:rPr>
                      <w:rFonts w:ascii="仿宋_GB2312" w:hAnsi="仿宋_GB2312" w:eastAsia="仿宋_GB2312" w:cs="仿宋_GB2312"/>
                      <w:sz w:val="19"/>
                      <w:highlight w:val="none"/>
                    </w:rPr>
                    <w:t>1、付款方式</w:t>
                  </w:r>
                </w:p>
                <w:p w14:paraId="510CB86A">
                  <w:pPr>
                    <w:pStyle w:val="11"/>
                    <w:rPr>
                      <w:highlight w:val="none"/>
                    </w:rPr>
                  </w:pPr>
                  <w:r>
                    <w:rPr>
                      <w:rFonts w:ascii="仿宋_GB2312" w:hAnsi="仿宋_GB2312" w:eastAsia="仿宋_GB2312" w:cs="仿宋_GB2312"/>
                      <w:sz w:val="19"/>
                      <w:highlight w:val="none"/>
                    </w:rPr>
                    <w:t>（1）合同签订后支付合同金额的</w:t>
                  </w:r>
                  <w:r>
                    <w:rPr>
                      <w:rFonts w:hint="eastAsia" w:ascii="仿宋_GB2312" w:hAnsi="仿宋_GB2312" w:eastAsia="仿宋_GB2312" w:cs="仿宋_GB2312"/>
                      <w:sz w:val="19"/>
                      <w:highlight w:val="none"/>
                      <w:lang w:val="en-US" w:eastAsia="zh-CN"/>
                    </w:rPr>
                    <w:t>40</w:t>
                  </w:r>
                  <w:r>
                    <w:rPr>
                      <w:rFonts w:ascii="仿宋_GB2312" w:hAnsi="仿宋_GB2312" w:eastAsia="仿宋_GB2312" w:cs="仿宋_GB2312"/>
                      <w:sz w:val="19"/>
                      <w:highlight w:val="none"/>
                    </w:rPr>
                    <w:t>％作为预付工程款；</w:t>
                  </w:r>
                </w:p>
                <w:p w14:paraId="66AF1742">
                  <w:pPr>
                    <w:pStyle w:val="11"/>
                    <w:rPr>
                      <w:highlight w:val="none"/>
                    </w:rPr>
                  </w:pPr>
                  <w:r>
                    <w:rPr>
                      <w:rFonts w:ascii="仿宋_GB2312" w:hAnsi="仿宋_GB2312" w:eastAsia="仿宋_GB2312" w:cs="仿宋_GB2312"/>
                      <w:sz w:val="19"/>
                      <w:highlight w:val="none"/>
                    </w:rPr>
                    <w:t>（2）工程竣工验收合格后（提供全部项目资料）支付合同金额的</w:t>
                  </w:r>
                  <w:r>
                    <w:rPr>
                      <w:rFonts w:hint="eastAsia" w:ascii="仿宋_GB2312" w:hAnsi="仿宋_GB2312" w:eastAsia="仿宋_GB2312" w:cs="仿宋_GB2312"/>
                      <w:sz w:val="19"/>
                      <w:highlight w:val="none"/>
                      <w:lang w:val="en-US" w:eastAsia="zh-CN"/>
                    </w:rPr>
                    <w:t>40</w:t>
                  </w:r>
                  <w:r>
                    <w:rPr>
                      <w:rFonts w:ascii="仿宋_GB2312" w:hAnsi="仿宋_GB2312" w:eastAsia="仿宋_GB2312" w:cs="仿宋_GB2312"/>
                      <w:sz w:val="19"/>
                      <w:highlight w:val="none"/>
                    </w:rPr>
                    <w:t>%工程款；</w:t>
                  </w:r>
                </w:p>
                <w:p w14:paraId="32D895F8">
                  <w:pPr>
                    <w:pStyle w:val="11"/>
                    <w:rPr>
                      <w:highlight w:val="none"/>
                    </w:rPr>
                  </w:pPr>
                  <w:r>
                    <w:rPr>
                      <w:rFonts w:ascii="仿宋_GB2312" w:hAnsi="仿宋_GB2312" w:eastAsia="仿宋_GB2312" w:cs="仿宋_GB2312"/>
                      <w:sz w:val="19"/>
                      <w:highlight w:val="none"/>
                    </w:rPr>
                    <w:t>（3）经审计部门审定后支付至审定总价款的100%。</w:t>
                  </w:r>
                </w:p>
                <w:p w14:paraId="562699EA">
                  <w:pPr>
                    <w:pStyle w:val="11"/>
                    <w:rPr>
                      <w:highlight w:val="none"/>
                    </w:rPr>
                  </w:pPr>
                  <w:r>
                    <w:rPr>
                      <w:rFonts w:ascii="仿宋_GB2312" w:hAnsi="仿宋_GB2312" w:eastAsia="仿宋_GB2312" w:cs="仿宋_GB2312"/>
                      <w:sz w:val="19"/>
                      <w:highlight w:val="none"/>
                    </w:rPr>
                    <w:t>2、本项目采用固定综合单价合同。</w:t>
                  </w:r>
                </w:p>
              </w:tc>
            </w:tr>
            <w:tr w14:paraId="0034C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 w:type="pct"/>
                  <w:tcMar>
                    <w:top w:w="0" w:type="dxa"/>
                    <w:left w:w="105" w:type="dxa"/>
                    <w:bottom w:w="0" w:type="dxa"/>
                    <w:right w:w="105" w:type="dxa"/>
                  </w:tcMar>
                  <w:vAlign w:val="top"/>
                </w:tcPr>
                <w:p w14:paraId="20D068A6">
                  <w:pPr>
                    <w:pStyle w:val="11"/>
                    <w:jc w:val="center"/>
                    <w:rPr>
                      <w:highlight w:val="none"/>
                    </w:rPr>
                  </w:pPr>
                  <w:r>
                    <w:rPr>
                      <w:rFonts w:ascii="仿宋_GB2312" w:hAnsi="仿宋_GB2312" w:eastAsia="仿宋_GB2312" w:cs="仿宋_GB2312"/>
                      <w:sz w:val="19"/>
                      <w:highlight w:val="none"/>
                    </w:rPr>
                    <w:t>2</w:t>
                  </w:r>
                </w:p>
              </w:tc>
              <w:tc>
                <w:tcPr>
                  <w:tcW w:w="1487" w:type="dxa"/>
                  <w:tcMar>
                    <w:top w:w="0" w:type="dxa"/>
                    <w:left w:w="105" w:type="dxa"/>
                    <w:bottom w:w="0" w:type="dxa"/>
                    <w:right w:w="105" w:type="dxa"/>
                  </w:tcMar>
                  <w:vAlign w:val="top"/>
                </w:tcPr>
                <w:p w14:paraId="6C9BBA6D">
                  <w:pPr>
                    <w:pStyle w:val="11"/>
                    <w:jc w:val="center"/>
                    <w:rPr>
                      <w:highlight w:val="none"/>
                    </w:rPr>
                  </w:pPr>
                  <w:r>
                    <w:rPr>
                      <w:rFonts w:ascii="仿宋_GB2312" w:hAnsi="仿宋_GB2312" w:eastAsia="仿宋_GB2312" w:cs="仿宋_GB2312"/>
                      <w:sz w:val="19"/>
                      <w:highlight w:val="none"/>
                    </w:rPr>
                    <w:t>项目完工期</w:t>
                  </w:r>
                </w:p>
              </w:tc>
              <w:tc>
                <w:tcPr>
                  <w:tcW w:w="4829" w:type="dxa"/>
                  <w:tcMar>
                    <w:top w:w="0" w:type="dxa"/>
                    <w:left w:w="105" w:type="dxa"/>
                    <w:bottom w:w="0" w:type="dxa"/>
                    <w:right w:w="105" w:type="dxa"/>
                  </w:tcMar>
                  <w:vAlign w:val="top"/>
                </w:tcPr>
                <w:p w14:paraId="16FA1A2C">
                  <w:pPr>
                    <w:pStyle w:val="11"/>
                    <w:rPr>
                      <w:rFonts w:hint="eastAsia" w:eastAsia="仿宋_GB2312"/>
                      <w:highlight w:val="none"/>
                      <w:lang w:eastAsia="zh-CN"/>
                    </w:rPr>
                  </w:pPr>
                  <w:r>
                    <w:rPr>
                      <w:rFonts w:ascii="仿宋_GB2312" w:hAnsi="仿宋_GB2312" w:eastAsia="仿宋_GB2312" w:cs="仿宋_GB2312"/>
                      <w:sz w:val="19"/>
                      <w:highlight w:val="none"/>
                    </w:rPr>
                    <w:t>合同签订之日起</w:t>
                  </w:r>
                  <w:r>
                    <w:rPr>
                      <w:rFonts w:hint="eastAsia" w:ascii="仿宋_GB2312" w:hAnsi="仿宋_GB2312" w:eastAsia="仿宋_GB2312" w:cs="仿宋_GB2312"/>
                      <w:sz w:val="19"/>
                      <w:highlight w:val="none"/>
                      <w:lang w:val="en-US" w:eastAsia="zh-CN"/>
                    </w:rPr>
                    <w:t>30</w:t>
                  </w:r>
                  <w:r>
                    <w:rPr>
                      <w:rFonts w:ascii="仿宋_GB2312" w:hAnsi="仿宋_GB2312" w:eastAsia="仿宋_GB2312" w:cs="仿宋_GB2312"/>
                      <w:sz w:val="19"/>
                      <w:highlight w:val="none"/>
                    </w:rPr>
                    <w:t>日历天内完成。</w:t>
                  </w:r>
                </w:p>
              </w:tc>
            </w:tr>
            <w:tr w14:paraId="31A2B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6" w:type="pct"/>
                  <w:tcMar>
                    <w:top w:w="0" w:type="dxa"/>
                    <w:left w:w="105" w:type="dxa"/>
                    <w:bottom w:w="0" w:type="dxa"/>
                    <w:right w:w="105" w:type="dxa"/>
                  </w:tcMar>
                  <w:vAlign w:val="top"/>
                </w:tcPr>
                <w:p w14:paraId="43DF8490">
                  <w:pPr>
                    <w:pStyle w:val="11"/>
                    <w:jc w:val="center"/>
                    <w:rPr>
                      <w:highlight w:val="none"/>
                    </w:rPr>
                  </w:pPr>
                  <w:r>
                    <w:rPr>
                      <w:rFonts w:ascii="仿宋_GB2312" w:hAnsi="仿宋_GB2312" w:eastAsia="仿宋_GB2312" w:cs="仿宋_GB2312"/>
                      <w:sz w:val="19"/>
                      <w:highlight w:val="none"/>
                    </w:rPr>
                    <w:t>3</w:t>
                  </w:r>
                </w:p>
              </w:tc>
              <w:tc>
                <w:tcPr>
                  <w:tcW w:w="1487" w:type="dxa"/>
                  <w:tcMar>
                    <w:top w:w="0" w:type="dxa"/>
                    <w:left w:w="105" w:type="dxa"/>
                    <w:bottom w:w="0" w:type="dxa"/>
                    <w:right w:w="105" w:type="dxa"/>
                  </w:tcMar>
                  <w:vAlign w:val="top"/>
                </w:tcPr>
                <w:p w14:paraId="4D273978">
                  <w:pPr>
                    <w:pStyle w:val="11"/>
                    <w:jc w:val="center"/>
                    <w:rPr>
                      <w:highlight w:val="none"/>
                    </w:rPr>
                  </w:pPr>
                  <w:r>
                    <w:rPr>
                      <w:rFonts w:ascii="仿宋_GB2312" w:hAnsi="仿宋_GB2312" w:eastAsia="仿宋_GB2312" w:cs="仿宋_GB2312"/>
                      <w:sz w:val="19"/>
                      <w:highlight w:val="none"/>
                    </w:rPr>
                    <w:t>质保期</w:t>
                  </w:r>
                </w:p>
              </w:tc>
              <w:tc>
                <w:tcPr>
                  <w:tcW w:w="4829" w:type="dxa"/>
                  <w:tcMar>
                    <w:top w:w="0" w:type="dxa"/>
                    <w:left w:w="105" w:type="dxa"/>
                    <w:bottom w:w="0" w:type="dxa"/>
                    <w:right w:w="105" w:type="dxa"/>
                  </w:tcMar>
                  <w:vAlign w:val="top"/>
                </w:tcPr>
                <w:p w14:paraId="2FA06901">
                  <w:pPr>
                    <w:pStyle w:val="11"/>
                    <w:rPr>
                      <w:highlight w:val="none"/>
                    </w:rPr>
                  </w:pPr>
                  <w:r>
                    <w:rPr>
                      <w:rFonts w:ascii="仿宋_GB2312" w:hAnsi="仿宋_GB2312" w:eastAsia="仿宋_GB2312" w:cs="仿宋_GB2312"/>
                      <w:sz w:val="19"/>
                      <w:highlight w:val="none"/>
                    </w:rPr>
                    <w:t>自项目竣工验收合格之日起</w:t>
                  </w:r>
                  <w:r>
                    <w:rPr>
                      <w:rFonts w:hint="eastAsia" w:ascii="仿宋_GB2312" w:hAnsi="仿宋_GB2312" w:eastAsia="仿宋_GB2312" w:cs="仿宋_GB2312"/>
                      <w:sz w:val="19"/>
                      <w:highlight w:val="none"/>
                    </w:rPr>
                    <w:t>维修改造部分2年，防水部分5年</w:t>
                  </w:r>
                  <w:r>
                    <w:rPr>
                      <w:rFonts w:hint="eastAsia" w:ascii="仿宋_GB2312" w:hAnsi="仿宋_GB2312" w:eastAsia="仿宋_GB2312" w:cs="仿宋_GB2312"/>
                      <w:sz w:val="19"/>
                      <w:highlight w:val="none"/>
                      <w:lang w:eastAsia="zh-CN"/>
                    </w:rPr>
                    <w:t>。</w:t>
                  </w:r>
                </w:p>
              </w:tc>
            </w:tr>
          </w:tbl>
          <w:p w14:paraId="3E6191EF">
            <w:pPr>
              <w:keepNext w:val="0"/>
              <w:keepLines w:val="0"/>
              <w:pageBreakBefore w:val="0"/>
              <w:widowControl w:val="0"/>
              <w:tabs>
                <w:tab w:val="left" w:pos="540"/>
                <w:tab w:val="left" w:pos="720"/>
              </w:tabs>
              <w:kinsoku/>
              <w:wordWrap/>
              <w:overflowPunct/>
              <w:topLinePunct w:val="0"/>
              <w:autoSpaceDE/>
              <w:autoSpaceDN/>
              <w:bidi w:val="0"/>
              <w:adjustRightInd/>
              <w:snapToGrid/>
              <w:spacing w:line="360" w:lineRule="auto"/>
              <w:ind w:right="0" w:rightChars="0"/>
              <w:jc w:val="left"/>
              <w:textAlignment w:val="auto"/>
              <w:rPr>
                <w:rFonts w:hint="eastAsia" w:eastAsia="仿宋_GB2312"/>
                <w:lang w:val="en-US" w:eastAsia="zh-CN"/>
              </w:rPr>
            </w:pPr>
            <w:r>
              <w:rPr>
                <w:rFonts w:hint="eastAsia" w:ascii="仿宋_GB2312" w:hAnsi="仿宋_GB2312" w:eastAsia="仿宋_GB2312" w:cs="仿宋_GB2312"/>
                <w:sz w:val="19"/>
                <w:highlight w:val="none"/>
              </w:rPr>
              <w:t>本项目竣工结算审计费用由成交供应商负责（费用标准为：陕价行发〔2014〕88号执行标准下浮20%），供应商应在本项目报价中包含此部分内容。</w:t>
            </w:r>
          </w:p>
        </w:tc>
      </w:tr>
    </w:tbl>
    <w:p w14:paraId="00968EB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D006F8"/>
    <w:multiLevelType w:val="singleLevel"/>
    <w:tmpl w:val="28D006F8"/>
    <w:lvl w:ilvl="0" w:tentative="0">
      <w:start w:val="4"/>
      <w:numFmt w:val="decimal"/>
      <w:suff w:val="nothing"/>
      <w:lvlText w:val="%1、"/>
      <w:lvlJc w:val="left"/>
    </w:lvl>
  </w:abstractNum>
  <w:abstractNum w:abstractNumId="1">
    <w:nsid w:val="6FA8C6D5"/>
    <w:multiLevelType w:val="singleLevel"/>
    <w:tmpl w:val="6FA8C6D5"/>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A45160"/>
    <w:rsid w:val="0CC513F5"/>
    <w:rsid w:val="193E7AC0"/>
    <w:rsid w:val="30A45160"/>
    <w:rsid w:val="32684154"/>
    <w:rsid w:val="3C266791"/>
    <w:rsid w:val="4A215225"/>
    <w:rsid w:val="677C5037"/>
    <w:rsid w:val="680E4244"/>
    <w:rsid w:val="71F32E24"/>
    <w:rsid w:val="733C0C54"/>
    <w:rsid w:val="75C45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napToGrid w:val="0"/>
      <w:spacing w:before="100" w:beforeLines="0" w:beforeAutospacing="0" w:after="100" w:afterLines="0" w:afterAutospacing="0" w:line="360" w:lineRule="auto"/>
      <w:outlineLvl w:val="0"/>
    </w:pPr>
    <w:rPr>
      <w:rFonts w:ascii="宋体" w:hAnsi="宋体" w:eastAsia="宋体" w:cs="宋体"/>
      <w:b/>
      <w:kern w:val="44"/>
      <w:sz w:val="32"/>
      <w:szCs w:val="28"/>
    </w:rPr>
  </w:style>
  <w:style w:type="paragraph" w:styleId="3">
    <w:name w:val="heading 2"/>
    <w:basedOn w:val="1"/>
    <w:next w:val="1"/>
    <w:semiHidden/>
    <w:unhideWhenUsed/>
    <w:qFormat/>
    <w:uiPriority w:val="0"/>
    <w:pPr>
      <w:keepNext/>
      <w:keepLines/>
      <w:spacing w:beforeLines="0" w:beforeAutospacing="0" w:afterLines="0" w:afterAutospacing="0" w:line="360" w:lineRule="auto"/>
      <w:outlineLvl w:val="1"/>
    </w:pPr>
    <w:rPr>
      <w:rFonts w:ascii="Arial" w:hAnsi="Arial" w:eastAsia="宋体" w:cs="宋体"/>
      <w:b/>
      <w:sz w:val="28"/>
      <w:szCs w:val="28"/>
    </w:rPr>
  </w:style>
  <w:style w:type="paragraph" w:styleId="4">
    <w:name w:val="heading 3"/>
    <w:basedOn w:val="1"/>
    <w:next w:val="1"/>
    <w:semiHidden/>
    <w:unhideWhenUsed/>
    <w:qFormat/>
    <w:uiPriority w:val="0"/>
    <w:pPr>
      <w:keepNext/>
      <w:keepLines/>
      <w:spacing w:beforeLines="0" w:afterLines="0" w:line="360" w:lineRule="auto"/>
      <w:outlineLvl w:val="2"/>
    </w:pPr>
    <w:rPr>
      <w:rFonts w:ascii="仿宋" w:hAnsi="仿宋"/>
      <w:b/>
      <w:sz w:val="28"/>
      <w:szCs w:val="28"/>
    </w:rPr>
  </w:style>
  <w:style w:type="paragraph" w:styleId="5">
    <w:name w:val="heading 4"/>
    <w:basedOn w:val="6"/>
    <w:next w:val="1"/>
    <w:link w:val="10"/>
    <w:semiHidden/>
    <w:unhideWhenUsed/>
    <w:qFormat/>
    <w:uiPriority w:val="0"/>
    <w:pPr>
      <w:keepNext/>
      <w:keepLines/>
      <w:spacing w:beforeLines="0" w:afterLines="0" w:line="360" w:lineRule="auto"/>
      <w:outlineLvl w:val="3"/>
    </w:pPr>
    <w:rPr>
      <w:rFonts w:ascii="仿宋" w:hAnsi="仿宋" w:eastAsia="仿宋" w:cs="仿宋"/>
      <w:sz w:val="28"/>
      <w:szCs w:val="28"/>
      <w:lang w:eastAsia="zh-TW"/>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index heading"/>
    <w:basedOn w:val="1"/>
    <w:next w:val="7"/>
    <w:qFormat/>
    <w:uiPriority w:val="0"/>
    <w:rPr>
      <w:rFonts w:ascii="Arial" w:hAnsi="Arial"/>
      <w:b/>
    </w:rPr>
  </w:style>
  <w:style w:type="paragraph" w:styleId="7">
    <w:name w:val="index 1"/>
    <w:basedOn w:val="1"/>
    <w:next w:val="1"/>
    <w:qFormat/>
    <w:uiPriority w:val="0"/>
  </w:style>
  <w:style w:type="character" w:customStyle="1" w:styleId="10">
    <w:name w:val="标题 4 Char"/>
    <w:link w:val="5"/>
    <w:qFormat/>
    <w:uiPriority w:val="0"/>
    <w:rPr>
      <w:rFonts w:ascii="仿宋" w:hAnsi="仿宋" w:eastAsia="仿宋" w:cs="仿宋"/>
      <w:b/>
      <w:sz w:val="28"/>
      <w:szCs w:val="28"/>
      <w:lang w:eastAsia="zh-TW"/>
    </w:rPr>
  </w:style>
  <w:style w:type="paragraph" w:customStyle="1" w:styleId="11">
    <w:name w:val="null3"/>
    <w:hidden/>
    <w:qFormat/>
    <w:uiPriority w:val="0"/>
    <w:rPr>
      <w:rFonts w:hint="eastAsia" w:asciiTheme="minorHAnsi" w:hAnsiTheme="minorHAnsi" w:eastAsiaTheme="minorEastAsia" w:cstheme="minorBidi"/>
      <w:lang w:val="en-US" w:eastAsia="zh-Hans"/>
    </w:rPr>
  </w:style>
  <w:style w:type="paragraph" w:customStyle="1" w:styleId="12">
    <w:name w:val="List Paragraph"/>
    <w:basedOn w:val="1"/>
    <w:qFormat/>
    <w:uiPriority w:val="0"/>
    <w:pPr>
      <w:ind w:firstLine="420" w:firstLineChars="200"/>
    </w:pPr>
    <w:rPr>
      <w:rFonts w:ascii="宋体" w:hAnsi="宋体"/>
      <w:sz w:val="28"/>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2026-07-16T06:50:00Z</dcterms:created>
  <dc:creator>小马驾驾</dc:creator>
  <cp:lastModifiedBy>小马驾驾</cp:lastModifiedBy>
  <dcterms:modified xsi:type="dcterms:W3CDTF">2026-07-16T06:51:47Z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2B6C06A211E341F795E55B8179B92D3D_11</vt:lpwstr>
  </property>
  <property fmtid="{D5CDD505-2E9C-101B-9397-08002B2CF9AE}" pid="4" name="KSOTemplateDocerSaveRecord">
    <vt:lpwstr>eyJoZGlkIjoiNGIyZmI3M2JmNTQyMjU5ZGJkYWQ4YTFkMTA0MjM4M2EiLCJ1c2VySWQiOiI2NjY2Njg4MzQifQ==</vt:lpwstr>
  </property>
</Properties>
</file>