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版本号：HCZB-2026-06620260428001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蓝田县2025年教育基础设施建设项目蓝田县小寨镇初级中学修缮工程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HCZB-2026-066</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蓝田县2025年教育基础设施建设项目蓝田县小寨镇初级中学修缮工程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HCZB-2026-066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蓝田县2025年教育基础设施建设项目蓝田县小寨镇初级中学修缮工程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该项目建设地点位于蓝田县小寨镇初级中学。主要施工内容为：教学楼、综合楼、实验楼、宿办楼（防水、内外粉、门窗、地胶、电、路灯）、道路硬化、大门修复等。具体技术标准和要求详见本项目磋商文件、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采购包1（蓝田县2025年教育基础设施建设项目蓝田县小寨镇初级中学修缮工程）：属于专门面向中小企业采购。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誉截图：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磋商资格审查时为准）。</w:t>
      </w:r>
    </w:p>
    <w:p>
      <w:pPr>
        <w:pStyle w:val="null3"/>
      </w:pPr>
      <w:r>
        <w:rPr>
          <w:rFonts w:ascii="仿宋_GB2312" w:hAnsi="仿宋_GB2312" w:cs="仿宋_GB2312" w:eastAsia="仿宋_GB2312"/>
        </w:rPr>
        <w:t>2、授权委托书：法定代表人授权书（附法定代表人、被授权人身份证复印件）及被授权人身份证（法定代表人直接参加投标，须提供法定代表人身份证明及身份证）。</w:t>
      </w:r>
    </w:p>
    <w:p>
      <w:pPr>
        <w:pStyle w:val="null3"/>
      </w:pPr>
      <w:r>
        <w:rPr>
          <w:rFonts w:ascii="仿宋_GB2312" w:hAnsi="仿宋_GB2312" w:cs="仿宋_GB2312" w:eastAsia="仿宋_GB2312"/>
        </w:rPr>
        <w:t>3、企业资质：供应商具有建设行政主管部门颁发的建筑工程施工总承包叁级及以上资质，同时具有有效的安全生产许可证。</w:t>
      </w:r>
    </w:p>
    <w:p>
      <w:pPr>
        <w:pStyle w:val="null3"/>
      </w:pPr>
      <w:r>
        <w:rPr>
          <w:rFonts w:ascii="仿宋_GB2312" w:hAnsi="仿宋_GB2312" w:cs="仿宋_GB2312" w:eastAsia="仿宋_GB2312"/>
        </w:rPr>
        <w:t>4、拟派项目负责人资质及专业要求：须具有在本单位注册的建筑工程专业二级及以上注册建造师证书和有效的安全生产考核合格证（B证），并提供无在建工程承诺和无不良记录承诺。</w:t>
      </w:r>
    </w:p>
    <w:p>
      <w:pPr>
        <w:pStyle w:val="null3"/>
      </w:pPr>
      <w:r>
        <w:rPr>
          <w:rFonts w:ascii="仿宋_GB2312" w:hAnsi="仿宋_GB2312" w:cs="仿宋_GB2312" w:eastAsia="仿宋_GB2312"/>
        </w:rPr>
        <w:t>5、非联合体：参与供应商为非联合体（提供声明函）</w:t>
      </w:r>
    </w:p>
    <w:p>
      <w:pPr>
        <w:pStyle w:val="null3"/>
      </w:pPr>
      <w:r>
        <w:rPr>
          <w:rFonts w:ascii="仿宋_GB2312" w:hAnsi="仿宋_GB2312" w:cs="仿宋_GB2312" w:eastAsia="仿宋_GB2312"/>
        </w:rPr>
        <w:t>6、关联关系：单位负责人为同一人或者存在控股、管理关系的不同投标人，不得参加本项目同一合同下的政府采购活动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蓝田县北环路十字西北角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陈均亮</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冯建正、徐欣 、程琤、王杨、赵根女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029-89115858-8010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李晓东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代理服务费收费标准：采购代理服务费以成交金额为基础，依据《国家计委关于印发招标代理服务收费管理暂行办法的通知》 （计价格〔2002〕 1980 号）和国家发改委办公厅颁发的《关于招标代理服务收费有关问题的通知》 （发改办价格 〔2003〕857 号）文件规定标准计算收取；代理服务费具体收费金额将在成交公告中公布。</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联系人：冯建正、徐欣 、程琤、王杨、赵根女</w:t>
      </w:r>
    </w:p>
    <w:p>
      <w:pPr>
        <w:pStyle w:val="null3"/>
      </w:pPr>
      <w:r>
        <w:rPr>
          <w:rFonts w:ascii="仿宋_GB2312" w:hAnsi="仿宋_GB2312" w:cs="仿宋_GB2312" w:eastAsia="仿宋_GB2312"/>
        </w:rPr>
        <w:t>联系电话：029-89115858-8010</w:t>
      </w:r>
    </w:p>
    <w:p>
      <w:pPr>
        <w:pStyle w:val="null3"/>
      </w:pPr>
      <w:r>
        <w:rPr>
          <w:rFonts w:ascii="仿宋_GB2312" w:hAnsi="仿宋_GB2312" w:cs="仿宋_GB2312" w:eastAsia="仿宋_GB2312"/>
        </w:rPr>
        <w:t>地址：西安市南二环西段58号成长大厦8楼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3,455,000.00</w:t>
      </w:r>
    </w:p>
    <w:p>
      <w:pPr>
        <w:pStyle w:val="null3"/>
      </w:pPr>
      <w:r>
        <w:rPr>
          <w:rFonts w:ascii="仿宋_GB2312" w:hAnsi="仿宋_GB2312" w:cs="仿宋_GB2312" w:eastAsia="仿宋_GB2312"/>
        </w:rPr>
        <w:t>采购包最高限价（元）: 2,610,807.37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蓝田县2025年教育基础设施建设项目蓝田县小寨镇初级中学修缮工程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3,455,000.00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标的名称：蓝田县2025年教育基础设施建设项目蓝田县小寨镇初级中学修缮工程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一、工程概况：</w:t>
            </w:r>
          </w:p>
          <w:p>
            <w:pPr>
              <w:pStyle w:val="null3"/>
              <w:jc w:val="both"/>
            </w:pPr>
            <w:r>
              <w:rPr>
                <w:rFonts w:ascii="仿宋_GB2312" w:hAnsi="仿宋_GB2312" w:cs="仿宋_GB2312" w:eastAsia="仿宋_GB2312"/>
              </w:rPr>
              <w:t>该项目建设地点位于</w:t>
            </w:r>
            <w:r>
              <w:rPr>
                <w:rFonts w:ascii="仿宋_GB2312" w:hAnsi="仿宋_GB2312" w:cs="仿宋_GB2312" w:eastAsia="仿宋_GB2312"/>
              </w:rPr>
              <w:t>蓝田县小寨镇初级中学</w:t>
            </w:r>
            <w:r>
              <w:rPr>
                <w:rFonts w:ascii="仿宋_GB2312" w:hAnsi="仿宋_GB2312" w:cs="仿宋_GB2312" w:eastAsia="仿宋_GB2312"/>
              </w:rPr>
              <w:t>。主要施工内容为：</w:t>
            </w:r>
            <w:r>
              <w:rPr>
                <w:rFonts w:ascii="仿宋_GB2312" w:hAnsi="仿宋_GB2312" w:cs="仿宋_GB2312" w:eastAsia="仿宋_GB2312"/>
              </w:rPr>
              <w:t>教学楼、综合楼、实验楼、宿办楼（防水、内外粉、门窗、地胶、电、路灯）、道路硬化、大门修复等。</w:t>
            </w:r>
            <w:r>
              <w:rPr>
                <w:rFonts w:ascii="仿宋_GB2312" w:hAnsi="仿宋_GB2312" w:cs="仿宋_GB2312" w:eastAsia="仿宋_GB2312"/>
              </w:rPr>
              <w:t>具体技术标准和要求详见本项目磋商文件、工程量清单和施工图纸。</w:t>
            </w:r>
          </w:p>
          <w:p>
            <w:pPr>
              <w:pStyle w:val="null3"/>
              <w:jc w:val="both"/>
            </w:pPr>
            <w:r>
              <w:rPr>
                <w:rFonts w:ascii="仿宋_GB2312" w:hAnsi="仿宋_GB2312" w:cs="仿宋_GB2312" w:eastAsia="仿宋_GB2312"/>
              </w:rPr>
              <w:t>二、</w:t>
            </w:r>
            <w:r>
              <w:rPr>
                <w:rFonts w:ascii="仿宋_GB2312" w:hAnsi="仿宋_GB2312" w:cs="仿宋_GB2312" w:eastAsia="仿宋_GB2312"/>
              </w:rPr>
              <w:t>工程内容和施工地点、计划工期、缺陷责任期、质量保修期</w:t>
            </w:r>
            <w:r>
              <w:rPr>
                <w:rFonts w:ascii="仿宋_GB2312" w:hAnsi="仿宋_GB2312" w:cs="仿宋_GB2312" w:eastAsia="仿宋_GB2312"/>
              </w:rPr>
              <w:t>：</w:t>
            </w:r>
          </w:p>
          <w:p>
            <w:pPr>
              <w:pStyle w:val="null3"/>
              <w:jc w:val="both"/>
            </w:pPr>
            <w:r>
              <w:rPr>
                <w:rFonts w:ascii="仿宋_GB2312" w:hAnsi="仿宋_GB2312" w:cs="仿宋_GB2312" w:eastAsia="仿宋_GB2312"/>
              </w:rPr>
              <w:t xml:space="preserve"> （一）工程内容：主</w:t>
            </w:r>
            <w:r>
              <w:rPr>
                <w:rFonts w:ascii="仿宋_GB2312" w:hAnsi="仿宋_GB2312" w:cs="仿宋_GB2312" w:eastAsia="仿宋_GB2312"/>
              </w:rPr>
              <w:t>要施工内容为：</w:t>
            </w:r>
            <w:r>
              <w:rPr>
                <w:rFonts w:ascii="仿宋_GB2312" w:hAnsi="仿宋_GB2312" w:cs="仿宋_GB2312" w:eastAsia="仿宋_GB2312"/>
              </w:rPr>
              <w:t>教学楼、综合楼、实验楼、宿办楼（防水、内外粉、门窗、地胶、电、路灯）、道路硬化、大门修复等。</w:t>
            </w:r>
            <w:r>
              <w:rPr>
                <w:rFonts w:ascii="仿宋_GB2312" w:hAnsi="仿宋_GB2312" w:cs="仿宋_GB2312" w:eastAsia="仿宋_GB2312"/>
              </w:rPr>
              <w:t>具体技术标准和要求详见本项目磋商文件、工程量清单和施工图纸。</w:t>
            </w:r>
          </w:p>
          <w:p>
            <w:pPr>
              <w:pStyle w:val="null3"/>
              <w:jc w:val="both"/>
            </w:pPr>
            <w:r>
              <w:rPr>
                <w:rFonts w:ascii="仿宋_GB2312" w:hAnsi="仿宋_GB2312" w:cs="仿宋_GB2312" w:eastAsia="仿宋_GB2312"/>
                <w:sz w:val="20"/>
                <w:color w:val="000000"/>
              </w:rPr>
              <w:t>（二）工程地点：蓝田县小寨镇初级中学。</w:t>
            </w:r>
          </w:p>
          <w:p>
            <w:pPr>
              <w:pStyle w:val="null3"/>
              <w:spacing w:before="60"/>
              <w:ind w:left="120"/>
            </w:pPr>
            <w:r>
              <w:rPr>
                <w:rFonts w:ascii="仿宋_GB2312" w:hAnsi="仿宋_GB2312" w:cs="仿宋_GB2312" w:eastAsia="仿宋_GB2312"/>
                <w:sz w:val="20"/>
              </w:rPr>
              <w:t>（三）计划工期：自合同签订之日起</w:t>
            </w:r>
            <w:r>
              <w:rPr>
                <w:rFonts w:ascii="仿宋_GB2312" w:hAnsi="仿宋_GB2312" w:cs="仿宋_GB2312" w:eastAsia="仿宋_GB2312"/>
                <w:sz w:val="20"/>
              </w:rPr>
              <w:t>60个日历日。</w:t>
            </w:r>
          </w:p>
          <w:p>
            <w:pPr>
              <w:pStyle w:val="null3"/>
              <w:spacing w:before="60"/>
              <w:ind w:left="120"/>
            </w:pPr>
            <w:r>
              <w:rPr>
                <w:rFonts w:ascii="仿宋_GB2312" w:hAnsi="仿宋_GB2312" w:cs="仿宋_GB2312" w:eastAsia="仿宋_GB2312"/>
                <w:sz w:val="20"/>
                <w:color w:val="000000"/>
              </w:rPr>
              <w:t>（四）缺陷责任期：</w:t>
            </w:r>
            <w:r>
              <w:rPr>
                <w:rFonts w:ascii="仿宋_GB2312" w:hAnsi="仿宋_GB2312" w:cs="仿宋_GB2312" w:eastAsia="仿宋_GB2312"/>
                <w:sz w:val="20"/>
                <w:color w:val="000000"/>
              </w:rPr>
              <w:t>1</w:t>
            </w:r>
            <w:r>
              <w:rPr>
                <w:rFonts w:ascii="仿宋_GB2312" w:hAnsi="仿宋_GB2312" w:cs="仿宋_GB2312" w:eastAsia="仿宋_GB2312"/>
                <w:sz w:val="20"/>
                <w:color w:val="000000"/>
              </w:rPr>
              <w:t>年。</w:t>
            </w:r>
          </w:p>
          <w:p>
            <w:pPr>
              <w:pStyle w:val="null3"/>
              <w:spacing w:before="60"/>
              <w:ind w:left="120"/>
            </w:pPr>
            <w:r>
              <w:rPr>
                <w:rFonts w:ascii="仿宋_GB2312" w:hAnsi="仿宋_GB2312" w:cs="仿宋_GB2312" w:eastAsia="仿宋_GB2312"/>
                <w:sz w:val="20"/>
                <w:color w:val="000000"/>
              </w:rPr>
              <w:t>（五）质量保修期：</w:t>
            </w:r>
          </w:p>
          <w:p>
            <w:pPr>
              <w:pStyle w:val="null3"/>
              <w:spacing w:before="60"/>
              <w:ind w:lef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1）屋面防水工程、有防水要求的卫生间、房间和外墙面的防渗为 5 年；</w:t>
            </w:r>
          </w:p>
          <w:p>
            <w:pPr>
              <w:pStyle w:val="null3"/>
              <w:spacing w:before="60"/>
              <w:ind w:lef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2）装修工程为 3 年；</w:t>
            </w:r>
          </w:p>
          <w:p>
            <w:pPr>
              <w:pStyle w:val="null3"/>
              <w:spacing w:before="60"/>
              <w:ind w:lef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3）电气管线、给排水管道、设备安装工程为 2 年；</w:t>
            </w:r>
          </w:p>
          <w:p>
            <w:pPr>
              <w:pStyle w:val="null3"/>
              <w:spacing w:before="60"/>
              <w:ind w:lef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4）给排水设施、道路等配套工程为 2 年；</w:t>
            </w:r>
          </w:p>
          <w:p>
            <w:pPr>
              <w:pStyle w:val="null3"/>
              <w:spacing w:before="60"/>
              <w:ind w:left="120"/>
            </w:pPr>
            <w:r>
              <w:rPr>
                <w:rFonts w:ascii="仿宋_GB2312" w:hAnsi="仿宋_GB2312" w:cs="仿宋_GB2312" w:eastAsia="仿宋_GB2312"/>
                <w:sz w:val="20"/>
                <w:color w:val="000000"/>
              </w:rPr>
              <w:t>质量保修期自工程竣工验收合格之日起计算。</w:t>
            </w:r>
          </w:p>
          <w:p>
            <w:pPr>
              <w:pStyle w:val="null3"/>
              <w:spacing w:before="60"/>
              <w:ind w:left="120"/>
            </w:pPr>
            <w:r>
              <w:rPr>
                <w:rFonts w:ascii="仿宋_GB2312" w:hAnsi="仿宋_GB2312" w:cs="仿宋_GB2312" w:eastAsia="仿宋_GB2312"/>
                <w:sz w:val="20"/>
                <w:color w:val="000000"/>
              </w:rPr>
              <w:t>（</w:t>
            </w:r>
            <w:r>
              <w:rPr>
                <w:rFonts w:ascii="仿宋_GB2312" w:hAnsi="仿宋_GB2312" w:cs="仿宋_GB2312" w:eastAsia="仿宋_GB2312"/>
                <w:sz w:val="20"/>
                <w:color w:val="000000"/>
              </w:rPr>
              <w:t>六）质量要求：达到国家及行业施工验收规范</w:t>
            </w:r>
            <w:r>
              <w:rPr>
                <w:rFonts w:ascii="仿宋_GB2312" w:hAnsi="仿宋_GB2312" w:cs="仿宋_GB2312" w:eastAsia="仿宋_GB2312"/>
                <w:sz w:val="20"/>
                <w:color w:val="000000"/>
              </w:rPr>
              <w:t>“合格”标准</w:t>
            </w:r>
            <w:r>
              <w:rPr>
                <w:rFonts w:ascii="仿宋_GB2312" w:hAnsi="仿宋_GB2312" w:cs="仿宋_GB2312" w:eastAsia="仿宋_GB2312"/>
                <w:sz w:val="20"/>
                <w:color w:val="000000"/>
              </w:rPr>
              <w:t>；</w:t>
            </w:r>
          </w:p>
          <w:p>
            <w:pPr>
              <w:pStyle w:val="null3"/>
              <w:spacing w:before="60"/>
              <w:ind w:left="105"/>
            </w:pPr>
            <w:r>
              <w:rPr>
                <w:rFonts w:ascii="仿宋_GB2312" w:hAnsi="仿宋_GB2312" w:cs="仿宋_GB2312" w:eastAsia="仿宋_GB2312"/>
                <w:sz w:val="20"/>
              </w:rPr>
              <w:t>三、工程量清单：详见工程量清单电子版文档。</w:t>
            </w:r>
            <w:r>
              <w:rPr>
                <w:rFonts w:ascii="仿宋_GB2312" w:hAnsi="仿宋_GB2312" w:cs="仿宋_GB2312" w:eastAsia="仿宋_GB2312"/>
                <w:sz w:val="20"/>
              </w:rPr>
              <w:t>（图纸和清单不一致时，以工程量清单为主。）</w:t>
            </w:r>
          </w:p>
          <w:p>
            <w:pPr>
              <w:pStyle w:val="null3"/>
              <w:spacing w:before="60"/>
              <w:ind w:left="120"/>
            </w:pPr>
            <w:r>
              <w:rPr>
                <w:rFonts w:ascii="仿宋_GB2312" w:hAnsi="仿宋_GB2312" w:cs="仿宋_GB2312" w:eastAsia="仿宋_GB2312"/>
                <w:sz w:val="20"/>
                <w:color w:val="000000"/>
              </w:rPr>
              <w:t>四</w:t>
            </w:r>
            <w:r>
              <w:rPr>
                <w:rFonts w:ascii="仿宋_GB2312" w:hAnsi="仿宋_GB2312" w:cs="仿宋_GB2312" w:eastAsia="仿宋_GB2312"/>
                <w:sz w:val="20"/>
                <w:color w:val="000000"/>
              </w:rPr>
              <w:t>、商务要求（如合同价款及结算方式等）</w:t>
            </w:r>
          </w:p>
          <w:p>
            <w:pPr>
              <w:pStyle w:val="null3"/>
              <w:spacing w:before="60"/>
              <w:ind w:right="105" w:firstLine="448"/>
            </w:pPr>
            <w:r>
              <w:rPr>
                <w:rFonts w:ascii="仿宋_GB2312" w:hAnsi="仿宋_GB2312" w:cs="仿宋_GB2312" w:eastAsia="仿宋_GB2312"/>
                <w:sz w:val="20"/>
                <w:color w:val="000000"/>
              </w:rPr>
              <w:t>1、款项结算：</w:t>
            </w:r>
          </w:p>
          <w:p>
            <w:pPr>
              <w:pStyle w:val="null3"/>
              <w:spacing w:before="60"/>
              <w:ind w:right="105"/>
            </w:pPr>
            <w:r>
              <w:rPr>
                <w:rFonts w:ascii="仿宋_GB2312" w:hAnsi="仿宋_GB2312" w:cs="仿宋_GB2312" w:eastAsia="仿宋_GB2312"/>
                <w:sz w:val="20"/>
                <w:color w:val="000000"/>
              </w:rPr>
              <w:t>双方签订合同后，支付合同总金额的百分之四十</w:t>
            </w:r>
            <w:r>
              <w:rPr>
                <w:rFonts w:ascii="仿宋_GB2312" w:hAnsi="仿宋_GB2312" w:cs="仿宋_GB2312" w:eastAsia="仿宋_GB2312"/>
                <w:sz w:val="20"/>
                <w:color w:val="000000"/>
              </w:rPr>
              <w:t>(40%预付款，工程竣工验收合格付至工程款90%，待工程审计结束付清至100%</w:t>
            </w:r>
          </w:p>
          <w:p>
            <w:pPr>
              <w:pStyle w:val="null3"/>
              <w:spacing w:before="60"/>
              <w:ind w:right="105"/>
            </w:pPr>
            <w:r>
              <w:rPr>
                <w:rFonts w:ascii="仿宋_GB2312" w:hAnsi="仿宋_GB2312" w:cs="仿宋_GB2312" w:eastAsia="仿宋_GB2312"/>
                <w:sz w:val="20"/>
                <w:color w:val="000000"/>
              </w:rPr>
              <w:t>五、其他</w:t>
            </w:r>
          </w:p>
          <w:p>
            <w:pPr>
              <w:pStyle w:val="null3"/>
              <w:spacing w:before="60"/>
              <w:ind w:right="105"/>
            </w:pPr>
            <w:r>
              <w:rPr>
                <w:rFonts w:ascii="仿宋_GB2312" w:hAnsi="仿宋_GB2312" w:cs="仿宋_GB2312" w:eastAsia="仿宋_GB2312"/>
                <w:sz w:val="20"/>
                <w:color w:val="000000"/>
              </w:rPr>
              <w:t>工程量清单编制说明</w:t>
            </w:r>
          </w:p>
          <w:p>
            <w:pPr>
              <w:pStyle w:val="null3"/>
              <w:spacing w:before="60"/>
              <w:ind w:right="105"/>
            </w:pPr>
            <w:r>
              <w:rPr>
                <w:rFonts w:ascii="仿宋_GB2312" w:hAnsi="仿宋_GB2312" w:cs="仿宋_GB2312" w:eastAsia="仿宋_GB2312"/>
                <w:sz w:val="20"/>
                <w:color w:val="000000"/>
              </w:rPr>
              <w:t xml:space="preserve">      一、工程概况</w:t>
            </w:r>
          </w:p>
          <w:p>
            <w:pPr>
              <w:pStyle w:val="null3"/>
              <w:ind w:firstLine="560"/>
            </w:pPr>
            <w:r>
              <w:rPr>
                <w:rFonts w:ascii="仿宋_GB2312" w:hAnsi="仿宋_GB2312" w:cs="仿宋_GB2312" w:eastAsia="仿宋_GB2312"/>
                <w:sz w:val="20"/>
                <w:color w:val="000000"/>
              </w:rPr>
              <w:t>“蓝田县2025年教育基础设施建设项目蓝田县小寨镇初级中学修缮工程”位于陕西省蓝田县。其中包含1#教学楼、2#教学楼、1#实验楼、2#实验楼、1#宿办楼、2#宿办楼、综合办公楼、室外工程。</w:t>
            </w:r>
          </w:p>
          <w:p>
            <w:pPr>
              <w:pStyle w:val="null3"/>
              <w:ind w:firstLine="560"/>
            </w:pPr>
            <w:r>
              <w:rPr>
                <w:rFonts w:ascii="仿宋_GB2312" w:hAnsi="仿宋_GB2312" w:cs="仿宋_GB2312" w:eastAsia="仿宋_GB2312"/>
                <w:sz w:val="20"/>
                <w:color w:val="000000"/>
              </w:rPr>
              <w:t>二、编制范围</w:t>
            </w:r>
          </w:p>
          <w:p>
            <w:pPr>
              <w:pStyle w:val="null3"/>
              <w:ind w:firstLine="560"/>
            </w:pPr>
            <w:r>
              <w:rPr>
                <w:rFonts w:ascii="仿宋_GB2312" w:hAnsi="仿宋_GB2312" w:cs="仿宋_GB2312" w:eastAsia="仿宋_GB2312"/>
                <w:sz w:val="20"/>
                <w:color w:val="000000"/>
              </w:rPr>
              <w:t>本次编制范围包括：1#教学楼、2#教学楼、1#实验楼、2#实验楼、1#宿办楼、2#宿办楼、综合办公楼的外立面粉刷、屋顶防水修复、房间内部粉刷、走道面层修复、门窗更换等；室外工程的道路硬化、面层修复等。</w:t>
            </w:r>
          </w:p>
          <w:p>
            <w:pPr>
              <w:pStyle w:val="null3"/>
              <w:ind w:firstLine="562"/>
            </w:pPr>
            <w:r>
              <w:rPr>
                <w:rFonts w:ascii="仿宋_GB2312" w:hAnsi="仿宋_GB2312" w:cs="仿宋_GB2312" w:eastAsia="仿宋_GB2312"/>
                <w:sz w:val="20"/>
                <w:color w:val="000000"/>
              </w:rPr>
              <w:t>三、编制依据</w:t>
            </w:r>
          </w:p>
          <w:p>
            <w:pPr>
              <w:pStyle w:val="null3"/>
              <w:ind w:firstLine="560"/>
            </w:pPr>
            <w:r>
              <w:rPr>
                <w:rFonts w:ascii="仿宋_GB2312" w:hAnsi="仿宋_GB2312" w:cs="仿宋_GB2312" w:eastAsia="仿宋_GB2312"/>
                <w:sz w:val="20"/>
                <w:color w:val="000000"/>
              </w:rPr>
              <w:t>1.施工图纸；</w:t>
            </w:r>
          </w:p>
          <w:p>
            <w:pPr>
              <w:pStyle w:val="null3"/>
              <w:ind w:firstLine="560"/>
            </w:pPr>
            <w:r>
              <w:rPr>
                <w:rFonts w:ascii="仿宋_GB2312" w:hAnsi="仿宋_GB2312" w:cs="仿宋_GB2312" w:eastAsia="仿宋_GB2312"/>
                <w:sz w:val="20"/>
                <w:color w:val="000000"/>
              </w:rPr>
              <w:t>2.依据陕西省建设工程工程量清单计价计算标准（2025）》及《陕西省房屋建筑与装饰工程基价表（2025）》、《陕西省通用安装工程基价表（2025）》及其他相关的计价依据和办法及其配套定额和相关说明等；</w:t>
            </w:r>
          </w:p>
          <w:p>
            <w:pPr>
              <w:pStyle w:val="null3"/>
              <w:ind w:firstLine="560"/>
            </w:pPr>
            <w:r>
              <w:rPr>
                <w:rFonts w:ascii="仿宋_GB2312" w:hAnsi="仿宋_GB2312" w:cs="仿宋_GB2312" w:eastAsia="仿宋_GB2312"/>
                <w:sz w:val="20"/>
                <w:color w:val="000000"/>
              </w:rPr>
              <w:t>3.常规的施工组织设计、施工方法及相关标准图集、施工规范、验收规范。</w:t>
            </w:r>
          </w:p>
          <w:p>
            <w:pPr>
              <w:pStyle w:val="null3"/>
              <w:ind w:firstLine="562"/>
            </w:pPr>
            <w:r>
              <w:rPr>
                <w:rFonts w:ascii="仿宋_GB2312" w:hAnsi="仿宋_GB2312" w:cs="仿宋_GB2312" w:eastAsia="仿宋_GB2312"/>
                <w:sz w:val="20"/>
                <w:color w:val="000000"/>
              </w:rPr>
              <w:t>四、其他有关说明</w:t>
            </w:r>
          </w:p>
          <w:p>
            <w:pPr>
              <w:pStyle w:val="null3"/>
              <w:ind w:firstLine="560"/>
            </w:pPr>
            <w:r>
              <w:rPr>
                <w:rFonts w:ascii="仿宋_GB2312" w:hAnsi="仿宋_GB2312" w:cs="仿宋_GB2312" w:eastAsia="仿宋_GB2312"/>
                <w:sz w:val="20"/>
                <w:color w:val="000000"/>
              </w:rPr>
              <w:t>（一）土建工程</w:t>
            </w:r>
          </w:p>
          <w:p>
            <w:pPr>
              <w:pStyle w:val="null3"/>
              <w:ind w:firstLine="560"/>
            </w:pPr>
            <w:r>
              <w:rPr>
                <w:rFonts w:ascii="仿宋_GB2312" w:hAnsi="仿宋_GB2312" w:cs="仿宋_GB2312" w:eastAsia="仿宋_GB2312"/>
                <w:sz w:val="20"/>
                <w:color w:val="000000"/>
              </w:rPr>
              <w:t>1.本工程采用预拌砂浆、商品混凝土；</w:t>
            </w:r>
          </w:p>
          <w:p>
            <w:pPr>
              <w:pStyle w:val="null3"/>
              <w:ind w:firstLine="560"/>
            </w:pPr>
            <w:r>
              <w:rPr>
                <w:rFonts w:ascii="仿宋_GB2312" w:hAnsi="仿宋_GB2312" w:cs="仿宋_GB2312" w:eastAsia="仿宋_GB2312"/>
                <w:sz w:val="20"/>
                <w:color w:val="000000"/>
              </w:rPr>
              <w:t>2.本项目暂列金额70000元；</w:t>
            </w:r>
          </w:p>
          <w:p>
            <w:pPr>
              <w:pStyle w:val="null3"/>
              <w:ind w:firstLine="560"/>
            </w:pPr>
            <w:r>
              <w:rPr>
                <w:rFonts w:ascii="仿宋_GB2312" w:hAnsi="仿宋_GB2312" w:cs="仿宋_GB2312" w:eastAsia="仿宋_GB2312"/>
                <w:sz w:val="20"/>
                <w:color w:val="000000"/>
              </w:rPr>
              <w:t>（二）编制使用软件</w:t>
            </w:r>
          </w:p>
          <w:p>
            <w:pPr>
              <w:pStyle w:val="null3"/>
              <w:ind w:firstLine="560"/>
            </w:pPr>
            <w:r>
              <w:rPr>
                <w:rFonts w:ascii="仿宋_GB2312" w:hAnsi="仿宋_GB2312" w:cs="仿宋_GB2312" w:eastAsia="仿宋_GB2312"/>
                <w:sz w:val="20"/>
                <w:color w:val="000000"/>
              </w:rPr>
              <w:t>1.广联达云计价平台GCCP7.0，版本号7.5000.23.2。</w:t>
            </w:r>
          </w:p>
          <w:p>
            <w:pPr>
              <w:pStyle w:val="null3"/>
              <w:spacing w:before="60"/>
              <w:ind w:right="105"/>
            </w:pPr>
          </w:p>
        </w:tc>
      </w:tr>
    </w:tbl>
    <w:p>
      <w:pPr>
        <w:pStyle w:val="null3"/>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1.中标人在领取中标通知书时提供纸质版投标文件 1套，确保与电子投标文件保持一致，不允许修改和补充。提交地点：陕西省西安市雁塔区南二环西段58号成长大厦8楼招标中心。 2.根据《关于推动解决政府采购异常低价问题的通知》财库〔2026〕2号，本项目政府采购评审中出现下列情形之一的，评审委员会应当启动异常低价投标（响应）审查程序：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1.营业执照、其他组织经营的合法凭证，自然人的提供身份证明文件； 2.财务状况证明：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 3.税收缴纳证明：提供投标截止日前一年内已缴纳的至少一个月的纳税证明或完税证明，依法免税的单位应提供相关证明材料 4.社会保障资金缴纳证明：提供投标截止日前一年内已缴存的至少一个月的社会保障资金缴存单据或社保机构开具的社会保险参保缴费情况证明，依法不需要缴纳社会保障资金的单位应提供相关证明材料； 5.提供具有履行本合同所必需的设备和专业技术能力的说明及承诺； 6.提供参加政府采购活动前三年内在经营活动中没有重大违法记录的书面声明。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具有财务审计资质单位出具的2024年度或2025年度财务审计报告（成立时间至开标时间不足一年的可提供成立后任意时段的资产负债表）或开标前六个月内其基本账户银行出具的资信证明（附开户许可证或基本账户证明）或政府采购信用担保机构出具的投标担保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信誉截图</w:t>
            </w:r>
          </w:p>
        </w:tc>
        <w:tc>
          <w:tcPr>
            <w:tcW w:type="dxa" w:w="3322"/>
          </w:tcPr>
          <w:p>
            <w:pPr>
              <w:pStyle w:val="null3"/>
            </w:pPr>
            <w:r>
              <w:rPr>
                <w:rFonts w:ascii="仿宋_GB2312" w:hAnsi="仿宋_GB2312" w:cs="仿宋_GB2312" w:eastAsia="仿宋_GB2312"/>
              </w:rPr>
              <w:t>投标人不得为“信用中国”网站（www.creditchina.gov.cn）中列入失信被执行人（页面跳转至“中国执行信息公开网”http://zxgk.court.gov.cn/shixin/）和重大税收违法案件当事人名单的投标人，不得为中国政府采购网（www.ccgp.gov.cn）政府采购严重违法失信行为记录名单中被财政部门禁止参加政府采购活动的投标人；（以磋商资格审查时为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法定代表人授权书（附法定代表人、被授权人身份证复印件）及被授权人身份证（法定代表人直接参加投标，须提供法定代表人身份证明及身份证）。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供应商具有建设行政主管部门颁发的建筑工程施工总承包叁级及以上资质，同时具有有效的安全生产许可证。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须具有在本单位注册的建筑工程专业二级及以上注册建造师证书和有效的安全生产考核合格证（B证），并提供无在建工程承诺和无不良记录承诺。</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参与供应商为非联合体（提供声明函）</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单位负责人为同一人或者存在控股、管理关系的不同投标人，不得参加本项目同一合同下的政府采购活动</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 3.根据《关于推动解决政府采购异常低价问题的通知》财库〔2026〕2号，本项目政府采购评审中出现下列情形之一的，评审委员会应当启动异常低价投标（响应）审查程序：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审委员会启动异常低价投标（响应）审查后，属于前述第1项至第4项情形的，供应商在评审现场30分钟时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按磋商文件要求加盖了供应商公章和有法定代表人或其授权代表签字或加盖人名章</w:t>
            </w:r>
          </w:p>
        </w:tc>
        <w:tc>
          <w:tcPr>
            <w:tcW w:type="dxa" w:w="1661"/>
          </w:tcPr>
          <w:p>
            <w:pPr>
              <w:pStyle w:val="null3"/>
            </w:pPr>
            <w:r>
              <w:rPr>
                <w:rFonts w:ascii="仿宋_GB2312" w:hAnsi="仿宋_GB2312" w:cs="仿宋_GB2312" w:eastAsia="仿宋_GB2312"/>
              </w:rPr>
              <w:t>响应文件封面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未超出采购预算和最高限价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有效期满足磋商文件要求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备选方案</w:t>
            </w:r>
          </w:p>
        </w:tc>
        <w:tc>
          <w:tcPr>
            <w:tcW w:type="dxa" w:w="3322"/>
          </w:tcPr>
          <w:p>
            <w:pPr>
              <w:pStyle w:val="null3"/>
            </w:pPr>
            <w:r>
              <w:rPr>
                <w:rFonts w:ascii="仿宋_GB2312" w:hAnsi="仿宋_GB2312" w:cs="仿宋_GB2312" w:eastAsia="仿宋_GB2312"/>
              </w:rPr>
              <w:t>供应商不得提交两份或者多份内容不同的响应文件，或者在同一份响应文件中对同一磋商项目有两个或者多个报价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供应商提供的文件无实质性遗漏</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无法律、法规和磋商文件规定的其他无效情形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①施工方案全面、合理，施工方法先进，可行性强，完全满足工程施工要求的得8分； ②施工方案全面、合理，施工方法较先进，有一定的可行性，能满足工程施工要求的得5分； ③施工方案存在部分不完整，施工方法针对本项目基本可行的得2分；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①工程质量的技术组织措施详尽、合理、可行性度高，得5分；②工程质量的技术组织措施基本完善、较为合理，得3分； ③工程质量的技术组织措施笼统简单，得1分；未提供不得分。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①措施完整全面，能够从多方面保证安全生产，且合理性、可行性强的得5分； ②措施基本完整全面，能从多个方面确保安全生产，基本合理、可行的得3分； ③措施不完整、全面，但有一定的可行性的得1分；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降噪、降尘、封路措施</w:t>
            </w:r>
          </w:p>
        </w:tc>
        <w:tc>
          <w:tcPr>
            <w:tcW w:type="dxa" w:w="2492"/>
          </w:tcPr>
          <w:p>
            <w:pPr>
              <w:pStyle w:val="null3"/>
            </w:pPr>
            <w:r>
              <w:rPr>
                <w:rFonts w:ascii="仿宋_GB2312" w:hAnsi="仿宋_GB2312" w:cs="仿宋_GB2312" w:eastAsia="仿宋_GB2312"/>
              </w:rPr>
              <w:t>①针对学校实际情况能从多方面降噪、降尘、封路等因素提出相关解决和防治措施，实施度高、可落地性强，可确保达到环境保护的要求得3分； ②措施基本全面、完整，基本有一定的可行性，能基本满足环境保护要求的得2分； ③措施存在较大不合理性、内容简单的得1分； 未提供的不得分。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确保文明施工及环境保护措施</w:t>
            </w:r>
          </w:p>
        </w:tc>
        <w:tc>
          <w:tcPr>
            <w:tcW w:type="dxa" w:w="2492"/>
          </w:tcPr>
          <w:p>
            <w:pPr>
              <w:pStyle w:val="null3"/>
            </w:pPr>
            <w:r>
              <w:rPr>
                <w:rFonts w:ascii="仿宋_GB2312" w:hAnsi="仿宋_GB2312" w:cs="仿宋_GB2312" w:eastAsia="仿宋_GB2312"/>
              </w:rPr>
              <w:t>①措施全面、完整，能从多方面确保文明施工、考虑影响环境得因素，并提出相关解决和防治措施，实施度高、可落地性强，可确保达到环境保护的要求得5分； ②措施基本全面、完整，基本有一定的可行性，能基本满足文明施工、环境保护要求的得3分； ③措施存在较大不合理性、内容简单的得1分；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①措施全面、实施进度安排合理，可行性强，具有详细明确的实施进度计划表，能够确保工程如期保质完成的得5分； ②进度安排合理，有一定的可行性，实施进度计划基本明确的能够基本保证项目如期完成的得3分； ③进度安排合理性、可行性均较差的得1分；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施工机械设备和劳动力安排计划</w:t>
            </w:r>
          </w:p>
        </w:tc>
        <w:tc>
          <w:tcPr>
            <w:tcW w:type="dxa" w:w="2492"/>
          </w:tcPr>
          <w:p>
            <w:pPr>
              <w:pStyle w:val="null3"/>
            </w:pPr>
            <w:r>
              <w:rPr>
                <w:rFonts w:ascii="仿宋_GB2312" w:hAnsi="仿宋_GB2312" w:cs="仿宋_GB2312" w:eastAsia="仿宋_GB2312"/>
              </w:rPr>
              <w:t>①机械配备投入合且数量充足、投入计划紧贴项目进度，劳动力安排合理，可操作性强，能够确保项目如期保质完成的得5分； ②机械配备投入计划基本合理，基本与项目进度匹配，劳动力数量基本合理，计划表基本清晰、可行，能保证项目建设进度的得3分； ③机械配备投入数量存在部分不合理，与项目建设进度匹配度较差，劳动力数量存在部分不合理，计划表不清晰、可行性较差的得1分；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施工进度表或施工网络图</w:t>
            </w:r>
          </w:p>
        </w:tc>
        <w:tc>
          <w:tcPr>
            <w:tcW w:type="dxa" w:w="2492"/>
          </w:tcPr>
          <w:p>
            <w:pPr>
              <w:pStyle w:val="null3"/>
            </w:pPr>
            <w:r>
              <w:rPr>
                <w:rFonts w:ascii="仿宋_GB2312" w:hAnsi="仿宋_GB2312" w:cs="仿宋_GB2312" w:eastAsia="仿宋_GB2312"/>
              </w:rPr>
              <w:t>①进度安排合理、可行、科学、符合项目实施需求，施工进度表或网络图表达清晰、合理的得5分； ②进度安排较合理、较可行、较符合项目实施需求，施工进度表或网络图表达较不明确、较不清晰的得3分； ③进度安排合理和可行较差的，施工进度表或网络图表达不明确、不清晰、较混乱的得1分； 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vMerge/>
          </w:tcPr>
          <w:p/>
        </w:tc>
        <w:tc>
          <w:tcPr>
            <w:tcW w:type="dxa" w:w="1661"/>
          </w:tcPr>
          <w:p>
            <w:pPr>
              <w:pStyle w:val="null3"/>
            </w:pPr>
            <w:r>
              <w:rPr>
                <w:rFonts w:ascii="仿宋_GB2312" w:hAnsi="仿宋_GB2312" w:cs="仿宋_GB2312" w:eastAsia="仿宋_GB2312"/>
              </w:rPr>
              <w:t>拟派施工组织和项目管理机构成员</w:t>
            </w:r>
          </w:p>
        </w:tc>
        <w:tc>
          <w:tcPr>
            <w:tcW w:type="dxa" w:w="2492"/>
          </w:tcPr>
          <w:p>
            <w:pPr>
              <w:pStyle w:val="null3"/>
            </w:pPr>
            <w:r>
              <w:rPr>
                <w:rFonts w:ascii="仿宋_GB2312" w:hAnsi="仿宋_GB2312" w:cs="仿宋_GB2312" w:eastAsia="仿宋_GB2312"/>
              </w:rPr>
              <w:t>①项目部组织结构、项目下设部门岗位职责合理，专业作业队配置齐全；合理、齐全得8分； ②项目部组织结构、项目下设部门岗位职责较为合理，专业作业队配置较为完善；部分合理得5分； ③项目部组织结构、项目下设部门岗位职责不合理，人员配置不完善得2分； 未提供的不得分。 备注：拟派施工项目管理机构成员：提供有效的身份证复印件、毕业证、供应商近半年内任意一个月社保缴纳证明以及其他能证明项目管理机构成员执业资格和能力的证书。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详细评审内容.docx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主材产品</w:t>
            </w:r>
          </w:p>
        </w:tc>
        <w:tc>
          <w:tcPr>
            <w:tcW w:type="dxa" w:w="2492"/>
          </w:tcPr>
          <w:p>
            <w:pPr>
              <w:pStyle w:val="null3"/>
            </w:pPr>
            <w:r>
              <w:rPr>
                <w:rFonts w:ascii="仿宋_GB2312" w:hAnsi="仿宋_GB2312" w:cs="仿宋_GB2312" w:eastAsia="仿宋_GB2312"/>
              </w:rPr>
              <w:t>①提供主材产品的质量证明材料及证明材料(包括但不限于有效期内所投产品的检测报告、产品官网截图、产品的认证证书等资料);主材品牌、规格、型号及生产厂家，明细且具有市场认知度;品牌、规格型号等内容明确且相关材料齐全者得:8分; ②缺少部分证明材料或相关材料明确程度一般者得5分; ③主材信息部分缺失或仅提供个别证明材料无法佐证所投产品:2分； 未提供的不得分。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供应商提供2023年1月1日至今类似项目业绩，每提供一个有效业绩得3分，最高得9分。（业绩以合同复印件或扫描件为准，时间以合同签订时间为准）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详细评审内容.docx</w:t>
            </w:r>
          </w:p>
          <w:p>
            <w:pPr>
              <w:pStyle w:val="null3"/>
            </w:pPr>
            <w:r>
              <w:rPr>
                <w:rFonts w:ascii="仿宋_GB2312" w:hAnsi="仿宋_GB2312" w:cs="仿宋_GB2312" w:eastAsia="仿宋_GB2312"/>
              </w:rPr>
              <w:t>技术、服务、合同条款及其他商务要求应答表.docx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①针对本项目拟派的项目负责人具备建筑类相关专业高级职称得2分，中级职称得1分。 注：须提供合格有效的相关证书及供应商近半年内任意一个月为其缴纳社保的证明材料复印件并加盖公章，未提供不得分。 ②项目负责人具有丰富的工作经验，提供近三年（2023年1月1日至响应文件递交截止之日，以合同签订时间为准）的类似业绩，每提供一份得2分，最高2分。 注：以供应商加盖公章的合同复印件为准，合同中须体现项目负责人的姓名。项目负责人业绩与企业业绩可重复计算。</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技术、服务、合同条款及其他商务要求应答表.docx</w:t>
            </w:r>
          </w:p>
          <w:p>
            <w:pPr>
              <w:pStyle w:val="null3"/>
            </w:pPr>
            <w:r>
              <w:rPr>
                <w:rFonts w:ascii="仿宋_GB2312" w:hAnsi="仿宋_GB2312" w:cs="仿宋_GB2312" w:eastAsia="仿宋_GB2312"/>
              </w:rPr>
              <w:t>详细评审内容.docx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满足磋商文件要求且最终磋商报价最低的为基准价，其价格分为满分。其他磋商供应商的价格分统一按照下列公式计算：最终磋商报价得分=（基准价/最终磋商报价）×30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详见附件：详细评审内容.docx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详见附件：1拟签订采购合同文本.docx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