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708BBD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2" w:firstLineChars="200"/>
        <w:jc w:val="center"/>
        <w:textAlignment w:val="auto"/>
        <w:outlineLvl w:val="1"/>
        <w:rPr>
          <w:rFonts w:hint="default" w:ascii="仿宋" w:hAnsi="仿宋" w:eastAsia="仿宋" w:cs="仿宋"/>
          <w:b/>
          <w:sz w:val="28"/>
          <w:szCs w:val="28"/>
          <w:highlight w:val="none"/>
          <w:lang w:val="en-US" w:bidi="zh-CN"/>
        </w:rPr>
      </w:pPr>
      <w:bookmarkStart w:id="0" w:name="_Toc4189"/>
      <w:r>
        <w:rPr>
          <w:rFonts w:hint="eastAsia" w:ascii="仿宋" w:hAnsi="仿宋" w:eastAsia="仿宋" w:cs="仿宋"/>
          <w:b/>
          <w:sz w:val="28"/>
          <w:szCs w:val="28"/>
          <w:highlight w:val="none"/>
          <w:lang w:val="en-US" w:bidi="zh-CN"/>
        </w:rPr>
        <w:t>采购需求</w:t>
      </w:r>
      <w:bookmarkStart w:id="8" w:name="_GoBack"/>
      <w:bookmarkEnd w:id="8"/>
    </w:p>
    <w:p w14:paraId="0434E5B3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2" w:firstLineChars="200"/>
        <w:jc w:val="left"/>
        <w:textAlignment w:val="auto"/>
        <w:outlineLvl w:val="1"/>
        <w:rPr>
          <w:rFonts w:hint="eastAsia" w:ascii="仿宋" w:hAnsi="仿宋" w:eastAsia="仿宋" w:cs="仿宋"/>
          <w:b/>
          <w:sz w:val="28"/>
          <w:szCs w:val="28"/>
          <w:highlight w:val="none"/>
          <w:lang w:val="zh-CN" w:bidi="zh-CN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  <w:lang w:val="zh-CN" w:bidi="zh-CN"/>
        </w:rPr>
        <w:t>1.</w:t>
      </w:r>
      <w:r>
        <w:rPr>
          <w:rFonts w:hint="eastAsia" w:ascii="仿宋" w:hAnsi="仿宋" w:eastAsia="仿宋" w:cs="仿宋"/>
          <w:b/>
          <w:sz w:val="28"/>
          <w:szCs w:val="28"/>
          <w:highlight w:val="none"/>
          <w:lang w:bidi="zh-CN"/>
        </w:rPr>
        <w:t>等级保护测评</w:t>
      </w:r>
      <w:r>
        <w:rPr>
          <w:rFonts w:hint="eastAsia" w:ascii="仿宋" w:hAnsi="仿宋" w:eastAsia="仿宋" w:cs="仿宋"/>
          <w:b/>
          <w:sz w:val="28"/>
          <w:szCs w:val="28"/>
          <w:highlight w:val="none"/>
          <w:lang w:eastAsia="zh-Hans" w:bidi="zh-CN"/>
        </w:rPr>
        <w:t>服务要求</w:t>
      </w:r>
      <w:bookmarkEnd w:id="0"/>
    </w:p>
    <w:p w14:paraId="3283090E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依据《信息安全技术 网络安全等级保护基本要求》（GB/T 22239-2019）、《信息安全技术 网络安全等级保护测评要求》（GB/T 28448-2019）和《信息安全技术 网络安全等级保护测评过程指南》（GB/T 28449-2018）等国家关于信息系统安全等级保护的相关标准和规范要求，为被测系统提供等级保护测评实施工作，包括物理安全环境、安全通信网络、安全区域边界、安全计算环境、安全管理中心、安全管理制度、安全管理机构、安全管理人员、安全建设管理、安全运维管理10个方面。并出具1个系统的测评报告、整改建议书。</w:t>
      </w:r>
    </w:p>
    <w:p w14:paraId="0E34AD83">
      <w:pPr>
        <w:pStyle w:val="4"/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Lines="0"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  <w:lang w:eastAsia="zh-Hans" w:bidi="zh-CN"/>
        </w:rPr>
      </w:pPr>
      <w:bookmarkStart w:id="1" w:name="_Toc6859"/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eastAsia="zh-Hans" w:bidi="zh-CN"/>
        </w:rPr>
        <w:t>1.1等级保护测评技术要求</w:t>
      </w:r>
      <w:bookmarkEnd w:id="1"/>
    </w:p>
    <w:p w14:paraId="5C9D64EE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供应商应按照国家相关要求，从“定级-备案-等级测评-安全建设整改-配合监督检查”5个环节配合采购人做好等级保护工作。其中针对等级测评工作过程，依据《信息安全技术 网络安全等级保护基本要求》（GB/T 22239-2019）、《信息安全技术 网络安全等级保护测评要求》（GB/T 28448-2019）和《信息安全技术 网络安全等级保护测评过程指南》（GB/T 28449-2018）等国家关于信息系统安全等级保护的相关标准和规范要求，要求供应商严格按照下列流程开展工作：</w:t>
      </w:r>
    </w:p>
    <w:p w14:paraId="676A41F3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测评准备阶段：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是开展等级测评工作的前提和基础，是整个等级测评过程有效性的保证。测评准备工作是否充分直接关系到后续工作能否顺利开展。本活动的主要任务是掌握被测系统的详细情况，准备测试工具，为编制测评方案做好准备。</w:t>
      </w:r>
    </w:p>
    <w:p w14:paraId="03245B8E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方案编制阶段：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是开展等级测评工作的关键活动，为现场测评提供最基本的文档和指导方案。本活动的主要任务是确定与被测信息系统相适应的测评对象、测评指标及测评内容等，并根据需要重用或开发测评指导书，形成测评方案。</w:t>
      </w:r>
    </w:p>
    <w:p w14:paraId="28705D76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现场测评阶段：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是开展等级测评工作的核心活动。本活动的主要任务是按照测评方案的总体要求，严格按照测评指导书执行，分步实施所有测评项目，以了解系统的真实保护情况，获取足够证据，发现系统存在的安全问题。</w:t>
      </w:r>
    </w:p>
    <w:p w14:paraId="2B3E41B1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分析与报告编制阶段：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是给出等级测评工作结果的活动，是总结被测系统整体安全保护能力的综合评价活动。本活动的主要任务是根据现场测评结果和《信息安全技术 网络安全等级保护实施指南》的有关要求，通过单项测评结果判定、单元测评结果判定、整体测评和风险分析等方法，找出整个系统的安全保护现状与相应等级的保护要求之间的差距，并分析这些差距导致被测系统面临的风险，从而给出等级测评结论，形成网络系统安全等级保护测评报告文本。</w:t>
      </w:r>
    </w:p>
    <w:p w14:paraId="6941CFDB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建设整改咨询阶段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：建设整改咨询工作以等级测评发现的安全问题为工作重点，以及测评报告中安全建设整改建议；将信息系统的安全建设整改需求落实到可操作的安全技术和管理上，提出能够实现的技术参数或制度及其具体规范。并依据测评报告中安全建设整改建议开展建设整改工作时，投标人将提供建设整改过程中的与建设整改相关的咨询服务。</w:t>
      </w:r>
    </w:p>
    <w:p w14:paraId="1FB1C633">
      <w:pPr>
        <w:pStyle w:val="4"/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Lines="0"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  <w:lang w:eastAsia="zh-Hans" w:bidi="zh-CN"/>
        </w:rPr>
      </w:pPr>
      <w:bookmarkStart w:id="2" w:name="_Toc30688"/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eastAsia="zh-Hans" w:bidi="zh-CN"/>
        </w:rPr>
        <w:t>1.2等级保护测评工作指标</w:t>
      </w:r>
      <w:bookmarkEnd w:id="2"/>
    </w:p>
    <w:p w14:paraId="4A7371B7">
      <w:pPr>
        <w:pStyle w:val="4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Lines="0"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bookmarkStart w:id="3" w:name="_Toc8760"/>
      <w:r>
        <w:rPr>
          <w:rFonts w:hint="eastAsia" w:ascii="仿宋" w:hAnsi="仿宋" w:eastAsia="仿宋" w:cs="仿宋"/>
          <w:sz w:val="28"/>
          <w:szCs w:val="28"/>
          <w:highlight w:val="none"/>
        </w:rPr>
        <w:t>三级要求指标</w:t>
      </w:r>
      <w:bookmarkEnd w:id="3"/>
    </w:p>
    <w:p w14:paraId="1CCDBAE8">
      <w:pPr>
        <w:pStyle w:val="13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 w:val="0"/>
          <w:sz w:val="28"/>
          <w:szCs w:val="28"/>
          <w:highlight w:val="none"/>
        </w:rPr>
        <w:t xml:space="preserve">安全通用要求针对共性化保护需求提出保护要求，等级保护对象无论以何种形式出现，都应该根据安全保护等级实现相应级别的安全通用要求。在本次项目中，依据被测系统的定级报告，选择《基本要求》中安全通用要求对应级别的安全要求作为等级测评的测评指标。由于被测系统是安全等级为第三级（S3A3G3）的信息系统，所以选取《基本要求》中安全通用要求保护数据在存储、传输、处理过程中不被泄漏、破坏和免受未授权的修改的信息安全类要求（简记为S)指标、保护系统连续正常的运行，免受对系统的未授权修改、破坏而导致系统不可用的服务保证类要求（简记为A）和其他安全保护类要求（简记为G）。具体测评指标如下表所示： </w:t>
      </w:r>
    </w:p>
    <w:p w14:paraId="65D82E58">
      <w:pPr>
        <w:pStyle w:val="14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表1 测评指标表</w:t>
      </w:r>
    </w:p>
    <w:tbl>
      <w:tblPr>
        <w:tblStyle w:val="7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2"/>
        <w:gridCol w:w="2507"/>
        <w:gridCol w:w="735"/>
        <w:gridCol w:w="750"/>
        <w:gridCol w:w="765"/>
        <w:gridCol w:w="757"/>
        <w:gridCol w:w="1756"/>
      </w:tblGrid>
      <w:tr w14:paraId="39CBAD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 w14:paraId="70CCAC9A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测评指标</w:t>
            </w:r>
          </w:p>
        </w:tc>
      </w:tr>
      <w:tr w14:paraId="5A3204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 w14:paraId="7DCF9A4C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技术管理</w:t>
            </w:r>
          </w:p>
        </w:tc>
        <w:tc>
          <w:tcPr>
            <w:tcW w:w="147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 w14:paraId="5D07E14A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安全类</w:t>
            </w:r>
          </w:p>
        </w:tc>
        <w:tc>
          <w:tcPr>
            <w:tcW w:w="1764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 w14:paraId="6E09AF39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安全控制点数量</w:t>
            </w:r>
          </w:p>
        </w:tc>
        <w:tc>
          <w:tcPr>
            <w:tcW w:w="10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 w14:paraId="4BAD3798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测评项数量</w:t>
            </w:r>
          </w:p>
        </w:tc>
      </w:tr>
      <w:tr w14:paraId="6577BA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A74D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F055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 w14:paraId="4249D507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S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 w14:paraId="1CCC7362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A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 w14:paraId="18E3CAF9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G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 w14:paraId="227672AD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小计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64A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</w:tr>
      <w:tr w14:paraId="299D99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2343C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安全技术要求</w:t>
            </w: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64E07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安全物理环境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A292B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3F2C2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6127E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8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1515D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10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62EA9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22</w:t>
            </w:r>
          </w:p>
        </w:tc>
      </w:tr>
      <w:tr w14:paraId="6F1BEE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85E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1EF1D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安全通信网络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F37D0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67900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057FC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3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BB3B4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3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6149D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8</w:t>
            </w:r>
          </w:p>
        </w:tc>
      </w:tr>
      <w:tr w14:paraId="159779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19B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CAE51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安全区域边界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68923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64F56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C2C88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5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56923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6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9595A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20</w:t>
            </w:r>
          </w:p>
        </w:tc>
      </w:tr>
      <w:tr w14:paraId="0081C5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E03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3B31E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安全计算环境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3F73D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8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8DB90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922CA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2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99A13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11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FA3DB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34</w:t>
            </w:r>
          </w:p>
        </w:tc>
      </w:tr>
      <w:tr w14:paraId="2E1540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A8E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9058F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安全管理中心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580C5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96E7F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28DA2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4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52C9E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4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A5992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12</w:t>
            </w:r>
          </w:p>
        </w:tc>
      </w:tr>
      <w:tr w14:paraId="4B402A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E5B0B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安全管理要求</w:t>
            </w: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9E9F2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安全管理制度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E4FC9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889DE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EEBE5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4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01C11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4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1736E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7</w:t>
            </w:r>
          </w:p>
        </w:tc>
      </w:tr>
      <w:tr w14:paraId="408CBE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396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3FC1A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安全管理机构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11B8C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6295A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9CD44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5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15202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5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ED466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14</w:t>
            </w:r>
          </w:p>
        </w:tc>
      </w:tr>
      <w:tr w14:paraId="108167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E9B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21D6B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安全管理人员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7A3E8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7D621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8E990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5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9A1E0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4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B609B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12</w:t>
            </w:r>
          </w:p>
        </w:tc>
      </w:tr>
      <w:tr w14:paraId="0C8B76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6E4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BE480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安全建设管理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D1ED4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1B955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55782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10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B51CF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10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36F2A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34</w:t>
            </w:r>
          </w:p>
        </w:tc>
      </w:tr>
      <w:tr w14:paraId="0ACB35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1C4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5BBBE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安全运维管理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F05F7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589E6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0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C144A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14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BDF1D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14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F6584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48</w:t>
            </w:r>
          </w:p>
        </w:tc>
      </w:tr>
      <w:tr w14:paraId="1E3E29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89E3F1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2FB2B3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71</w:t>
            </w:r>
          </w:p>
        </w:tc>
        <w:tc>
          <w:tcPr>
            <w:tcW w:w="10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DF3B44"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none"/>
              </w:rPr>
              <w:t>211</w:t>
            </w:r>
          </w:p>
        </w:tc>
      </w:tr>
    </w:tbl>
    <w:p w14:paraId="6E6A2270">
      <w:pPr>
        <w:pStyle w:val="4"/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Lines="0"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  <w:lang w:eastAsia="zh-Hans" w:bidi="zh-CN"/>
        </w:rPr>
      </w:pPr>
      <w:bookmarkStart w:id="4" w:name="_Toc31324"/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eastAsia="zh-Hans" w:bidi="zh-CN"/>
        </w:rPr>
        <w:t>1.3等级保护测评服务要求</w:t>
      </w:r>
      <w:bookmarkEnd w:id="4"/>
    </w:p>
    <w:p w14:paraId="793AB579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（1）服务质量保证：测评机构应能根据质量体系要求建立科学的质量保证体系，从人员配备、工具保障以</w:t>
      </w:r>
      <w:r>
        <w:rPr>
          <w:rStyle w:val="11"/>
          <w:rFonts w:hint="eastAsia" w:ascii="仿宋" w:hAnsi="仿宋" w:eastAsia="仿宋" w:cs="仿宋"/>
          <w:sz w:val="28"/>
          <w:szCs w:val="28"/>
          <w:highlight w:val="none"/>
        </w:rPr>
        <w:t>及科学的测评方法论、工作过程等多方面保证项目实施过程的质量。通过“项目调研-计划编制-方案编制-现场测评-编制测评报告”几个环节严格执行，并在重要环节进行文档评审，保证报告结论准确性。</w:t>
      </w:r>
    </w:p>
    <w:p w14:paraId="6D9BCBBB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（2）测评工具配备：要求测评过程使用专用测评设备，并配备国家权威机构认证的测评漏洞扫描工具，工具应具有相关采购证明材料。</w:t>
      </w:r>
    </w:p>
    <w:p w14:paraId="29D15A82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 xml:space="preserve">（3）人员配备：为保证本项目测评工作质量及进度要求，项目组要求至少配备5名测评人员。项目经理要求至少为高级测评师，在本行业从事5年及以上，具备丰富的项目实施经验和技术能力；项目组成员至少2名中级测评师在本行业从事2年及以上，要求质量负责人具有中级测评师证书。 </w:t>
      </w:r>
    </w:p>
    <w:p w14:paraId="0265570D">
      <w:pPr>
        <w:pStyle w:val="4"/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Lines="0"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  <w:lang w:bidi="zh-CN"/>
        </w:rPr>
      </w:pPr>
      <w:bookmarkStart w:id="5" w:name="_Toc22680"/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bidi="zh-CN"/>
        </w:rPr>
        <w:t>1.4测评服务原则</w:t>
      </w:r>
      <w:bookmarkEnd w:id="5"/>
    </w:p>
    <w:p w14:paraId="6216A07B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为保障项目的顺利实施，在项目实施过程须遵循以下原则：</w:t>
      </w:r>
    </w:p>
    <w:p w14:paraId="04BB6FB6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（1）规范性原则</w:t>
      </w:r>
    </w:p>
    <w:p w14:paraId="013847F1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加强项目管理，在人员、质量和时间进度等方面进行严格管控。</w:t>
      </w:r>
    </w:p>
    <w:p w14:paraId="45026592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（2）标准化原则</w:t>
      </w:r>
    </w:p>
    <w:p w14:paraId="14346323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测评过程须严格遵守国家的相关法律、法规、规范、标准等相关要求。</w:t>
      </w:r>
    </w:p>
    <w:p w14:paraId="4D1A2D23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（3）完整性原则</w:t>
      </w:r>
    </w:p>
    <w:p w14:paraId="5ABC28B6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在测评过程中，必须确保测评数据、过程记录的完整性。评测内容要综合考虑所有评测对象的技术措施，并建立完整有效的评测流程，保证不存在影响评测结果的疏忽或遗漏。</w:t>
      </w:r>
    </w:p>
    <w:p w14:paraId="1B8ECFA6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（4）保密性原则</w:t>
      </w:r>
    </w:p>
    <w:p w14:paraId="7B10A3D7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在测评过程中，切实加强对人员、技术等方面的组织管理；与采购人签署具有法律意义的保密协议，确保在项目实施过程中涉及的所有信息，不会泄露给第三方单位或个人，不得擅自利用这些信息。</w:t>
      </w:r>
    </w:p>
    <w:p w14:paraId="1618F400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（5）影响最小原则</w:t>
      </w:r>
    </w:p>
    <w:p w14:paraId="4E4A32B1">
      <w:pPr>
        <w:pStyle w:val="12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在项目实施的过程中，须充分考虑到相关活动对系统正常运行的不利影响，采取必要的措施将相关风险降到最低。</w:t>
      </w:r>
    </w:p>
    <w:p w14:paraId="2DFBEFC0">
      <w:pPr>
        <w:pStyle w:val="4"/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Lines="0"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  <w:lang w:eastAsia="zh-Hans" w:bidi="zh-CN"/>
        </w:rPr>
      </w:pPr>
      <w:bookmarkStart w:id="6" w:name="_Toc1371"/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eastAsia="zh-Hans" w:bidi="zh-CN"/>
        </w:rPr>
        <w:t>1.5等保测评交付及期限</w:t>
      </w:r>
      <w:bookmarkEnd w:id="6"/>
    </w:p>
    <w:p w14:paraId="79E038BA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根据项目内容要求，以电子版或纸版形式按需求输出成果，并针对采购人的咨询进行及时反馈，方式不限于现场支撑、邮件、电话或报告。主要产出物包括但不限于：</w:t>
      </w:r>
    </w:p>
    <w:p w14:paraId="6AFC77C4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网络安全等级保护测评方案、网络安全等级保护测评报告。</w:t>
      </w:r>
    </w:p>
    <w:p w14:paraId="3AAD41FE">
      <w:pPr>
        <w:pStyle w:val="4"/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Lines="0" w:beforeAutospacing="0" w:line="360" w:lineRule="auto"/>
        <w:ind w:left="0" w:firstLine="562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  <w:lang w:bidi="zh-CN"/>
        </w:rPr>
      </w:pPr>
      <w:bookmarkStart w:id="7" w:name="_Toc30299"/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bidi="zh-CN"/>
        </w:rPr>
        <w:t>2.商务要求</w:t>
      </w:r>
      <w:bookmarkEnd w:id="7"/>
    </w:p>
    <w:p w14:paraId="5F3D48B5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zh-CN"/>
        </w:rPr>
        <w:t>（一）服务期限：合同签订后,90日内完成测评服务。</w:t>
      </w:r>
    </w:p>
    <w:p w14:paraId="01798552">
      <w:pPr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zh-CN"/>
        </w:rPr>
        <w:t>（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二</w:t>
      </w:r>
      <w:r>
        <w:rPr>
          <w:rFonts w:hint="eastAsia" w:ascii="仿宋" w:hAnsi="仿宋" w:eastAsia="仿宋" w:cs="仿宋"/>
          <w:sz w:val="28"/>
          <w:szCs w:val="28"/>
          <w:highlight w:val="none"/>
          <w:lang w:val="zh-CN"/>
        </w:rPr>
        <w:t>）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服务地点：锦业路一号都市之门A座。</w:t>
      </w:r>
    </w:p>
    <w:p w14:paraId="3AC6E805">
      <w:pPr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beforeAutospacing="0" w:line="360" w:lineRule="auto"/>
        <w:ind w:left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921"/>
    <w:rsid w:val="00095921"/>
    <w:rsid w:val="001E3A89"/>
    <w:rsid w:val="00A44FC1"/>
    <w:rsid w:val="182C2AFD"/>
    <w:rsid w:val="33D600DB"/>
    <w:rsid w:val="4C8E2177"/>
    <w:rsid w:val="5B784AD1"/>
    <w:rsid w:val="683071EA"/>
    <w:rsid w:val="6B827EC3"/>
    <w:rsid w:val="75E8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kern w:val="0"/>
      <w:sz w:val="24"/>
      <w:szCs w:val="20"/>
      <w:lang w:val="en-US" w:eastAsia="zh-CN" w:bidi="ar-SA"/>
    </w:rPr>
  </w:style>
  <w:style w:type="paragraph" w:styleId="3">
    <w:name w:val="heading 1"/>
    <w:basedOn w:val="1"/>
    <w:next w:val="1"/>
    <w:link w:val="9"/>
    <w:qFormat/>
    <w:uiPriority w:val="0"/>
    <w:pPr>
      <w:keepNext/>
      <w:outlineLvl w:val="0"/>
    </w:pPr>
    <w:rPr>
      <w:rFonts w:ascii="仿宋_GB2312" w:hAnsi="仿宋_GB2312" w:eastAsia="仿宋_GB2312" w:cs="宋体"/>
      <w:b/>
      <w:kern w:val="2"/>
      <w:sz w:val="32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keepNext/>
      <w:spacing w:beforeLines="200" w:line="360" w:lineRule="auto"/>
      <w:jc w:val="left"/>
      <w:outlineLvl w:val="2"/>
    </w:pPr>
    <w:rPr>
      <w:rFonts w:ascii="Times New Roman" w:eastAsia="仿宋"/>
      <w:b/>
      <w:bCs/>
      <w:kern w:val="2"/>
      <w:szCs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autoRedefine/>
    <w:semiHidden/>
    <w:unhideWhenUsed/>
    <w:qFormat/>
    <w:uiPriority w:val="39"/>
  </w:style>
  <w:style w:type="paragraph" w:styleId="5">
    <w:name w:val="caption"/>
    <w:basedOn w:val="1"/>
    <w:next w:val="1"/>
    <w:semiHidden/>
    <w:unhideWhenUsed/>
    <w:qFormat/>
    <w:uiPriority w:val="35"/>
    <w:rPr>
      <w:rFonts w:eastAsia="黑体" w:asciiTheme="majorHAnsi" w:hAnsiTheme="majorHAnsi" w:cstheme="majorBidi"/>
      <w:sz w:val="20"/>
    </w:rPr>
  </w:style>
  <w:style w:type="paragraph" w:styleId="6">
    <w:name w:val="annotation text"/>
    <w:basedOn w:val="1"/>
    <w:qFormat/>
    <w:uiPriority w:val="0"/>
    <w:pPr>
      <w:jc w:val="left"/>
    </w:pPr>
  </w:style>
  <w:style w:type="character" w:customStyle="1" w:styleId="9">
    <w:name w:val="标题 1 Char"/>
    <w:basedOn w:val="8"/>
    <w:link w:val="3"/>
    <w:qFormat/>
    <w:uiPriority w:val="0"/>
    <w:rPr>
      <w:rFonts w:ascii="仿宋_GB2312" w:hAnsi="仿宋_GB2312" w:eastAsia="仿宋_GB2312" w:cs="宋体"/>
      <w:b/>
      <w:sz w:val="32"/>
      <w:szCs w:val="20"/>
    </w:rPr>
  </w:style>
  <w:style w:type="character" w:customStyle="1" w:styleId="10">
    <w:name w:val="标题 3 Char"/>
    <w:basedOn w:val="8"/>
    <w:link w:val="4"/>
    <w:semiHidden/>
    <w:qFormat/>
    <w:uiPriority w:val="0"/>
    <w:rPr>
      <w:rFonts w:ascii="Times New Roman" w:hAnsi="Times New Roman" w:eastAsia="仿宋" w:cs="Times New Roman"/>
      <w:b/>
      <w:bCs/>
      <w:sz w:val="24"/>
      <w:szCs w:val="24"/>
    </w:rPr>
  </w:style>
  <w:style w:type="character" w:customStyle="1" w:styleId="11">
    <w:name w:val="*正文 Char"/>
    <w:link w:val="12"/>
    <w:qFormat/>
    <w:locked/>
    <w:uiPriority w:val="0"/>
    <w:rPr>
      <w:rFonts w:ascii="宋体" w:hAnsi="宋体" w:eastAsia="宋体" w:cs="Arial"/>
      <w:sz w:val="24"/>
      <w:szCs w:val="24"/>
    </w:rPr>
  </w:style>
  <w:style w:type="paragraph" w:customStyle="1" w:styleId="12">
    <w:name w:val="*正文"/>
    <w:basedOn w:val="1"/>
    <w:link w:val="11"/>
    <w:qFormat/>
    <w:uiPriority w:val="0"/>
    <w:pPr>
      <w:spacing w:line="360" w:lineRule="auto"/>
      <w:ind w:firstLine="360" w:firstLineChars="150"/>
    </w:pPr>
    <w:rPr>
      <w:rFonts w:hAnsi="宋体" w:cs="Arial"/>
      <w:kern w:val="2"/>
      <w:szCs w:val="24"/>
    </w:rPr>
  </w:style>
  <w:style w:type="paragraph" w:customStyle="1" w:styleId="13">
    <w:name w:val="06-正文"/>
    <w:basedOn w:val="1"/>
    <w:qFormat/>
    <w:uiPriority w:val="0"/>
    <w:pPr>
      <w:spacing w:line="360" w:lineRule="auto"/>
      <w:ind w:firstLine="480" w:firstLineChars="200"/>
    </w:pPr>
    <w:rPr>
      <w:rFonts w:ascii="Arial" w:hAnsi="Arial" w:cs="Arial"/>
      <w:bCs/>
      <w:szCs w:val="24"/>
    </w:rPr>
  </w:style>
  <w:style w:type="paragraph" w:customStyle="1" w:styleId="14">
    <w:name w:val="08-表注1"/>
    <w:basedOn w:val="5"/>
    <w:next w:val="1"/>
    <w:qFormat/>
    <w:uiPriority w:val="0"/>
    <w:pPr>
      <w:spacing w:before="100" w:beforeAutospacing="1" w:after="60"/>
      <w:ind w:left="420" w:hanging="420"/>
      <w:jc w:val="center"/>
    </w:pPr>
    <w:rPr>
      <w:rFonts w:ascii="Arial" w:hAnsi="Arial" w:eastAsia="宋体" w:cs="Times New Roman"/>
      <w:b/>
      <w:bCs/>
      <w:kern w:val="2"/>
      <w:sz w:val="21"/>
      <w:szCs w:val="21"/>
    </w:rPr>
  </w:style>
  <w:style w:type="paragraph" w:customStyle="1" w:styleId="15">
    <w:name w:val="09-插入表"/>
    <w:basedOn w:val="1"/>
    <w:qFormat/>
    <w:uiPriority w:val="0"/>
    <w:rPr>
      <w:rFonts w:ascii="Times New Roman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2402</Words>
  <Characters>2512</Characters>
  <Lines>18</Lines>
  <Paragraphs>5</Paragraphs>
  <TotalTime>0</TotalTime>
  <ScaleCrop>false</ScaleCrop>
  <LinksUpToDate>false</LinksUpToDate>
  <CharactersWithSpaces>2528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2025-10-11T02:46:00Z</dcterms:created>
  <dc:creator>jing</dc:creator>
  <cp:lastModifiedBy>陕西华采招标有限公司</cp:lastModifiedBy>
  <dcterms:modified xsi:type="dcterms:W3CDTF">2026-09-30T07:52:37Z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eyJoZGlkIjoiZjJhNzdmOTM5YmVkNWYxMDI1ZDJkZDk5YzNhZTc2YzAiLCJ1c2VySWQiOiI5MzY1NjA0ODAifQ==</vt:lpwstr>
  </property>
  <property fmtid="{D5CDD505-2E9C-101B-9397-08002B2CF9AE}" pid="3" name="KSOProductBuildVer">
    <vt:lpwstr>2052-12.1.0.28599</vt:lpwstr>
  </property>
  <property fmtid="{D5CDD505-2E9C-101B-9397-08002B2CF9AE}" pid="4" name="ICV">
    <vt:lpwstr>EA2B1F3DAF934A7180046EAF02D1C4D7_12</vt:lpwstr>
  </property>
</Properties>
</file>