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hAnsi="宋体"/>
          <w:b/>
          <w:color w:val="000000" w:themeColor="text1"/>
          <w:sz w:val="22"/>
          <w:szCs w:val="16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"/>
        <w:jc w:val="center"/>
        <w:rPr>
          <w:rFonts w:hint="eastAsia" w:hAnsi="宋体" w:eastAsia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22"/>
          <w:szCs w:val="16"/>
          <w:highlight w:val="none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采购包1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insoku w:val="0"/>
        <w:spacing w:line="500" w:lineRule="exac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项目名称：                                                 </w:t>
      </w:r>
    </w:p>
    <w:p>
      <w:pPr>
        <w:kinsoku w:val="0"/>
        <w:spacing w:line="500" w:lineRule="exac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项目编号：                                                </w:t>
      </w:r>
    </w:p>
    <w:p>
      <w:pPr>
        <w:kinsoku w:val="0"/>
        <w:spacing w:line="500" w:lineRule="exact"/>
        <w:ind w:firstLine="632" w:firstLineChars="300"/>
        <w:rPr>
          <w:rFonts w:hint="eastAsia" w:ascii="宋体" w:hAnsi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jc w:val="righ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金额单位：元</w:t>
      </w:r>
    </w:p>
    <w:tbl>
      <w:tblPr>
        <w:tblStyle w:val="5"/>
        <w:tblW w:w="8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349"/>
        <w:gridCol w:w="1215"/>
        <w:gridCol w:w="779"/>
        <w:gridCol w:w="1541"/>
        <w:gridCol w:w="1471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服务名称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 w:eastAsia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抽检特大桥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单幅座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抽检大桥梁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单幅座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抽检中桥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单幅座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报价总价（人民币大写）：                        （小写）¥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说明：金额=单价×数量，报价总价=金额之和。</w:t>
            </w:r>
          </w:p>
          <w:p>
            <w:pPr>
              <w:spacing w:line="360" w:lineRule="exact"/>
              <w:ind w:left="175" w:firstLine="630" w:firstLineChars="300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保留小数点后两位。</w:t>
            </w:r>
          </w:p>
        </w:tc>
      </w:tr>
    </w:tbl>
    <w:p>
      <w:pPr>
        <w:ind w:left="175"/>
        <w:rPr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ind w:left="175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注：1、如果按单价计算的结果与总价不一致，以单价为准修正总价。</w:t>
      </w:r>
    </w:p>
    <w:p>
      <w:pPr>
        <w:ind w:left="175" w:firstLine="420" w:firstLineChars="200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2、如果不提供分项报价将视为没有实质性响应</w:t>
      </w:r>
      <w:r>
        <w:rPr>
          <w:rFonts w:hint="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文件。</w:t>
      </w:r>
    </w:p>
    <w:p>
      <w:pPr>
        <w:ind w:left="175" w:firstLine="420" w:firstLineChars="200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3、供应商可适当调整该表格式，但不得减少信息内容。</w:t>
      </w:r>
    </w:p>
    <w:p>
      <w:pPr>
        <w:pStyle w:val="3"/>
        <w:ind w:firstLine="630" w:firstLineChars="300"/>
        <w:rPr>
          <w:rFonts w:hint="eastAsia"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4、最终单价按照供应商最后一轮报价的总价同比例下浮。</w:t>
      </w:r>
    </w:p>
    <w:p>
      <w:pPr>
        <w:ind w:firstLine="210" w:firstLineChars="100"/>
        <w:rPr>
          <w:rFonts w:hint="eastAsia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7"/>
        <w:jc w:val="center"/>
        <w:outlineLvl w:val="1"/>
        <w:rPr>
          <w:rFonts w:hint="eastAsia"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2"/>
      </w:pPr>
    </w:p>
    <w:p/>
    <w:p>
      <w:pPr>
        <w:pStyle w:val="4"/>
        <w:jc w:val="center"/>
        <w:rPr>
          <w:rFonts w:hint="eastAsia" w:hAnsi="宋体" w:eastAsia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22"/>
          <w:szCs w:val="16"/>
          <w:highlight w:val="none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采购包2</w:t>
      </w:r>
      <w:r>
        <w:rPr>
          <w:rFonts w:hint="eastAsia" w:hAnsi="宋体"/>
          <w:b/>
          <w:color w:val="000000" w:themeColor="text1"/>
          <w:sz w:val="22"/>
          <w:szCs w:val="16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insoku w:val="0"/>
        <w:spacing w:line="500" w:lineRule="exac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项目名称：                                                 </w:t>
      </w:r>
    </w:p>
    <w:p>
      <w:pPr>
        <w:kinsoku w:val="0"/>
        <w:spacing w:line="500" w:lineRule="exac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项目编号：                                                </w:t>
      </w:r>
    </w:p>
    <w:p>
      <w:pPr>
        <w:kinsoku w:val="0"/>
        <w:spacing w:line="500" w:lineRule="exact"/>
        <w:ind w:firstLine="632" w:firstLineChars="300"/>
        <w:rPr>
          <w:rFonts w:hint="eastAsia" w:ascii="宋体" w:hAnsi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jc w:val="right"/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金额单位：元</w:t>
      </w:r>
    </w:p>
    <w:tbl>
      <w:tblPr>
        <w:tblStyle w:val="5"/>
        <w:tblW w:w="8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349"/>
        <w:gridCol w:w="1215"/>
        <w:gridCol w:w="779"/>
        <w:gridCol w:w="1541"/>
        <w:gridCol w:w="1471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服务名称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 w:eastAsia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抽检桥梁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抽检隧道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抽检隧道群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default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left="175"/>
              <w:jc w:val="center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报价总价（人民币大写）：                        （小写）¥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80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175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说明：金额=单价×数量，报价总价=金额之和。</w:t>
            </w:r>
          </w:p>
          <w:p>
            <w:pPr>
              <w:spacing w:line="360" w:lineRule="exact"/>
              <w:ind w:left="175" w:firstLine="630" w:firstLineChars="300"/>
              <w:jc w:val="both"/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保留小数点后两位。</w:t>
            </w:r>
          </w:p>
        </w:tc>
      </w:tr>
    </w:tbl>
    <w:p>
      <w:pPr>
        <w:ind w:left="175"/>
        <w:rPr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ind w:left="175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注：1、如果按单价计算的结果与总价不一致，以单价为准修正总价。</w:t>
      </w:r>
    </w:p>
    <w:p>
      <w:pPr>
        <w:ind w:left="175" w:firstLine="420" w:firstLineChars="200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2、如果不提供分项报价将视为没有实质性响应</w:t>
      </w:r>
      <w:r>
        <w:rPr>
          <w:rFonts w:hint="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文件。</w:t>
      </w:r>
    </w:p>
    <w:p>
      <w:pPr>
        <w:ind w:left="175" w:firstLine="420" w:firstLineChars="200"/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3、供应商可适当调整该表格式，但不得减少信息内容。</w:t>
      </w:r>
    </w:p>
    <w:p>
      <w:pPr>
        <w:pStyle w:val="3"/>
        <w:ind w:firstLine="630" w:firstLineChars="300"/>
        <w:rPr>
          <w:rFonts w:hint="eastAsia"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4、最终单价按照供应商最后一轮报价的总价同比例下浮。</w:t>
      </w:r>
    </w:p>
    <w:p>
      <w:pPr>
        <w:ind w:firstLine="210" w:firstLineChars="100"/>
        <w:rPr>
          <w:rFonts w:hint="eastAsia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7"/>
        <w:jc w:val="center"/>
        <w:outlineLvl w:val="1"/>
        <w:rPr>
          <w:rFonts w:hint="eastAsia"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B5D10"/>
    <w:rsid w:val="63CE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2026-04-29T06:48:00Z</dcterms:created>
  <dc:creator>zagld</dc:creator>
  <cp:lastModifiedBy>周界宇</cp:lastModifiedBy>
  <dcterms:modified xsi:type="dcterms:W3CDTF">2026-04-29T13:06:43Z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KSOTemplateDocerSaveRecord">
    <vt:lpwstr>eyJoZGlkIjoiNjU5YzI0ODExN2Y5Y2U4NjYxNzJlZWY2ZGRkYTc2OGEiLCJ1c2VySWQiOiIzNzM2MjA2NTYifQ==</vt:lpwstr>
  </property>
  <property fmtid="{D5CDD505-2E9C-101B-9397-08002B2CF9AE}" pid="4" name="ICV">
    <vt:lpwstr>C77AF06D030F4B9AA4E715B2534E772E</vt:lpwstr>
  </property>
</Properties>
</file>