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FD559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 w:bidi="ar-SA"/>
        </w:rPr>
        <w:t>其他要求</w:t>
      </w:r>
    </w:p>
    <w:bookmarkEnd w:id="0"/>
    <w:p w14:paraId="69ED61DA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</w:pPr>
    </w:p>
    <w:p w14:paraId="63F44907">
      <w:pP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  <w:t>附件：</w:t>
      </w: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  <w:t>对供应商业绩的要求：提供投标人自2023年5月1日起至今的类似业绩证明材料。</w:t>
      </w:r>
    </w:p>
    <w:p w14:paraId="1B11D64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  <w:t>注：以合同签订时间为准，供应商应在响应文件中提供业绩合同复印件或扫描件(包括首页、签字盖章页）。</w:t>
      </w:r>
    </w:p>
    <w:p w14:paraId="747CE1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1642A"/>
    <w:rsid w:val="4BA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2026-06-05T08:52:00Z</dcterms:created>
  <dc:creator>秋落</dc:creator>
  <cp:lastModifiedBy>秋落</cp:lastModifiedBy>
  <dcterms:modified xsi:type="dcterms:W3CDTF">2026-06-05T08:52:25Z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0FC1757A2C1D4B15A502EFAEB2EEC8DC_11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