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版本号：SXHC2026-09620260604001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一号坑及陈列厅外隔离杆购置安装项目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SXHC2026-096</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一号坑及陈列厅外隔离杆购置安装项目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一号坑及陈列厅外隔离杆购置安装项目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一号坑及陈列厅外隔离杆购置安装项目。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采购包1（一号坑及陈列厅外隔离杆购置安装项目）：属于专门面向中小企业采购。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说明：（一）本项目履约保证金按合同金额的5%计取，乙方在签订合同前以银行保函/电汇/转账形式提交。 （二）履约保证金在项目验收合格后无息退还。乙方未按要求提交履约保证金的，视为放弃中标。</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中标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踏勘时间：2026-06-15 14:30:00</w:t>
            </w:r>
          </w:p>
          <w:p>
            <w:pPr>
              <w:pStyle w:val="null3"/>
              <w:ind w:firstLine="975"/>
            </w:pPr>
            <w:r>
              <w:rPr>
                <w:rFonts w:ascii="仿宋_GB2312" w:hAnsi="仿宋_GB2312" w:cs="仿宋_GB2312" w:eastAsia="仿宋_GB2312"/>
              </w:rPr>
              <w:t>踏勘地点：秦始皇帝陵博物院西门。本项目统一组织踏勘。踏勘携带资料：已获取招标文件的回执函（系统中下载打印）、公司介绍信及踏勘联系人身份证复印件加盖公章。注：因踏勘位置特殊，参与本项目踏勘的投标人需在踏勘前一个工作日将踏勘参与人的姓名(仅限1人）、身份证号码、联系电话及公司邮箱发至1364022147@qq.com，若未发送信息或信息缺项，会导致无法入场。</w:t>
            </w:r>
          </w:p>
          <w:p>
            <w:pPr>
              <w:pStyle w:val="null3"/>
              <w:ind w:firstLine="975"/>
            </w:pPr>
            <w:r>
              <w:rPr>
                <w:rFonts w:ascii="仿宋_GB2312" w:hAnsi="仿宋_GB2312" w:cs="仿宋_GB2312" w:eastAsia="仿宋_GB2312"/>
              </w:rPr>
              <w:t>联系人：潘聪、张聪聪</w:t>
            </w:r>
          </w:p>
          <w:p>
            <w:pPr>
              <w:pStyle w:val="null3"/>
              <w:ind w:firstLine="975"/>
            </w:pPr>
            <w:r>
              <w:rPr>
                <w:rFonts w:ascii="仿宋_GB2312" w:hAnsi="仿宋_GB2312" w:cs="仿宋_GB2312" w:eastAsia="仿宋_GB2312"/>
              </w:rPr>
              <w:t>联系电话号码：029-61860666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一号坑及陈列厅外隔离杆购置安装项目。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2,020,000.00</w:t>
      </w:r>
    </w:p>
    <w:p>
      <w:pPr>
        <w:pStyle w:val="null3"/>
      </w:pPr>
      <w:r>
        <w:rPr>
          <w:rFonts w:ascii="仿宋_GB2312" w:hAnsi="仿宋_GB2312" w:cs="仿宋_GB2312" w:eastAsia="仿宋_GB2312"/>
        </w:rPr>
        <w:t>采购包最高限价（元）: 2,020,000.00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一号坑及陈列厅外隔离杆购置安装项目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标的名称：一号坑及陈列厅外隔离杆购置安装项目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项目为304不锈钢隔离杆批量采购，采购的隔离杆将用于现场区域隔离管控，要求产品采用304不锈钢材质，具备可拆卸、耐候性强、安装便捷等特性，需完成产品设计、供货、现场安装、第三方检测及后续质保服务等全部相关工作。</w:t>
            </w:r>
          </w:p>
          <w:p>
            <w:pPr>
              <w:pStyle w:val="null3"/>
              <w:ind w:firstLine="402"/>
              <w:jc w:val="left"/>
            </w:pPr>
            <w:r>
              <w:rPr>
                <w:rFonts w:ascii="仿宋_GB2312" w:hAnsi="仿宋_GB2312" w:cs="仿宋_GB2312" w:eastAsia="仿宋_GB2312"/>
                <w:b/>
                <w:color w:val="000000"/>
              </w:rPr>
              <w:t>本项目核心产品为304不锈钢隔离杆。</w:t>
            </w:r>
          </w:p>
          <w:p>
            <w:pPr>
              <w:pStyle w:val="null3"/>
              <w:ind w:firstLine="402"/>
              <w:jc w:val="left"/>
            </w:pPr>
            <w:r>
              <w:rPr>
                <w:rFonts w:ascii="仿宋_GB2312" w:hAnsi="仿宋_GB2312" w:cs="仿宋_GB2312" w:eastAsia="仿宋_GB2312"/>
                <w:b/>
                <w:color w:val="000000"/>
              </w:rPr>
              <w:t>二、产品</w:t>
            </w:r>
            <w:r>
              <w:rPr>
                <w:rFonts w:ascii="仿宋_GB2312" w:hAnsi="仿宋_GB2312" w:cs="仿宋_GB2312" w:eastAsia="仿宋_GB2312"/>
                <w:b/>
                <w:color w:val="000000"/>
              </w:rPr>
              <w:t>技术要求</w:t>
            </w:r>
          </w:p>
          <w:p>
            <w:pPr>
              <w:pStyle w:val="null3"/>
              <w:ind w:firstLine="400"/>
              <w:jc w:val="left"/>
            </w:pPr>
            <w:r>
              <w:rPr>
                <w:rFonts w:ascii="仿宋_GB2312" w:hAnsi="仿宋_GB2312" w:cs="仿宋_GB2312" w:eastAsia="仿宋_GB2312"/>
                <w:color w:val="000000"/>
              </w:rPr>
              <w:t>（一）栏杆材质工艺要求：304不锈钢，栏杆表面采用烤漆工艺喷砂处理、双层烤漆，并进行第三方耐候性检测（提供耐候性检测报告）。</w:t>
            </w:r>
          </w:p>
          <w:p>
            <w:pPr>
              <w:pStyle w:val="null3"/>
              <w:ind w:firstLine="400"/>
              <w:jc w:val="left"/>
            </w:pPr>
            <w:r>
              <w:rPr>
                <w:rFonts w:ascii="仿宋_GB2312" w:hAnsi="仿宋_GB2312" w:cs="仿宋_GB2312" w:eastAsia="仿宋_GB2312"/>
                <w:color w:val="000000"/>
              </w:rPr>
              <w:t>（二）现有栏杆参数（最低标准）：立柱带底座重量为40公斤，栏杆重量为20公斤，隔离杆立柱壁厚2毫米，隔离杆边框壁厚1.5毫米，竖杆壁厚1毫米；立柱帽四面有“秦始皇帝陵博物院”院标，底座采用不锈钢材质做设计，提供可拆卸卡扣便于拆解安装。投标人可以根据现有栏杆情况自行优化设计。</w:t>
            </w:r>
          </w:p>
          <w:p>
            <w:pPr>
              <w:pStyle w:val="null3"/>
              <w:ind w:firstLine="400"/>
              <w:jc w:val="left"/>
            </w:pPr>
            <w:r>
              <w:rPr>
                <w:rFonts w:ascii="仿宋_GB2312" w:hAnsi="仿宋_GB2312" w:cs="仿宋_GB2312" w:eastAsia="仿宋_GB2312"/>
                <w:color w:val="000000"/>
              </w:rPr>
              <w:t>（三）投标人根据现有栏杆结合本项目使用环境及采购人需求进行样式设计（标明隔离杆栏杆样式、尺寸、重量、颜色及需要加标志的位置），如若中标，在供货前与采购人沟通后进行优化设计，最终样式需采购人确定方可供货。</w:t>
            </w:r>
          </w:p>
          <w:p>
            <w:pPr>
              <w:pStyle w:val="null3"/>
              <w:ind w:firstLine="400"/>
              <w:jc w:val="left"/>
            </w:pPr>
            <w:r>
              <w:rPr>
                <w:rFonts w:ascii="仿宋_GB2312" w:hAnsi="仿宋_GB2312" w:cs="仿宋_GB2312" w:eastAsia="仿宋_GB2312"/>
                <w:color w:val="000000"/>
              </w:rPr>
              <w:t>（四）款式要求：两种款式</w:t>
            </w:r>
          </w:p>
          <w:p>
            <w:pPr>
              <w:pStyle w:val="null3"/>
              <w:ind w:firstLine="400"/>
              <w:jc w:val="left"/>
            </w:pPr>
            <w:r>
              <w:rPr>
                <w:rFonts w:ascii="仿宋_GB2312" w:hAnsi="仿宋_GB2312" w:cs="仿宋_GB2312" w:eastAsia="仿宋_GB2312"/>
                <w:color w:val="000000"/>
              </w:rPr>
              <w:t>1、固定款：700米；2、推拉款：700米。</w:t>
            </w:r>
          </w:p>
          <w:p>
            <w:pPr>
              <w:pStyle w:val="null3"/>
              <w:ind w:firstLine="402"/>
              <w:jc w:val="left"/>
            </w:pPr>
            <w:r>
              <w:rPr>
                <w:rFonts w:ascii="仿宋_GB2312" w:hAnsi="仿宋_GB2312" w:cs="仿宋_GB2312" w:eastAsia="仿宋_GB2312"/>
                <w:b/>
                <w:color w:val="000000"/>
              </w:rPr>
              <w:t>三、相关</w:t>
            </w:r>
            <w:r>
              <w:rPr>
                <w:rFonts w:ascii="仿宋_GB2312" w:hAnsi="仿宋_GB2312" w:cs="仿宋_GB2312" w:eastAsia="仿宋_GB2312"/>
                <w:b/>
                <w:color w:val="000000"/>
              </w:rPr>
              <w:t>要求</w:t>
            </w:r>
          </w:p>
          <w:p>
            <w:pPr>
              <w:pStyle w:val="null3"/>
              <w:ind w:firstLine="400"/>
              <w:jc w:val="left"/>
            </w:pPr>
            <w:r>
              <w:rPr>
                <w:rFonts w:ascii="仿宋_GB2312" w:hAnsi="仿宋_GB2312" w:cs="仿宋_GB2312" w:eastAsia="仿宋_GB2312"/>
                <w:color w:val="000000"/>
              </w:rPr>
              <w:t>（一）</w:t>
            </w:r>
            <w:r>
              <w:rPr>
                <w:rFonts w:ascii="仿宋_GB2312" w:hAnsi="仿宋_GB2312" w:cs="仿宋_GB2312" w:eastAsia="仿宋_GB2312"/>
                <w:color w:val="000000"/>
              </w:rPr>
              <w:t>质量要求：产品质量需符合国家现行不锈钢制品相关标准、招标文件技术要求及图纸设计要求，所有产品出厂前需将一定数量隔离杆送法定检验机构检验，取得产品质量检验合格报告后方可交货，供货时提供产品合格证、材质证明书；安装质量需做到牢固、平整、美观，无松动、掉漆、变形等问题，竣工验收一次性合格。</w:t>
            </w:r>
          </w:p>
          <w:p>
            <w:pPr>
              <w:pStyle w:val="null3"/>
              <w:ind w:firstLine="400"/>
              <w:jc w:val="left"/>
            </w:pPr>
            <w:r>
              <w:rPr>
                <w:rFonts w:ascii="仿宋_GB2312" w:hAnsi="仿宋_GB2312" w:cs="仿宋_GB2312" w:eastAsia="仿宋_GB2312"/>
                <w:color w:val="000000"/>
              </w:rPr>
              <w:t>（二）质保与售后要求</w:t>
            </w:r>
          </w:p>
          <w:p>
            <w:pPr>
              <w:pStyle w:val="null3"/>
              <w:ind w:firstLine="400"/>
              <w:jc w:val="left"/>
            </w:pPr>
            <w:r>
              <w:rPr>
                <w:rFonts w:ascii="仿宋_GB2312" w:hAnsi="仿宋_GB2312" w:cs="仿宋_GB2312" w:eastAsia="仿宋_GB2312"/>
                <w:color w:val="000000"/>
              </w:rPr>
              <w:t>1、</w:t>
            </w:r>
            <w:r>
              <w:rPr>
                <w:rFonts w:ascii="仿宋_GB2312" w:hAnsi="仿宋_GB2312" w:cs="仿宋_GB2312" w:eastAsia="仿宋_GB2312"/>
                <w:color w:val="000000"/>
              </w:rPr>
              <w:t>整体免费质保期自验收合格之日起</w:t>
            </w:r>
            <w:r>
              <w:rPr>
                <w:rFonts w:ascii="仿宋_GB2312" w:hAnsi="仿宋_GB2312" w:cs="仿宋_GB2312" w:eastAsia="仿宋_GB2312"/>
                <w:color w:val="000000"/>
              </w:rPr>
              <w:t>不少于5</w:t>
            </w:r>
            <w:r>
              <w:rPr>
                <w:rFonts w:ascii="仿宋_GB2312" w:hAnsi="仿宋_GB2312" w:cs="仿宋_GB2312" w:eastAsia="仿宋_GB2312"/>
                <w:color w:val="000000"/>
              </w:rPr>
              <w:t>年</w:t>
            </w:r>
            <w:r>
              <w:rPr>
                <w:rFonts w:ascii="仿宋_GB2312" w:hAnsi="仿宋_GB2312" w:cs="仿宋_GB2312" w:eastAsia="仿宋_GB2312"/>
                <w:color w:val="000000"/>
              </w:rPr>
              <w:t>（若投标人质保期优于此要求，按其承诺的质保期进行质保），产品在质保期内出现质量、安装等问题，中标人应负责三包（包修、包换、包退），费用由中标人负担，采购人有权到中标人生产场地检查产品质量和生产进度</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质保期内24小时响应、48小时上门服务，免费维修及更换零配件。</w:t>
            </w:r>
          </w:p>
          <w:p>
            <w:pPr>
              <w:pStyle w:val="null3"/>
              <w:ind w:firstLine="400"/>
              <w:jc w:val="left"/>
            </w:pPr>
            <w:r>
              <w:rPr>
                <w:rFonts w:ascii="仿宋_GB2312" w:hAnsi="仿宋_GB2312" w:cs="仿宋_GB2312" w:eastAsia="仿宋_GB2312"/>
                <w:color w:val="000000"/>
              </w:rPr>
              <w:t>3、</w:t>
            </w:r>
            <w:r>
              <w:rPr>
                <w:rFonts w:ascii="仿宋_GB2312" w:hAnsi="仿宋_GB2312" w:cs="仿宋_GB2312" w:eastAsia="仿宋_GB2312"/>
                <w:color w:val="000000"/>
              </w:rPr>
              <w:t>质保期外提供终身技术支持与优惠零配件供应。</w:t>
            </w:r>
          </w:p>
          <w:p>
            <w:pPr>
              <w:pStyle w:val="null3"/>
              <w:ind w:firstLine="400"/>
              <w:jc w:val="left"/>
            </w:pPr>
            <w:r>
              <w:rPr>
                <w:rFonts w:ascii="仿宋_GB2312" w:hAnsi="仿宋_GB2312" w:cs="仿宋_GB2312" w:eastAsia="仿宋_GB2312"/>
                <w:color w:val="000000"/>
              </w:rPr>
              <w:t>（</w:t>
            </w:r>
            <w:r>
              <w:rPr>
                <w:rFonts w:ascii="仿宋_GB2312" w:hAnsi="仿宋_GB2312" w:cs="仿宋_GB2312" w:eastAsia="仿宋_GB2312"/>
                <w:color w:val="000000"/>
              </w:rPr>
              <w:t>三</w:t>
            </w:r>
            <w:r>
              <w:rPr>
                <w:rFonts w:ascii="仿宋_GB2312" w:hAnsi="仿宋_GB2312" w:cs="仿宋_GB2312" w:eastAsia="仿宋_GB2312"/>
                <w:color w:val="000000"/>
              </w:rPr>
              <w:t>）</w:t>
            </w:r>
            <w:r>
              <w:rPr>
                <w:rFonts w:ascii="仿宋_GB2312" w:hAnsi="仿宋_GB2312" w:cs="仿宋_GB2312" w:eastAsia="仿宋_GB2312"/>
                <w:color w:val="000000"/>
              </w:rPr>
              <w:t>人员要求</w:t>
            </w:r>
          </w:p>
          <w:p>
            <w:pPr>
              <w:pStyle w:val="null3"/>
              <w:ind w:firstLine="400"/>
              <w:jc w:val="left"/>
            </w:pPr>
            <w:r>
              <w:rPr>
                <w:rFonts w:ascii="仿宋_GB2312" w:hAnsi="仿宋_GB2312" w:cs="仿宋_GB2312" w:eastAsia="仿宋_GB2312"/>
                <w:color w:val="000000"/>
              </w:rPr>
              <w:t>配备专属项目服务团队，至少包含1名现场负责人、</w:t>
            </w:r>
            <w:r>
              <w:rPr>
                <w:rFonts w:ascii="仿宋_GB2312" w:hAnsi="仿宋_GB2312" w:cs="仿宋_GB2312" w:eastAsia="仿宋_GB2312"/>
                <w:color w:val="000000"/>
              </w:rPr>
              <w:t>6</w:t>
            </w:r>
            <w:r>
              <w:rPr>
                <w:rFonts w:ascii="仿宋_GB2312" w:hAnsi="仿宋_GB2312" w:cs="仿宋_GB2312" w:eastAsia="仿宋_GB2312"/>
                <w:color w:val="000000"/>
              </w:rPr>
              <w:t>名专业安装人员，团队人员需具备相关施工操作经验。</w:t>
            </w:r>
          </w:p>
          <w:p>
            <w:pPr>
              <w:pStyle w:val="null3"/>
              <w:ind w:firstLine="400"/>
              <w:jc w:val="left"/>
            </w:pPr>
            <w:r>
              <w:rPr>
                <w:rFonts w:ascii="仿宋_GB2312" w:hAnsi="仿宋_GB2312" w:cs="仿宋_GB2312" w:eastAsia="仿宋_GB2312"/>
                <w:color w:val="000000"/>
              </w:rPr>
              <w:t>（四）</w:t>
            </w:r>
            <w:r>
              <w:rPr>
                <w:rFonts w:ascii="仿宋_GB2312" w:hAnsi="仿宋_GB2312" w:cs="仿宋_GB2312" w:eastAsia="仿宋_GB2312"/>
                <w:color w:val="000000"/>
              </w:rPr>
              <w:t>运输及安装调试要求</w:t>
            </w:r>
          </w:p>
          <w:p>
            <w:pPr>
              <w:pStyle w:val="null3"/>
              <w:ind w:firstLine="400"/>
              <w:jc w:val="left"/>
            </w:pPr>
            <w:r>
              <w:rPr>
                <w:rFonts w:ascii="仿宋_GB2312" w:hAnsi="仿宋_GB2312" w:cs="仿宋_GB2312" w:eastAsia="仿宋_GB2312"/>
                <w:color w:val="000000"/>
              </w:rPr>
              <w:t>1、中标人负责所有产品的运输及安装，确保采购产品安全、完整到达采购人指定地点并按照要求完成安装、调试。运杂费用已包含在合同总价内，包括从产品供应地点所含的运输费、装卸费、仓储费、保险费等。</w:t>
            </w:r>
          </w:p>
          <w:p>
            <w:pPr>
              <w:pStyle w:val="null3"/>
              <w:ind w:firstLine="400"/>
              <w:jc w:val="left"/>
            </w:pPr>
            <w:r>
              <w:rPr>
                <w:rFonts w:ascii="仿宋_GB2312" w:hAnsi="仿宋_GB2312" w:cs="仿宋_GB2312" w:eastAsia="仿宋_GB2312"/>
                <w:color w:val="000000"/>
              </w:rPr>
              <w:t>2、运输方式由中标人自行选择，但必须保证按期交货所有采购货物在运输、搬运的过程中，造成甲方损失的，由中标人为采购人修复或更新。逾期按合同总额0.5‰/天支付违约金，逾期超过15天采购人有权解除合同。</w:t>
            </w:r>
          </w:p>
          <w:p>
            <w:pPr>
              <w:pStyle w:val="null3"/>
              <w:ind w:firstLine="400"/>
              <w:jc w:val="left"/>
            </w:pPr>
            <w:r>
              <w:rPr>
                <w:rFonts w:ascii="仿宋_GB2312" w:hAnsi="仿宋_GB2312" w:cs="仿宋_GB2312" w:eastAsia="仿宋_GB2312"/>
                <w:color w:val="000000"/>
              </w:rPr>
              <w:t>3、涉及的商品包装和快递包装，均应符合国家及行业要求，包装应适应于远距离运输、防潮、防震、防锈和防野蛮装卸，以确保货物安全无损运抵指定地点。</w:t>
            </w:r>
          </w:p>
          <w:p>
            <w:pPr>
              <w:pStyle w:val="null3"/>
              <w:ind w:firstLine="400"/>
              <w:jc w:val="left"/>
            </w:pPr>
            <w:r>
              <w:rPr>
                <w:rFonts w:ascii="仿宋_GB2312" w:hAnsi="仿宋_GB2312" w:cs="仿宋_GB2312" w:eastAsia="仿宋_GB2312"/>
                <w:color w:val="000000"/>
              </w:rPr>
              <w:t>（五）其他要求</w:t>
            </w:r>
          </w:p>
          <w:p>
            <w:pPr>
              <w:pStyle w:val="null3"/>
              <w:ind w:firstLine="400"/>
              <w:jc w:val="left"/>
            </w:pPr>
            <w:r>
              <w:rPr>
                <w:rFonts w:ascii="仿宋_GB2312" w:hAnsi="仿宋_GB2312" w:cs="仿宋_GB2312" w:eastAsia="仿宋_GB2312"/>
                <w:color w:val="000000"/>
              </w:rPr>
              <w:t>1、为确保隔离杆材质符合要求，采购人在供货时委托第三方机构实施检测，所需费用</w:t>
            </w:r>
            <w:r>
              <w:rPr>
                <w:rFonts w:ascii="仿宋_GB2312" w:hAnsi="仿宋_GB2312" w:cs="仿宋_GB2312" w:eastAsia="仿宋_GB2312"/>
                <w:color w:val="000000"/>
              </w:rPr>
              <w:t>包含在合同价款内，由中标人承担。</w:t>
            </w:r>
          </w:p>
          <w:p>
            <w:pPr>
              <w:pStyle w:val="null3"/>
              <w:ind w:firstLine="400"/>
              <w:jc w:val="left"/>
            </w:pPr>
            <w:r>
              <w:rPr>
                <w:rFonts w:ascii="仿宋_GB2312" w:hAnsi="仿宋_GB2312" w:cs="仿宋_GB2312" w:eastAsia="仿宋_GB2312"/>
                <w:color w:val="000000"/>
              </w:rPr>
              <w:t>2、</w:t>
            </w:r>
            <w:r>
              <w:rPr>
                <w:rFonts w:ascii="仿宋_GB2312" w:hAnsi="仿宋_GB2312" w:cs="仿宋_GB2312" w:eastAsia="仿宋_GB2312"/>
                <w:color w:val="000000"/>
              </w:rPr>
              <w:t>不得转包、分包本项目</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3、</w:t>
            </w:r>
            <w:r>
              <w:rPr>
                <w:rFonts w:ascii="仿宋_GB2312" w:hAnsi="仿宋_GB2312" w:cs="仿宋_GB2312" w:eastAsia="仿宋_GB2312"/>
                <w:color w:val="000000"/>
              </w:rPr>
              <w:t>配合采购人完成备案、验收、审计等相关工作。</w:t>
            </w:r>
          </w:p>
          <w:p>
            <w:pPr>
              <w:pStyle w:val="null3"/>
              <w:ind w:firstLine="402"/>
              <w:jc w:val="left"/>
            </w:pPr>
            <w:r>
              <w:rPr>
                <w:rFonts w:ascii="仿宋_GB2312" w:hAnsi="仿宋_GB2312" w:cs="仿宋_GB2312" w:eastAsia="仿宋_GB2312"/>
                <w:b/>
                <w:color w:val="000000"/>
              </w:rPr>
              <w:t>四、</w:t>
            </w:r>
            <w:r>
              <w:rPr>
                <w:rFonts w:ascii="仿宋_GB2312" w:hAnsi="仿宋_GB2312" w:cs="仿宋_GB2312" w:eastAsia="仿宋_GB2312"/>
                <w:b/>
                <w:color w:val="000000"/>
              </w:rPr>
              <w:t>商务要求</w:t>
            </w:r>
          </w:p>
          <w:p>
            <w:pPr>
              <w:pStyle w:val="null3"/>
              <w:ind w:firstLine="420"/>
              <w:jc w:val="left"/>
            </w:pPr>
            <w:r>
              <w:rPr>
                <w:rFonts w:ascii="仿宋_GB2312" w:hAnsi="仿宋_GB2312" w:cs="仿宋_GB2312" w:eastAsia="仿宋_GB2312"/>
                <w:color w:val="000000"/>
              </w:rPr>
              <w:t>（一）交货期：</w:t>
            </w:r>
            <w:r>
              <w:rPr>
                <w:rFonts w:ascii="仿宋_GB2312" w:hAnsi="仿宋_GB2312" w:cs="仿宋_GB2312" w:eastAsia="仿宋_GB2312"/>
                <w:color w:val="000000"/>
              </w:rPr>
              <w:t>自合同签订之日起</w:t>
            </w:r>
            <w:r>
              <w:rPr>
                <w:rFonts w:ascii="仿宋_GB2312" w:hAnsi="仿宋_GB2312" w:cs="仿宋_GB2312" w:eastAsia="仿宋_GB2312"/>
                <w:color w:val="000000"/>
              </w:rPr>
              <w:t>45日历天内完成产品供货、安装及验收工作</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 xml:space="preserve">    （二）交货地点：秦始皇帝陵博物院内，具体以采购人指定地点为准</w:t>
            </w:r>
            <w:r>
              <w:rPr>
                <w:rFonts w:ascii="仿宋_GB2312" w:hAnsi="仿宋_GB2312" w:cs="仿宋_GB2312" w:eastAsia="仿宋_GB2312"/>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自合同签订之日起45日历天内完成产品供货、安装及验收工作。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秦始皇帝陵博物院内，具体以采购人指定地点为准。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预付款，合同签订生效后（凭等额正规发票），达到付款条件起30个工作日内，支付合同总金额的60.0%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进度款，设备到货、安装校准并验收合格后（凭验收合格证明及等额正规发票），达到付款条件起30个工作日内，支付合同总金额的40.0%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目核心产品为304不锈钢隔离杆。（3）样品的要求及提交：①数量要求：投标人需根据本次采购需求，提供“长度30cm、材质为304不锈钢的隔离杆实物样品1根”，同时须提供与样品一致的制造商营业执照和生产许可证和质检报告的复印件并加盖公章。②密封要求：各投标人提供样品须与投标文件响应产品一致，样品需密封并标明项目名称、投标人名称、样品递交清单等内容。③样品提交截止时间：详见本项目招标公告中“提交投标文件截止时间”，提交地点：西安高新区锦业路1号绿地领海大厦B座10楼1006室。④样品作为评审打分的依据，未按招标文件要求提供样品或样品不全的，对应评审项不得分，但不影响其投标文件有效性。⑤招标活动结束后，退还未中标人提供的样品，中标人样品不予退还，采购人留存，成为合同内容的一部分，作为验收依据。（4）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投标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5）因系统格式设置无法调整，合同付款支付要求以第七章“拟签订采购合同文本”中体现的内容为准。（4）中标人在领取中标通知书前，须向采购代理机构提供纸质版投标文件3套（一正两副、正本应为彩色打印件，副本可采用正本的复印件），且提供的投标文件必须与在陕西省政府采购综合管理平台的项目电子化交易系统中递交的电子投标文件内容一致，纸质版投标文件必须装订成册签字盖章。（6）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投标人需在项目电子化交易系统中按要求上传财务状况报告（以下三种资料提供任意一种即可）： （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投标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投标报价表.docx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内容至少包括①总体设计思路；②初步设计方案等。 评审标准：设计方案各部分内容全面详细、阐述条理清晰详尽、符合本项目采购需求得8分，每缺一项内容扣4分，评审内容有瑕疵的根据情况扣分，扣完为止。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栏杆材质工艺响应</w:t>
            </w:r>
          </w:p>
        </w:tc>
        <w:tc>
          <w:tcPr>
            <w:tcW w:type="dxa" w:w="2492"/>
          </w:tcPr>
          <w:p>
            <w:pPr>
              <w:pStyle w:val="null3"/>
            </w:pPr>
            <w:r>
              <w:rPr>
                <w:rFonts w:ascii="仿宋_GB2312" w:hAnsi="仿宋_GB2312" w:cs="仿宋_GB2312" w:eastAsia="仿宋_GB2312"/>
              </w:rPr>
              <w:t>投标人应对栏杆材质工艺参数进行逐项应答，技术参数满足采购要求且证明材料提供完整得5分，未提供或资料不完整不得分。 评审依据：所有参数提供相应的证明材料（包括但不限于由国家认可或具备法定资质的检测机构出具的检测报告、官网截图、产品说明书、产品彩印等）及采购需求条款响应偏离表。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采购需求条款响应偏离表.docx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内容至少包括①项目介绍及现场部署；②项目实施流程（生产、包装、运输及安装校准等）；③重点与难点分析；④项目验收方案等。 评审标准：项目实施方案各部分内容全面详细、阐述条理清晰详尽、符合本项目采购需求得8分，每缺一项内容扣2分，评审内容有瑕疵的根据情况扣分，扣完为止。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产品供应渠道正常，无假货、水货，无产权纠纷。提供相关证明材料，得3分。 注：生产厂家提供产品制造能力证明、代理商提供产品来源渠道证明材料（包括但不限于厂家授权、代理协议、经销合同等）及产品质量证明文件，未提供证明材料的不得分。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内容至少包括①项目进度保障措施；②质量及安全保障措施；③风险管理措施及保密措施等。 评审标准：项目保障措施各部分内容全面详细、阐述条理清晰详尽、符合本项目采购需求得6分，每缺一项内容扣2分，评审内容有瑕疵的根据情况扣分，扣完为止。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及团队人员配置清单（至少7人，不足7人此项不得分。项目负责人及技术人员需具备相关安装校准、维修维护能力以及施工经验）；②团队管理制度及人员岗位职责；③团队服务能力保证措施及监督机制等方面。 评审标准：拟投入人员配备方案各部分内容全面详细、阐述条理清晰详尽、符合本项目采购需求得9分，每缺一项内容扣3分，评审内容有瑕疵的根据情况扣分，扣完为止。 注：以上项目配备人员需为本单位人员，项目负责人及技术人员需提供开标前6个月任意时间段缴纳社保的证明材料，未提供不得分。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内容至少包括①产品故障应急措施；②疑难解答；③应急响应安排等方面。 评审标准：应急预案各部分内容全面详细、阐述条理清晰详尽、符合本项目采购需求得6分，每缺一项内容扣2分，评审内容有瑕疵的根据情况扣分，扣完为止。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内容至少包括①本地化服务方案；②售后服务团队配置；③故障检修和排除，以及维修时间响应；④定期回访、检修、保养等方面。 评审标准：售后服务方案各部分内容全面详细、阐述条理清晰详尽、符合本项目采购需求得8分，每缺一项内容扣2分，评审内容有瑕疵的根据情况扣分，扣完为止。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投标人需提供长度30cm、材质为304不锈钢的隔离杆实物样品1根。 评标委员会根据样品的①材质；②规格；③表面光洁度（精细拉丝/镜面抛光、无划痕）； ④制作工艺（一体成型工艺、结构稳固、抗撞击能力强）⑤标识清晰度（产品名称、型号、批号、生产日期、厂家信息印刷清晰不易模糊）等要素结合招标文件要求综合评定。未提供样品不得分。 评审标准：样品各部分内容符合本项目采购需求得7分，评审内容有瑕疵的根据情况扣分，扣完为止。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投标人具有2023年04月01日至今（以合同签订时间为准）的同类项目业绩，每提供一个计2分，满分10分。 注：投标文件中提供合同复印件（需体现供货内容）、发票及验收单等证明材料加盖投标人公章。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详见附件：采购需求条款响应偏离表.docx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