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49EA99B6">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 xml:space="preserve">甲方（采购人）： </w:t>
      </w:r>
    </w:p>
    <w:p w14:paraId="18161557">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乙方（</w:t>
      </w:r>
      <w:r>
        <w:rPr>
          <w:rFonts w:hint="eastAsia" w:ascii="仿宋_GB2312" w:eastAsia="仿宋_GB2312"/>
          <w:bCs/>
          <w:sz w:val="28"/>
          <w:szCs w:val="28"/>
          <w:lang w:eastAsia="zh-CN"/>
        </w:rPr>
        <w:t>中标人</w:t>
      </w:r>
      <w:r>
        <w:rPr>
          <w:rFonts w:hint="eastAsia" w:ascii="仿宋_GB2312" w:eastAsia="仿宋_GB2312"/>
          <w:bCs/>
          <w:sz w:val="28"/>
          <w:szCs w:val="28"/>
        </w:rPr>
        <w:t xml:space="preserve">）： </w:t>
      </w:r>
    </w:p>
    <w:p w14:paraId="0C99DDC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eastAsia="仿宋_GB2312"/>
          <w:bCs/>
          <w:sz w:val="28"/>
          <w:szCs w:val="28"/>
          <w:u w:val="single"/>
          <w:lang w:eastAsia="zh-CN"/>
        </w:rPr>
        <w:t>一号坑及陈列厅外隔离杆购置安装项目</w:t>
      </w:r>
      <w:r>
        <w:rPr>
          <w:rFonts w:hint="eastAsia" w:ascii="仿宋_GB2312" w:eastAsia="仿宋_GB2312"/>
          <w:bCs/>
          <w:sz w:val="28"/>
          <w:szCs w:val="28"/>
          <w:u w:val="single"/>
        </w:rPr>
        <w:t>(项目编号：</w:t>
      </w:r>
      <w:r>
        <w:rPr>
          <w:rFonts w:hint="eastAsia" w:ascii="仿宋_GB2312" w:eastAsia="仿宋_GB2312"/>
          <w:bCs/>
          <w:sz w:val="28"/>
          <w:szCs w:val="28"/>
          <w:u w:val="single"/>
          <w:lang w:eastAsia="zh-CN"/>
        </w:rPr>
        <w:t>SXHC2026-096</w:t>
      </w:r>
      <w:r>
        <w:rPr>
          <w:rFonts w:hint="eastAsia" w:ascii="仿宋_GB2312" w:eastAsia="仿宋_GB2312"/>
          <w:bCs/>
          <w:sz w:val="28"/>
          <w:szCs w:val="28"/>
          <w:u w:val="single"/>
        </w:rPr>
        <w:t>)</w:t>
      </w:r>
      <w:r>
        <w:rPr>
          <w:rFonts w:hint="eastAsia" w:ascii="仿宋_GB2312" w:eastAsia="仿宋_GB2312"/>
          <w:bCs/>
          <w:sz w:val="28"/>
          <w:szCs w:val="28"/>
        </w:rPr>
        <w:t>，由陕西华采招标有限公司组织</w:t>
      </w:r>
      <w:r>
        <w:rPr>
          <w:rFonts w:hint="eastAsia" w:ascii="仿宋_GB2312" w:eastAsia="仿宋_GB2312"/>
          <w:bCs/>
          <w:sz w:val="28"/>
          <w:szCs w:val="28"/>
          <w:lang w:eastAsia="zh-CN"/>
        </w:rPr>
        <w:t>公开招标</w:t>
      </w:r>
      <w:r>
        <w:rPr>
          <w:rFonts w:hint="eastAsia" w:ascii="仿宋_GB2312" w:eastAsia="仿宋_GB2312"/>
          <w:bCs/>
          <w:sz w:val="28"/>
          <w:szCs w:val="28"/>
        </w:rPr>
        <w:t>，</w:t>
      </w:r>
      <w:r>
        <w:rPr>
          <w:rFonts w:hint="eastAsia" w:ascii="仿宋_GB2312" w:eastAsia="仿宋_GB2312"/>
          <w:bCs/>
          <w:sz w:val="28"/>
          <w:szCs w:val="28"/>
          <w:u w:val="single"/>
        </w:rPr>
        <w:t xml:space="preserve">               </w:t>
      </w:r>
      <w:r>
        <w:rPr>
          <w:rFonts w:hint="eastAsia" w:ascii="仿宋_GB2312" w:hAnsi="仿宋" w:eastAsia="仿宋_GB2312"/>
          <w:bCs/>
          <w:sz w:val="28"/>
          <w:szCs w:val="28"/>
        </w:rPr>
        <w:t>(以下简称“甲方”)确定</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（以下简称“乙方”）为该项目的</w:t>
      </w:r>
      <w:r>
        <w:rPr>
          <w:rFonts w:hint="eastAsia" w:ascii="仿宋_GB2312" w:hAnsi="仿宋" w:eastAsia="仿宋_GB2312"/>
          <w:bCs/>
          <w:sz w:val="28"/>
          <w:szCs w:val="28"/>
          <w:lang w:eastAsia="zh-CN"/>
        </w:rPr>
        <w:t>中标人</w:t>
      </w:r>
      <w:r>
        <w:rPr>
          <w:rFonts w:hint="eastAsia" w:ascii="仿宋_GB2312" w:hAnsi="仿宋" w:eastAsia="仿宋_GB2312"/>
          <w:bCs/>
          <w:sz w:val="28"/>
          <w:szCs w:val="28"/>
        </w:rPr>
        <w:t>。</w:t>
      </w:r>
    </w:p>
    <w:p w14:paraId="04B23E9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依据《</w:t>
      </w:r>
      <w:r>
        <w:rPr>
          <w:rFonts w:hint="eastAsia" w:ascii="仿宋_GB2312" w:hAnsi="仿宋" w:eastAsia="仿宋_GB2312"/>
          <w:bCs/>
          <w:sz w:val="28"/>
          <w:szCs w:val="28"/>
          <w:lang w:eastAsia="zh-CN"/>
        </w:rPr>
        <w:t>中华人民共和国民法典</w:t>
      </w:r>
      <w:r>
        <w:rPr>
          <w:rFonts w:hint="eastAsia" w:ascii="仿宋_GB2312" w:hAnsi="仿宋" w:eastAsia="仿宋_GB2312"/>
          <w:bCs/>
          <w:sz w:val="28"/>
          <w:szCs w:val="28"/>
        </w:rPr>
        <w:t>》和《中华人民共和国政府采购法》之规定，经双方在平等、自愿、互利的基础上，签订本合同，共同信守。</w:t>
      </w:r>
    </w:p>
    <w:p w14:paraId="5ABFD729">
      <w:pPr>
        <w:autoSpaceDE w:val="0"/>
        <w:autoSpaceDN w:val="0"/>
        <w:adjustRightInd w:val="0"/>
        <w:snapToGrid w:val="0"/>
        <w:spacing w:line="360" w:lineRule="auto"/>
        <w:ind w:firstLine="562" w:firstLineChars="200"/>
        <w:rPr>
          <w:rFonts w:hint="eastAsia" w:ascii="仿宋_GB2312" w:hAnsi="仿宋" w:eastAsia="仿宋_GB2312"/>
          <w:b/>
          <w:bCs/>
          <w:sz w:val="28"/>
          <w:szCs w:val="28"/>
          <w:lang w:val="zh-CN"/>
        </w:rPr>
      </w:pPr>
      <w:r>
        <w:rPr>
          <w:rFonts w:hint="eastAsia" w:ascii="仿宋_GB2312" w:hAnsi="仿宋" w:eastAsia="仿宋_GB2312"/>
          <w:b/>
          <w:bCs w:val="0"/>
          <w:sz w:val="28"/>
          <w:szCs w:val="28"/>
        </w:rPr>
        <w:t>一、</w:t>
      </w:r>
      <w:r>
        <w:rPr>
          <w:rFonts w:hint="eastAsia" w:ascii="仿宋_GB2312" w:hAnsi="仿宋" w:eastAsia="仿宋_GB2312"/>
          <w:b/>
          <w:bCs/>
          <w:sz w:val="28"/>
          <w:szCs w:val="28"/>
          <w:lang w:val="zh-CN"/>
        </w:rPr>
        <w:t>合同标的</w:t>
      </w:r>
      <w:r>
        <w:rPr>
          <w:rFonts w:hint="eastAsia" w:ascii="仿宋_GB2312" w:hAnsi="仿宋" w:eastAsia="仿宋_GB2312"/>
          <w:b/>
          <w:bCs/>
          <w:sz w:val="28"/>
          <w:szCs w:val="28"/>
        </w:rPr>
        <w:t>物内容</w:t>
      </w:r>
      <w:r>
        <w:rPr>
          <w:rFonts w:hint="eastAsia" w:ascii="仿宋_GB2312" w:hAnsi="仿宋" w:eastAsia="仿宋_GB2312"/>
          <w:b/>
          <w:bCs/>
          <w:sz w:val="28"/>
          <w:szCs w:val="28"/>
          <w:lang w:val="zh-CN"/>
        </w:rPr>
        <w:t>及数量</w:t>
      </w:r>
    </w:p>
    <w:p w14:paraId="0DB4CC62">
      <w:pPr>
        <w:autoSpaceDE w:val="0"/>
        <w:autoSpaceDN w:val="0"/>
        <w:adjustRightInd w:val="0"/>
        <w:snapToGrid w:val="0"/>
        <w:spacing w:line="360" w:lineRule="auto"/>
        <w:ind w:firstLine="560" w:firstLineChars="200"/>
        <w:rPr>
          <w:rFonts w:hint="eastAsia" w:ascii="仿宋_GB2312" w:hAnsi="仿宋" w:eastAsia="仿宋_GB2312"/>
          <w:bCs/>
          <w:sz w:val="28"/>
          <w:szCs w:val="28"/>
          <w:lang w:val="zh-CN"/>
        </w:rPr>
      </w:pPr>
      <w:r>
        <w:rPr>
          <w:rFonts w:hint="eastAsia" w:ascii="仿宋_GB2312" w:hAnsi="仿宋" w:eastAsia="仿宋_GB2312"/>
          <w:bCs/>
          <w:sz w:val="28"/>
          <w:szCs w:val="28"/>
          <w:lang w:val="zh-CN"/>
        </w:rPr>
        <w:t>乙方向甲方提供下列货物（产品）：</w:t>
      </w:r>
    </w:p>
    <w:tbl>
      <w:tblPr>
        <w:tblStyle w:val="13"/>
        <w:tblW w:w="84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822"/>
        <w:gridCol w:w="812"/>
        <w:gridCol w:w="800"/>
        <w:gridCol w:w="1038"/>
        <w:gridCol w:w="1027"/>
      </w:tblGrid>
      <w:tr w14:paraId="033B76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223B85B5">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序号</w:t>
            </w:r>
          </w:p>
        </w:tc>
        <w:tc>
          <w:tcPr>
            <w:tcW w:w="1649" w:type="dxa"/>
            <w:noWrap w:val="0"/>
            <w:vAlign w:val="center"/>
          </w:tcPr>
          <w:p w14:paraId="1AB5F200">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货物名称</w:t>
            </w:r>
          </w:p>
        </w:tc>
        <w:tc>
          <w:tcPr>
            <w:tcW w:w="1481" w:type="dxa"/>
            <w:noWrap w:val="0"/>
            <w:vAlign w:val="center"/>
          </w:tcPr>
          <w:p w14:paraId="2EED12EC">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品牌/型号</w:t>
            </w:r>
          </w:p>
        </w:tc>
        <w:tc>
          <w:tcPr>
            <w:tcW w:w="822" w:type="dxa"/>
            <w:noWrap w:val="0"/>
            <w:vAlign w:val="center"/>
          </w:tcPr>
          <w:p w14:paraId="0D0221EC">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规格</w:t>
            </w:r>
          </w:p>
        </w:tc>
        <w:tc>
          <w:tcPr>
            <w:tcW w:w="812" w:type="dxa"/>
            <w:noWrap w:val="0"/>
            <w:vAlign w:val="center"/>
          </w:tcPr>
          <w:p w14:paraId="27FA86DA">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单位</w:t>
            </w:r>
          </w:p>
        </w:tc>
        <w:tc>
          <w:tcPr>
            <w:tcW w:w="800" w:type="dxa"/>
            <w:noWrap w:val="0"/>
            <w:vAlign w:val="center"/>
          </w:tcPr>
          <w:p w14:paraId="2E80A34F">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数量</w:t>
            </w:r>
          </w:p>
        </w:tc>
        <w:tc>
          <w:tcPr>
            <w:tcW w:w="1038" w:type="dxa"/>
            <w:noWrap w:val="0"/>
            <w:vAlign w:val="center"/>
          </w:tcPr>
          <w:p w14:paraId="1CFC6EE2">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单价（元）</w:t>
            </w:r>
          </w:p>
        </w:tc>
        <w:tc>
          <w:tcPr>
            <w:tcW w:w="1027" w:type="dxa"/>
            <w:noWrap w:val="0"/>
            <w:vAlign w:val="center"/>
          </w:tcPr>
          <w:p w14:paraId="206FCAAC">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金额 (元)</w:t>
            </w:r>
          </w:p>
        </w:tc>
      </w:tr>
      <w:tr w14:paraId="69A07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816" w:type="dxa"/>
            <w:noWrap w:val="0"/>
            <w:vAlign w:val="center"/>
          </w:tcPr>
          <w:p w14:paraId="175D635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1</w:t>
            </w:r>
          </w:p>
        </w:tc>
        <w:tc>
          <w:tcPr>
            <w:tcW w:w="1649" w:type="dxa"/>
            <w:noWrap w:val="0"/>
            <w:vAlign w:val="center"/>
          </w:tcPr>
          <w:p w14:paraId="491E0FA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r>
              <w:rPr>
                <w:rFonts w:hint="eastAsia" w:ascii="仿宋_GB2312" w:hAnsi="仿宋" w:eastAsia="仿宋_GB2312"/>
                <w:bCs/>
                <w:sz w:val="28"/>
                <w:szCs w:val="28"/>
                <w:lang w:val="en-US" w:eastAsia="zh-CN"/>
              </w:rPr>
              <w:t>304不锈钢隔离杆</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含产品、运输及安装等</w:t>
            </w:r>
            <w:r>
              <w:rPr>
                <w:rFonts w:hint="eastAsia" w:ascii="仿宋_GB2312" w:hAnsi="仿宋" w:eastAsia="仿宋_GB2312"/>
                <w:bCs/>
                <w:sz w:val="28"/>
                <w:szCs w:val="28"/>
                <w:lang w:eastAsia="zh-CN"/>
              </w:rPr>
              <w:t>）</w:t>
            </w:r>
          </w:p>
        </w:tc>
        <w:tc>
          <w:tcPr>
            <w:tcW w:w="1481" w:type="dxa"/>
            <w:noWrap w:val="0"/>
            <w:vAlign w:val="center"/>
          </w:tcPr>
          <w:p w14:paraId="5939512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822" w:type="dxa"/>
            <w:noWrap w:val="0"/>
            <w:vAlign w:val="center"/>
          </w:tcPr>
          <w:p w14:paraId="36FA9A5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812" w:type="dxa"/>
            <w:noWrap w:val="0"/>
            <w:vAlign w:val="center"/>
          </w:tcPr>
          <w:p w14:paraId="7C04C33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800" w:type="dxa"/>
            <w:noWrap w:val="0"/>
            <w:vAlign w:val="center"/>
          </w:tcPr>
          <w:p w14:paraId="063A7B2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1038" w:type="dxa"/>
            <w:noWrap w:val="0"/>
            <w:vAlign w:val="center"/>
          </w:tcPr>
          <w:p w14:paraId="34B9250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c>
          <w:tcPr>
            <w:tcW w:w="1027" w:type="dxa"/>
            <w:noWrap w:val="0"/>
            <w:vAlign w:val="center"/>
          </w:tcPr>
          <w:p w14:paraId="4BA2F0A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_GB2312" w:hAnsi="仿宋" w:eastAsia="仿宋_GB2312"/>
                <w:bCs/>
                <w:sz w:val="28"/>
                <w:szCs w:val="28"/>
              </w:rPr>
            </w:pPr>
          </w:p>
        </w:tc>
      </w:tr>
      <w:tr w14:paraId="5FCDAC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6A449391">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合计</w:t>
            </w:r>
          </w:p>
        </w:tc>
        <w:tc>
          <w:tcPr>
            <w:tcW w:w="3915" w:type="dxa"/>
            <w:gridSpan w:val="4"/>
            <w:noWrap w:val="0"/>
            <w:vAlign w:val="center"/>
          </w:tcPr>
          <w:p w14:paraId="07DC0B50">
            <w:pPr>
              <w:autoSpaceDE w:val="0"/>
              <w:autoSpaceDN w:val="0"/>
              <w:adjustRightInd w:val="0"/>
              <w:snapToGrid w:val="0"/>
              <w:jc w:val="left"/>
              <w:rPr>
                <w:rFonts w:hint="eastAsia" w:ascii="仿宋_GB2312" w:hAnsi="仿宋" w:eastAsia="仿宋_GB2312"/>
                <w:bCs/>
                <w:sz w:val="28"/>
                <w:szCs w:val="28"/>
              </w:rPr>
            </w:pPr>
            <w:r>
              <w:rPr>
                <w:rFonts w:hint="eastAsia" w:ascii="仿宋_GB2312" w:hAnsi="仿宋" w:eastAsia="仿宋_GB2312"/>
                <w:bCs/>
                <w:sz w:val="28"/>
                <w:szCs w:val="28"/>
              </w:rPr>
              <w:t>大写</w:t>
            </w:r>
          </w:p>
        </w:tc>
        <w:tc>
          <w:tcPr>
            <w:tcW w:w="2065" w:type="dxa"/>
            <w:gridSpan w:val="2"/>
            <w:noWrap w:val="0"/>
            <w:vAlign w:val="center"/>
          </w:tcPr>
          <w:p w14:paraId="5C99CDF1">
            <w:pPr>
              <w:autoSpaceDE w:val="0"/>
              <w:autoSpaceDN w:val="0"/>
              <w:adjustRightInd w:val="0"/>
              <w:snapToGrid w:val="0"/>
              <w:ind w:firstLine="560" w:firstLineChars="200"/>
              <w:jc w:val="left"/>
              <w:rPr>
                <w:rFonts w:hint="eastAsia" w:ascii="仿宋_GB2312" w:hAnsi="仿宋" w:eastAsia="仿宋_GB2312"/>
                <w:bCs/>
                <w:sz w:val="28"/>
                <w:szCs w:val="28"/>
                <w:lang w:eastAsia="zh-CN"/>
              </w:rPr>
            </w:pPr>
            <w:r>
              <w:rPr>
                <w:rFonts w:hint="eastAsia" w:ascii="仿宋_GB2312" w:hAnsi="仿宋" w:eastAsia="仿宋_GB2312"/>
                <w:bCs/>
                <w:sz w:val="28"/>
                <w:szCs w:val="28"/>
                <w:lang w:val="en-US" w:eastAsia="zh-CN"/>
              </w:rPr>
              <w:t>¥</w:t>
            </w:r>
          </w:p>
        </w:tc>
      </w:tr>
    </w:tbl>
    <w:p w14:paraId="465EFBFB">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二、合同价款</w:t>
      </w:r>
    </w:p>
    <w:p w14:paraId="03150F7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（一）合同价款为人民币（大写）</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highlight w:val="none"/>
        </w:rPr>
        <w:t>（</w:t>
      </w:r>
      <w:r>
        <w:rPr>
          <w:rFonts w:hint="eastAsia" w:ascii="仿宋_GB2312" w:hAnsi="仿宋_GB2312" w:eastAsia="仿宋_GB2312" w:cs="仿宋_GB2312"/>
          <w:bCs/>
          <w:sz w:val="28"/>
          <w:szCs w:val="28"/>
          <w:highlight w:val="none"/>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rPr>
        <w:t>）。</w:t>
      </w:r>
    </w:p>
    <w:p w14:paraId="03B0904C">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rPr>
        <w:t>（二）合同价款是指本次</w:t>
      </w:r>
      <w:r>
        <w:rPr>
          <w:rFonts w:hint="eastAsia" w:ascii="仿宋_GB2312" w:hAnsi="仿宋" w:eastAsia="仿宋_GB2312"/>
          <w:bCs/>
          <w:sz w:val="28"/>
          <w:szCs w:val="28"/>
          <w:lang w:val="zh-CN"/>
        </w:rPr>
        <w:t>服务内容所需的全部费用,</w:t>
      </w:r>
      <w:r>
        <w:rPr>
          <w:rFonts w:hint="eastAsia" w:ascii="仿宋_GB2312" w:hAnsi="仿宋" w:eastAsia="仿宋_GB2312"/>
          <w:bCs/>
          <w:sz w:val="28"/>
          <w:szCs w:val="28"/>
          <w:highlight w:val="none"/>
        </w:rPr>
        <w:t xml:space="preserve"> 包括但不限于</w:t>
      </w:r>
      <w:r>
        <w:rPr>
          <w:rFonts w:hint="eastAsia" w:ascii="仿宋_GB2312" w:hAnsi="仿宋_GB2312" w:eastAsia="仿宋_GB2312" w:cs="仿宋_GB2312"/>
          <w:color w:val="auto"/>
          <w:sz w:val="28"/>
          <w:szCs w:val="28"/>
          <w:highlight w:val="none"/>
          <w:lang w:val="zh-CN" w:eastAsia="zh-CN"/>
        </w:rPr>
        <w:t>完成采购内容所需的</w:t>
      </w:r>
      <w:r>
        <w:rPr>
          <w:rFonts w:hint="eastAsia" w:ascii="仿宋_GB2312" w:hAnsi="仿宋_GB2312" w:eastAsia="仿宋_GB2312" w:cs="仿宋_GB2312"/>
          <w:color w:val="auto"/>
          <w:sz w:val="28"/>
          <w:szCs w:val="28"/>
          <w:highlight w:val="none"/>
          <w:lang w:val="en-US" w:eastAsia="zh-CN"/>
        </w:rPr>
        <w:t>设备费、安装费、管理费、运输费、</w:t>
      </w:r>
      <w:r>
        <w:rPr>
          <w:rFonts w:hint="eastAsia" w:ascii="仿宋_GB2312" w:hAnsi="仿宋_GB2312" w:eastAsia="仿宋_GB2312" w:cs="仿宋_GB2312"/>
          <w:color w:val="auto"/>
          <w:sz w:val="28"/>
          <w:szCs w:val="28"/>
          <w:highlight w:val="none"/>
          <w:lang w:val="zh-CN" w:eastAsia="zh-CN"/>
        </w:rPr>
        <w:t>直接费、间接费、利润、税金及其他相关的一切费用</w:t>
      </w:r>
      <w:r>
        <w:rPr>
          <w:rFonts w:hint="eastAsia" w:ascii="仿宋_GB2312" w:hAnsi="仿宋" w:eastAsia="仿宋_GB2312"/>
          <w:bCs/>
          <w:sz w:val="28"/>
          <w:szCs w:val="28"/>
          <w:highlight w:val="none"/>
        </w:rPr>
        <w:t>。</w:t>
      </w:r>
    </w:p>
    <w:p w14:paraId="208FC34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highlight w:val="none"/>
        </w:rPr>
      </w:pPr>
      <w:r>
        <w:rPr>
          <w:rFonts w:hint="eastAsia" w:ascii="仿宋_GB2312" w:hAnsi="仿宋" w:eastAsia="仿宋_GB2312"/>
          <w:bCs/>
          <w:sz w:val="28"/>
          <w:szCs w:val="28"/>
        </w:rPr>
        <w:t>（三）合同价款一次性包死，不受市场价格变化因素的影响</w:t>
      </w:r>
      <w:r>
        <w:rPr>
          <w:rFonts w:hint="eastAsia" w:ascii="仿宋_GB2312" w:hAnsi="仿宋" w:eastAsia="仿宋_GB2312"/>
          <w:bCs/>
          <w:sz w:val="28"/>
          <w:szCs w:val="28"/>
          <w:highlight w:val="none"/>
        </w:rPr>
        <w:t>。</w:t>
      </w:r>
    </w:p>
    <w:p w14:paraId="5248E7E4">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三、款项结算</w:t>
      </w:r>
    </w:p>
    <w:p w14:paraId="24AEFD7F">
      <w:pPr>
        <w:autoSpaceDE w:val="0"/>
        <w:autoSpaceDN w:val="0"/>
        <w:adjustRightInd w:val="0"/>
        <w:snapToGrid w:val="0"/>
        <w:spacing w:line="360" w:lineRule="auto"/>
        <w:ind w:firstLine="560" w:firstLineChars="200"/>
        <w:rPr>
          <w:rFonts w:ascii="仿宋_GB2312" w:hAnsi="仿宋" w:eastAsia="仿宋_GB2312"/>
          <w:bCs/>
          <w:sz w:val="28"/>
          <w:szCs w:val="28"/>
          <w:highlight w:val="none"/>
        </w:rPr>
      </w:pPr>
      <w:r>
        <w:rPr>
          <w:rFonts w:hint="eastAsia" w:ascii="仿宋_GB2312" w:hAnsi="仿宋" w:eastAsia="仿宋_GB2312"/>
          <w:bCs/>
          <w:sz w:val="28"/>
          <w:szCs w:val="28"/>
          <w:highlight w:val="none"/>
        </w:rPr>
        <w:t>（一）付款方式：</w:t>
      </w:r>
    </w:p>
    <w:p w14:paraId="459BE2E6">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val="en-US" w:eastAsia="zh-CN"/>
        </w:rPr>
      </w:pPr>
      <w:r>
        <w:rPr>
          <w:rFonts w:hint="eastAsia" w:ascii="仿宋_GB2312" w:hAnsi="仿宋" w:eastAsia="仿宋_GB2312" w:cs="Times New Roman"/>
          <w:bCs/>
          <w:sz w:val="28"/>
          <w:szCs w:val="28"/>
          <w:highlight w:val="none"/>
          <w:lang w:val="en-US" w:eastAsia="zh-CN"/>
        </w:rPr>
        <w:t>1、合同签订生效后（凭等额正规发票），达到付款条件起30日内，支付合同总金额的60%；</w:t>
      </w:r>
    </w:p>
    <w:p w14:paraId="70F209C9">
      <w:pPr>
        <w:autoSpaceDE w:val="0"/>
        <w:autoSpaceDN w:val="0"/>
        <w:adjustRightInd w:val="0"/>
        <w:snapToGrid w:val="0"/>
        <w:spacing w:line="360" w:lineRule="auto"/>
        <w:ind w:firstLine="560" w:firstLineChars="200"/>
        <w:rPr>
          <w:rFonts w:hint="default"/>
          <w:highlight w:val="none"/>
          <w:lang w:val="en-US" w:eastAsia="zh-CN"/>
        </w:rPr>
      </w:pPr>
      <w:r>
        <w:rPr>
          <w:rFonts w:hint="eastAsia" w:ascii="仿宋_GB2312" w:hAnsi="仿宋" w:eastAsia="仿宋_GB2312" w:cs="Times New Roman"/>
          <w:bCs/>
          <w:sz w:val="28"/>
          <w:szCs w:val="28"/>
          <w:highlight w:val="none"/>
          <w:lang w:val="en-US" w:eastAsia="zh-CN"/>
        </w:rPr>
        <w:t>2、设备到货、安装调试、校准并验收合格后（凭验收合格证明及等额正规发票），达到付款条件起30日内，支付合同总金额的40%。</w:t>
      </w:r>
    </w:p>
    <w:p w14:paraId="2A37F049">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（二）结算方式：银行转账。</w:t>
      </w:r>
    </w:p>
    <w:p w14:paraId="263D9FD7">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（三）结算单位：由甲方负责结算，乙方开具相应金额的有效财务发票给甲方。</w:t>
      </w:r>
    </w:p>
    <w:p w14:paraId="54824B9A">
      <w:pPr>
        <w:autoSpaceDE w:val="0"/>
        <w:autoSpaceDN w:val="0"/>
        <w:adjustRightInd w:val="0"/>
        <w:snapToGrid w:val="0"/>
        <w:spacing w:line="360" w:lineRule="auto"/>
        <w:ind w:firstLine="562" w:firstLineChars="200"/>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四、</w:t>
      </w:r>
      <w:r>
        <w:rPr>
          <w:rFonts w:hint="eastAsia" w:ascii="仿宋_GB2312" w:hAnsi="仿宋" w:eastAsia="仿宋_GB2312"/>
          <w:b/>
          <w:bCs w:val="0"/>
          <w:sz w:val="28"/>
          <w:szCs w:val="28"/>
          <w:highlight w:val="none"/>
          <w:lang w:val="en-US" w:eastAsia="zh-CN"/>
        </w:rPr>
        <w:t>交货</w:t>
      </w:r>
      <w:r>
        <w:rPr>
          <w:rFonts w:hint="eastAsia" w:ascii="仿宋_GB2312" w:hAnsi="仿宋" w:eastAsia="仿宋_GB2312"/>
          <w:b/>
          <w:bCs w:val="0"/>
          <w:sz w:val="28"/>
          <w:szCs w:val="28"/>
          <w:highlight w:val="none"/>
        </w:rPr>
        <w:t>地点及</w:t>
      </w:r>
      <w:r>
        <w:rPr>
          <w:rFonts w:hint="eastAsia" w:ascii="仿宋_GB2312" w:hAnsi="仿宋" w:eastAsia="仿宋_GB2312"/>
          <w:b/>
          <w:bCs w:val="0"/>
          <w:sz w:val="28"/>
          <w:szCs w:val="28"/>
          <w:highlight w:val="none"/>
          <w:lang w:val="en-US" w:eastAsia="zh-CN"/>
        </w:rPr>
        <w:t>交货</w:t>
      </w:r>
      <w:r>
        <w:rPr>
          <w:rFonts w:hint="eastAsia" w:ascii="仿宋_GB2312" w:hAnsi="仿宋" w:eastAsia="仿宋_GB2312"/>
          <w:b/>
          <w:bCs w:val="0"/>
          <w:sz w:val="28"/>
          <w:szCs w:val="28"/>
          <w:highlight w:val="none"/>
        </w:rPr>
        <w:t>期</w:t>
      </w:r>
    </w:p>
    <w:p w14:paraId="6590DBDA">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w:t>
      </w:r>
      <w:r>
        <w:rPr>
          <w:rFonts w:hint="eastAsia" w:ascii="仿宋_GB2312" w:hAnsi="仿宋" w:eastAsia="仿宋_GB2312"/>
          <w:bCs/>
          <w:sz w:val="28"/>
          <w:szCs w:val="28"/>
          <w:highlight w:val="none"/>
          <w:lang w:val="en-US" w:eastAsia="zh-CN"/>
        </w:rPr>
        <w:t>交货</w:t>
      </w:r>
      <w:r>
        <w:rPr>
          <w:rFonts w:hint="eastAsia" w:ascii="仿宋_GB2312" w:hAnsi="仿宋" w:eastAsia="仿宋_GB2312"/>
          <w:bCs/>
          <w:sz w:val="28"/>
          <w:szCs w:val="28"/>
          <w:highlight w:val="none"/>
        </w:rPr>
        <w:t>地点：</w:t>
      </w:r>
      <w:r>
        <w:rPr>
          <w:rFonts w:hint="eastAsia" w:ascii="仿宋_GB2312" w:hAnsi="仿宋" w:eastAsia="仿宋_GB2312"/>
          <w:bCs/>
          <w:sz w:val="28"/>
          <w:szCs w:val="28"/>
          <w:highlight w:val="none"/>
          <w:lang w:val="en-US" w:eastAsia="zh-CN"/>
        </w:rPr>
        <w:t>秦始皇帝陵博物院内，具体以采购人指定地点为准</w:t>
      </w:r>
      <w:r>
        <w:rPr>
          <w:rFonts w:hint="eastAsia" w:ascii="仿宋_GB2312" w:hAnsi="仿宋" w:eastAsia="仿宋_GB2312"/>
          <w:bCs/>
          <w:sz w:val="28"/>
          <w:szCs w:val="28"/>
          <w:highlight w:val="none"/>
        </w:rPr>
        <w:t>。</w:t>
      </w:r>
    </w:p>
    <w:p w14:paraId="359926EF">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交货</w:t>
      </w:r>
      <w:r>
        <w:rPr>
          <w:rFonts w:hint="eastAsia" w:ascii="仿宋_GB2312" w:hAnsi="仿宋" w:eastAsia="仿宋_GB2312"/>
          <w:bCs/>
          <w:sz w:val="28"/>
          <w:szCs w:val="28"/>
          <w:highlight w:val="none"/>
        </w:rPr>
        <w:t>期：</w:t>
      </w:r>
      <w:r>
        <w:rPr>
          <w:rFonts w:hint="eastAsia" w:ascii="仿宋_GB2312" w:hAnsi="仿宋" w:eastAsia="仿宋_GB2312"/>
          <w:bCs/>
          <w:sz w:val="28"/>
          <w:szCs w:val="28"/>
          <w:highlight w:val="none"/>
          <w:lang w:eastAsia="zh-CN"/>
        </w:rPr>
        <w:t>自合同签订之日起</w:t>
      </w:r>
      <w:r>
        <w:rPr>
          <w:rFonts w:hint="eastAsia" w:ascii="仿宋_GB2312" w:hAnsi="仿宋" w:eastAsia="仿宋_GB2312"/>
          <w:bCs/>
          <w:sz w:val="28"/>
          <w:szCs w:val="28"/>
          <w:highlight w:val="none"/>
          <w:lang w:val="en-US" w:eastAsia="zh-CN"/>
        </w:rPr>
        <w:t>45日历天内完成产品供货、安装及验收工作</w:t>
      </w:r>
      <w:r>
        <w:rPr>
          <w:rFonts w:hint="eastAsia" w:ascii="仿宋_GB2312" w:hAnsi="仿宋_GB2312" w:eastAsia="仿宋_GB2312" w:cs="仿宋_GB2312"/>
          <w:b w:val="0"/>
          <w:bCs w:val="0"/>
          <w:kern w:val="0"/>
          <w:sz w:val="28"/>
          <w:szCs w:val="28"/>
          <w:highlight w:val="none"/>
          <w:lang w:val="en-US" w:eastAsia="zh-CN"/>
        </w:rPr>
        <w:t>。</w:t>
      </w:r>
    </w:p>
    <w:p w14:paraId="2F91A6A6">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五、双方的权利和义务</w:t>
      </w:r>
    </w:p>
    <w:p w14:paraId="7B02A02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1919E5C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1、甲方负责配合本次项目</w:t>
      </w:r>
      <w:r>
        <w:rPr>
          <w:rFonts w:hint="eastAsia" w:ascii="仿宋_GB2312" w:hAnsi="仿宋" w:eastAsia="仿宋_GB2312"/>
          <w:bCs/>
          <w:sz w:val="28"/>
          <w:szCs w:val="28"/>
          <w:lang w:val="en-US" w:eastAsia="zh-CN"/>
        </w:rPr>
        <w:t>采购</w:t>
      </w:r>
      <w:r>
        <w:rPr>
          <w:rFonts w:hint="eastAsia" w:ascii="仿宋_GB2312" w:hAnsi="仿宋" w:eastAsia="仿宋_GB2312"/>
          <w:bCs/>
          <w:sz w:val="28"/>
          <w:szCs w:val="28"/>
        </w:rPr>
        <w:t>工作；</w:t>
      </w:r>
    </w:p>
    <w:p w14:paraId="3CFE240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2、甲方应按本合同的约定向乙方支付合同价款；</w:t>
      </w:r>
    </w:p>
    <w:p w14:paraId="0D29AFE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3、甲方根据需要对乙方提供的</w:t>
      </w:r>
      <w:r>
        <w:rPr>
          <w:rFonts w:hint="eastAsia" w:ascii="仿宋_GB2312" w:hAnsi="仿宋" w:eastAsia="仿宋_GB2312"/>
          <w:bCs/>
          <w:sz w:val="28"/>
          <w:szCs w:val="28"/>
          <w:lang w:eastAsia="zh-CN"/>
        </w:rPr>
        <w:t>服务</w:t>
      </w:r>
      <w:r>
        <w:rPr>
          <w:rFonts w:hint="eastAsia" w:ascii="仿宋_GB2312" w:hAnsi="仿宋" w:eastAsia="仿宋_GB2312"/>
          <w:bCs/>
          <w:sz w:val="28"/>
          <w:szCs w:val="28"/>
        </w:rPr>
        <w:t>方案进行审核，提供建议及意见，确定最终实施的服务方案，以便乙方遵照执行；</w:t>
      </w:r>
    </w:p>
    <w:p w14:paraId="76E05FA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4、甲方有权对乙方的工作进行监督和考核。</w:t>
      </w:r>
    </w:p>
    <w:p w14:paraId="127B722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5414C33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1、乙方的工作人员必须严格遵守甲方的规章制度，以良好的形象和积极的工作态度，按甲方要求开展工作；</w:t>
      </w:r>
    </w:p>
    <w:p w14:paraId="1C44E9C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2、乙方应服从甲方统筹管理并按流程开展工作；</w:t>
      </w:r>
    </w:p>
    <w:p w14:paraId="435D34D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3、乙方提交的方案等应得到甲方确认再予以实施；</w:t>
      </w:r>
    </w:p>
    <w:p w14:paraId="09CA257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lang w:val="en-US" w:eastAsia="zh-CN"/>
        </w:rPr>
        <w:t>4、</w:t>
      </w:r>
      <w:r>
        <w:rPr>
          <w:rFonts w:hint="eastAsia" w:ascii="仿宋_GB2312" w:hAnsi="仿宋" w:eastAsia="仿宋_GB2312"/>
          <w:bCs/>
          <w:sz w:val="28"/>
          <w:szCs w:val="28"/>
        </w:rPr>
        <w:t>乙方工作人员出入等</w:t>
      </w:r>
      <w:r>
        <w:rPr>
          <w:rFonts w:hint="eastAsia" w:ascii="仿宋_GB2312" w:hAnsi="仿宋" w:eastAsia="仿宋_GB2312"/>
          <w:bCs/>
          <w:sz w:val="28"/>
          <w:szCs w:val="28"/>
          <w:lang w:eastAsia="zh-CN"/>
        </w:rPr>
        <w:t>相关</w:t>
      </w:r>
      <w:r>
        <w:rPr>
          <w:rFonts w:hint="eastAsia" w:ascii="仿宋_GB2312" w:hAnsi="仿宋" w:eastAsia="仿宋_GB2312"/>
          <w:bCs/>
          <w:sz w:val="28"/>
          <w:szCs w:val="28"/>
        </w:rPr>
        <w:t>事宜，甲方有义务提供必要的便利条件。</w:t>
      </w:r>
    </w:p>
    <w:p w14:paraId="766639C9">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六、质量保证</w:t>
      </w:r>
    </w:p>
    <w:p w14:paraId="5B8D4394">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eastAsia="zh-CN"/>
        </w:rPr>
      </w:pPr>
      <w:r>
        <w:rPr>
          <w:rFonts w:hint="eastAsia" w:ascii="仿宋_GB2312" w:hAnsi="仿宋" w:eastAsia="仿宋_GB2312"/>
          <w:bCs/>
          <w:sz w:val="28"/>
          <w:szCs w:val="28"/>
        </w:rPr>
        <w:t>（一）</w:t>
      </w:r>
      <w:r>
        <w:rPr>
          <w:rFonts w:hint="eastAsia" w:ascii="仿宋_GB2312" w:hAnsi="仿宋" w:eastAsia="仿宋_GB2312"/>
          <w:bCs/>
          <w:sz w:val="28"/>
          <w:szCs w:val="28"/>
          <w:lang w:val="en-US" w:eastAsia="zh-CN"/>
        </w:rPr>
        <w:t>产品质量需符合国家现行不锈钢制品相关标准、招标文件技术要求及</w:t>
      </w:r>
      <w:r>
        <w:rPr>
          <w:rFonts w:hint="eastAsia" w:ascii="仿宋_GB2312" w:hAnsi="仿宋" w:eastAsia="仿宋_GB2312"/>
          <w:bCs/>
          <w:sz w:val="28"/>
          <w:szCs w:val="28"/>
          <w:highlight w:val="none"/>
          <w:lang w:val="en-US" w:eastAsia="zh-CN"/>
        </w:rPr>
        <w:t>图纸设计</w:t>
      </w:r>
      <w:r>
        <w:rPr>
          <w:rFonts w:hint="eastAsia" w:ascii="仿宋_GB2312" w:hAnsi="仿宋" w:eastAsia="仿宋_GB2312"/>
          <w:bCs/>
          <w:sz w:val="28"/>
          <w:szCs w:val="28"/>
          <w:lang w:val="en-US" w:eastAsia="zh-CN"/>
        </w:rPr>
        <w:t>要求，所有产品出厂前需将一定数量隔离杆送法定检验机构检验，取得产品质量检验合格报告后方可交货，供货时提供产品合格证、材质证明书；安装质量需做到牢固、平整、美观，无松动、掉漆、变形等问题，竣工验收一次性合格</w:t>
      </w:r>
      <w:r>
        <w:rPr>
          <w:rFonts w:hint="eastAsia" w:ascii="仿宋_GB2312" w:hAnsi="仿宋" w:eastAsia="仿宋_GB2312"/>
          <w:bCs/>
          <w:sz w:val="28"/>
          <w:szCs w:val="28"/>
          <w:lang w:eastAsia="zh-CN"/>
        </w:rPr>
        <w:t>。</w:t>
      </w:r>
    </w:p>
    <w:p w14:paraId="674C46D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eastAsia="zh-CN"/>
        </w:rPr>
      </w:pPr>
      <w:r>
        <w:rPr>
          <w:rFonts w:hint="eastAsia" w:ascii="仿宋_GB2312" w:hAnsi="仿宋" w:eastAsia="仿宋_GB2312"/>
          <w:bCs/>
          <w:sz w:val="28"/>
          <w:szCs w:val="28"/>
          <w:lang w:val="en-US" w:eastAsia="zh-CN"/>
        </w:rPr>
        <w:t>（二）整体</w:t>
      </w:r>
      <w:r>
        <w:rPr>
          <w:rFonts w:hint="eastAsia" w:ascii="仿宋_GB2312" w:hAnsi="仿宋" w:eastAsia="仿宋_GB2312"/>
          <w:bCs/>
          <w:sz w:val="28"/>
          <w:szCs w:val="28"/>
          <w:highlight w:val="none"/>
          <w:lang w:val="en-US" w:eastAsia="zh-CN"/>
        </w:rPr>
        <w:t>免费质保期自验收合格之日起不少于5年</w:t>
      </w:r>
      <w:r>
        <w:rPr>
          <w:rFonts w:hint="eastAsia" w:ascii="仿宋_GB2312" w:hAnsi="仿宋" w:eastAsia="仿宋_GB2312"/>
          <w:bCs/>
          <w:sz w:val="28"/>
          <w:szCs w:val="28"/>
          <w:lang w:val="en-US" w:eastAsia="zh-CN"/>
        </w:rPr>
        <w:t>（若乙方质保期优于此要求，按其承诺的质保期进行质保），产品在质保期内出现质量、安装等问题，乙方应负责三包（包修、包换、包退），费用由乙方负担，甲方有权到乙方生产场地检查产品质量和生产进度</w:t>
      </w:r>
      <w:r>
        <w:rPr>
          <w:rFonts w:hint="eastAsia" w:ascii="仿宋_GB2312" w:hAnsi="仿宋" w:eastAsia="仿宋_GB2312"/>
          <w:bCs/>
          <w:sz w:val="28"/>
          <w:szCs w:val="28"/>
          <w:lang w:eastAsia="zh-CN"/>
        </w:rPr>
        <w:t>。</w:t>
      </w:r>
    </w:p>
    <w:p w14:paraId="784DA1B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eastAsia="zh-CN"/>
        </w:rPr>
      </w:pPr>
      <w:r>
        <w:rPr>
          <w:rFonts w:hint="eastAsia" w:ascii="仿宋_GB2312" w:hAnsi="仿宋" w:eastAsia="仿宋_GB2312"/>
          <w:bCs/>
          <w:sz w:val="28"/>
          <w:szCs w:val="28"/>
          <w:lang w:val="en-US" w:eastAsia="zh-CN"/>
        </w:rPr>
        <w:t>（三）</w:t>
      </w:r>
      <w:r>
        <w:rPr>
          <w:rFonts w:hint="eastAsia" w:ascii="仿宋_GB2312" w:hAnsi="仿宋" w:eastAsia="仿宋_GB2312"/>
          <w:bCs/>
          <w:sz w:val="28"/>
          <w:szCs w:val="28"/>
          <w:lang w:eastAsia="zh-CN"/>
        </w:rPr>
        <w:t>质保期内24小时响应、48小时上门服务，免费维修及更换零配件。</w:t>
      </w:r>
    </w:p>
    <w:p w14:paraId="651C2F7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rPr>
      </w:pPr>
      <w:r>
        <w:rPr>
          <w:rFonts w:hint="eastAsia" w:ascii="仿宋_GB2312" w:hAnsi="仿宋" w:eastAsia="仿宋_GB2312"/>
          <w:bCs/>
          <w:sz w:val="28"/>
          <w:szCs w:val="28"/>
          <w:lang w:val="en-US" w:eastAsia="zh-CN"/>
        </w:rPr>
        <w:t>（四）</w:t>
      </w:r>
      <w:r>
        <w:rPr>
          <w:rFonts w:hint="eastAsia" w:ascii="仿宋_GB2312" w:hAnsi="仿宋" w:eastAsia="仿宋_GB2312"/>
          <w:bCs/>
          <w:sz w:val="28"/>
          <w:szCs w:val="28"/>
          <w:lang w:eastAsia="zh-CN"/>
        </w:rPr>
        <w:t>质保期外提供终身技术支持与优惠零配件供应。</w:t>
      </w:r>
    </w:p>
    <w:p w14:paraId="01B802D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bCs/>
          <w:sz w:val="28"/>
          <w:szCs w:val="28"/>
          <w:lang w:val="en-US" w:eastAsia="zh-CN"/>
        </w:rPr>
      </w:pPr>
      <w:r>
        <w:rPr>
          <w:rFonts w:hint="eastAsia" w:ascii="仿宋_GB2312" w:hAnsi="仿宋" w:eastAsia="仿宋_GB2312"/>
          <w:bCs/>
          <w:sz w:val="28"/>
          <w:szCs w:val="28"/>
          <w:lang w:val="en-US" w:eastAsia="zh-CN"/>
        </w:rPr>
        <w:t>（五）为确保隔离杆材质符合要求，甲方在供货时委托第三方机构实施检测，所需费用包含在合同价款内，由乙方承担。</w:t>
      </w:r>
    </w:p>
    <w:p w14:paraId="3E11E4B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2" w:firstLineChars="200"/>
        <w:jc w:val="both"/>
        <w:textAlignment w:val="auto"/>
        <w:outlineLvl w:val="9"/>
        <w:rPr>
          <w:rFonts w:hint="default" w:ascii="仿宋_GB2312" w:hAnsi="仿宋" w:eastAsia="仿宋_GB2312" w:cs="Times New Roman"/>
          <w:b/>
          <w:bCs/>
          <w:color w:val="000000"/>
          <w:sz w:val="28"/>
          <w:szCs w:val="28"/>
          <w:highlight w:val="none"/>
          <w:lang w:val="en-US" w:eastAsia="zh-CN"/>
        </w:rPr>
      </w:pPr>
      <w:r>
        <w:rPr>
          <w:rFonts w:hint="eastAsia" w:ascii="仿宋_GB2312" w:hAnsi="仿宋" w:eastAsia="仿宋_GB2312" w:cs="Times New Roman"/>
          <w:b/>
          <w:bCs/>
          <w:color w:val="000000"/>
          <w:sz w:val="28"/>
          <w:szCs w:val="28"/>
          <w:highlight w:val="none"/>
          <w:lang w:val="en-US" w:eastAsia="zh-CN"/>
        </w:rPr>
        <w:t>七、人员要求及售后服务</w:t>
      </w:r>
    </w:p>
    <w:p w14:paraId="53A8E0B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color w:val="auto"/>
          <w:sz w:val="28"/>
          <w:szCs w:val="28"/>
        </w:rPr>
      </w:pP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val="en-US" w:eastAsia="zh-CN"/>
        </w:rPr>
        <w:t>一</w:t>
      </w: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eastAsia="zh-CN"/>
        </w:rPr>
        <w:t>配备专属项目服务团队，至少包含1名现场负责人、</w:t>
      </w:r>
      <w:r>
        <w:rPr>
          <w:rFonts w:hint="eastAsia" w:ascii="仿宋_GB2312" w:hAnsi="仿宋" w:eastAsia="仿宋_GB2312"/>
          <w:bCs/>
          <w:color w:val="auto"/>
          <w:sz w:val="28"/>
          <w:szCs w:val="28"/>
          <w:lang w:val="en-US" w:eastAsia="zh-CN"/>
        </w:rPr>
        <w:t>6</w:t>
      </w:r>
      <w:r>
        <w:rPr>
          <w:rFonts w:hint="eastAsia" w:ascii="仿宋_GB2312" w:hAnsi="仿宋" w:eastAsia="仿宋_GB2312"/>
          <w:bCs/>
          <w:color w:val="auto"/>
          <w:sz w:val="28"/>
          <w:szCs w:val="28"/>
          <w:lang w:eastAsia="zh-CN"/>
        </w:rPr>
        <w:t>名专业安装人员，团队人员需具备相关施工操作经验</w:t>
      </w:r>
      <w:r>
        <w:rPr>
          <w:rFonts w:hint="eastAsia" w:ascii="仿宋_GB2312" w:hAnsi="仿宋" w:eastAsia="仿宋_GB2312"/>
          <w:bCs/>
          <w:color w:val="auto"/>
          <w:sz w:val="28"/>
          <w:szCs w:val="28"/>
        </w:rPr>
        <w:t>。</w:t>
      </w:r>
    </w:p>
    <w:p w14:paraId="2FCF8AC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color w:val="auto"/>
          <w:sz w:val="28"/>
          <w:szCs w:val="28"/>
        </w:rPr>
      </w:pP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val="en-US" w:eastAsia="zh-CN"/>
        </w:rPr>
        <w:t>二</w:t>
      </w:r>
      <w:r>
        <w:rPr>
          <w:rFonts w:hint="eastAsia" w:ascii="仿宋_GB2312" w:hAnsi="仿宋" w:eastAsia="仿宋_GB2312"/>
          <w:bCs/>
          <w:color w:val="auto"/>
          <w:sz w:val="28"/>
          <w:szCs w:val="28"/>
        </w:rPr>
        <w:t>）乙方定期对用户进行回访，并对用户提出的技术问题及时解决。</w:t>
      </w:r>
    </w:p>
    <w:p w14:paraId="1577786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cs="Times New Roman"/>
          <w:b w:val="0"/>
          <w:bCs w:val="0"/>
          <w:color w:val="auto"/>
          <w:sz w:val="28"/>
          <w:szCs w:val="28"/>
          <w:highlight w:val="none"/>
          <w:lang w:val="en-US" w:eastAsia="zh-CN"/>
        </w:rPr>
      </w:pPr>
      <w:r>
        <w:rPr>
          <w:rFonts w:hint="eastAsia" w:ascii="仿宋_GB2312" w:hAnsi="仿宋" w:eastAsia="仿宋_GB2312"/>
          <w:bCs/>
          <w:color w:val="auto"/>
          <w:sz w:val="28"/>
          <w:szCs w:val="28"/>
        </w:rPr>
        <w:t>（</w:t>
      </w:r>
      <w:r>
        <w:rPr>
          <w:rFonts w:hint="eastAsia" w:ascii="仿宋_GB2312" w:hAnsi="仿宋" w:eastAsia="仿宋_GB2312"/>
          <w:bCs/>
          <w:color w:val="auto"/>
          <w:sz w:val="28"/>
          <w:szCs w:val="28"/>
          <w:lang w:val="en-US" w:eastAsia="zh-CN"/>
        </w:rPr>
        <w:t>三</w:t>
      </w:r>
      <w:r>
        <w:rPr>
          <w:rFonts w:hint="eastAsia" w:ascii="仿宋_GB2312" w:hAnsi="仿宋" w:eastAsia="仿宋_GB2312"/>
          <w:bCs/>
          <w:color w:val="auto"/>
          <w:sz w:val="28"/>
          <w:szCs w:val="28"/>
        </w:rPr>
        <w:t>）乙方向甲方递交产品实施过程中的所有资料</w:t>
      </w:r>
      <w:r>
        <w:rPr>
          <w:rFonts w:hint="eastAsia" w:ascii="仿宋_GB2312" w:hAnsi="仿宋" w:eastAsia="仿宋_GB2312"/>
          <w:bCs/>
          <w:color w:val="auto"/>
          <w:sz w:val="28"/>
          <w:szCs w:val="28"/>
          <w:lang w:eastAsia="zh-CN"/>
        </w:rPr>
        <w:t>，</w:t>
      </w:r>
      <w:r>
        <w:rPr>
          <w:rFonts w:hint="eastAsia" w:ascii="仿宋_GB2312" w:hAnsi="仿宋" w:eastAsia="仿宋_GB2312"/>
          <w:bCs/>
          <w:color w:val="auto"/>
          <w:sz w:val="28"/>
          <w:szCs w:val="28"/>
        </w:rPr>
        <w:t>以便甲方日后管理和维护</w:t>
      </w:r>
      <w:r>
        <w:rPr>
          <w:rFonts w:hint="eastAsia" w:ascii="仿宋_GB2312" w:hAnsi="仿宋" w:eastAsia="仿宋_GB2312"/>
          <w:bCs/>
          <w:color w:val="auto"/>
          <w:sz w:val="28"/>
          <w:szCs w:val="28"/>
          <w:lang w:eastAsia="zh-CN"/>
        </w:rPr>
        <w:t>。</w:t>
      </w:r>
    </w:p>
    <w:p w14:paraId="236D1325">
      <w:pPr>
        <w:autoSpaceDE w:val="0"/>
        <w:autoSpaceDN w:val="0"/>
        <w:adjustRightInd w:val="0"/>
        <w:snapToGrid w:val="0"/>
        <w:spacing w:line="360" w:lineRule="auto"/>
        <w:ind w:firstLine="562" w:firstLineChars="200"/>
        <w:rPr>
          <w:rFonts w:hint="eastAsia" w:ascii="仿宋_GB2312" w:hAnsi="仿宋" w:eastAsia="仿宋_GB2312"/>
          <w:b/>
          <w:bCs w:val="0"/>
          <w:sz w:val="28"/>
          <w:szCs w:val="28"/>
          <w:lang w:val="en-US" w:eastAsia="zh-CN"/>
        </w:rPr>
      </w:pPr>
      <w:r>
        <w:rPr>
          <w:rFonts w:hint="eastAsia" w:ascii="仿宋_GB2312" w:hAnsi="仿宋" w:eastAsia="仿宋_GB2312"/>
          <w:b/>
          <w:bCs w:val="0"/>
          <w:sz w:val="28"/>
          <w:szCs w:val="28"/>
          <w:lang w:val="en-US" w:eastAsia="zh-CN"/>
        </w:rPr>
        <w:t>八</w:t>
      </w:r>
      <w:r>
        <w:rPr>
          <w:rFonts w:hint="eastAsia" w:ascii="仿宋_GB2312" w:hAnsi="仿宋" w:eastAsia="仿宋_GB2312"/>
          <w:b/>
          <w:bCs w:val="0"/>
          <w:sz w:val="28"/>
          <w:szCs w:val="28"/>
        </w:rPr>
        <w:t>、</w:t>
      </w:r>
      <w:r>
        <w:rPr>
          <w:rFonts w:hint="eastAsia" w:ascii="仿宋_GB2312" w:hAnsi="仿宋" w:eastAsia="仿宋_GB2312"/>
          <w:b/>
          <w:bCs w:val="0"/>
          <w:sz w:val="28"/>
          <w:szCs w:val="28"/>
          <w:lang w:val="en-US" w:eastAsia="zh-CN"/>
        </w:rPr>
        <w:t>运输及安装调试要求</w:t>
      </w:r>
    </w:p>
    <w:p w14:paraId="6DDAF8E2">
      <w:pPr>
        <w:autoSpaceDE w:val="0"/>
        <w:autoSpaceDN w:val="0"/>
        <w:adjustRightInd w:val="0"/>
        <w:snapToGrid w:val="0"/>
        <w:spacing w:line="360" w:lineRule="auto"/>
        <w:ind w:firstLine="560" w:firstLineChars="200"/>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（一）乙方负责所有产品的运输及安装，确保采购产品安全、完整到达甲方指定地点并按照要求完成安装、调试。运杂费用已包含在合同总价内，包括从产品供应地点所含的运输费、装卸费、仓储费、保险费等。</w:t>
      </w:r>
    </w:p>
    <w:p w14:paraId="01AB6B14">
      <w:pPr>
        <w:autoSpaceDE w:val="0"/>
        <w:autoSpaceDN w:val="0"/>
        <w:adjustRightInd w:val="0"/>
        <w:snapToGrid w:val="0"/>
        <w:spacing w:line="360" w:lineRule="auto"/>
        <w:ind w:firstLine="560" w:firstLineChars="200"/>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（二）运输方式由乙方自行选择，但必须保证按期交货所有采购货物在运输、搬运的过程中，造成甲方损失的，由乙方为甲方修复或更新。逾期按合同总额0.5‰/天支付违约金，逾期超过15天采购人有权解除合同。</w:t>
      </w:r>
    </w:p>
    <w:p w14:paraId="482D8582">
      <w:pPr>
        <w:autoSpaceDE w:val="0"/>
        <w:autoSpaceDN w:val="0"/>
        <w:adjustRightInd w:val="0"/>
        <w:snapToGrid w:val="0"/>
        <w:spacing w:line="360" w:lineRule="auto"/>
        <w:ind w:firstLine="560" w:firstLineChars="200"/>
        <w:rPr>
          <w:rFonts w:hint="eastAsia" w:ascii="仿宋_GB2312" w:hAnsi="仿宋" w:eastAsia="仿宋_GB2312"/>
          <w:b/>
          <w:bCs w:val="0"/>
          <w:sz w:val="28"/>
          <w:szCs w:val="28"/>
        </w:rPr>
      </w:pPr>
      <w:r>
        <w:rPr>
          <w:rFonts w:hint="eastAsia" w:ascii="仿宋_GB2312" w:hAnsi="仿宋" w:eastAsia="仿宋_GB2312"/>
          <w:b w:val="0"/>
          <w:bCs/>
          <w:sz w:val="28"/>
          <w:szCs w:val="28"/>
          <w:lang w:val="en-US" w:eastAsia="zh-CN"/>
        </w:rPr>
        <w:t>（三）涉及的商品包装和快递包装，均应符合国家及行业要求，包装应适应于远距离运输、防潮、防震、防锈和防野蛮装卸，以确保货物安全无损运抵指定地点。</w:t>
      </w:r>
    </w:p>
    <w:p w14:paraId="6289BD02">
      <w:pPr>
        <w:autoSpaceDE w:val="0"/>
        <w:autoSpaceDN w:val="0"/>
        <w:adjustRightInd w:val="0"/>
        <w:snapToGrid w:val="0"/>
        <w:spacing w:line="360" w:lineRule="auto"/>
        <w:ind w:firstLine="562" w:firstLineChars="200"/>
        <w:rPr>
          <w:rFonts w:hint="default" w:ascii="仿宋_GB2312" w:hAnsi="仿宋" w:eastAsia="仿宋_GB2312"/>
          <w:b/>
          <w:bCs w:val="0"/>
          <w:sz w:val="28"/>
          <w:szCs w:val="28"/>
          <w:lang w:val="en-US" w:eastAsia="zh-CN"/>
        </w:rPr>
      </w:pPr>
      <w:r>
        <w:rPr>
          <w:rFonts w:hint="eastAsia" w:ascii="仿宋_GB2312" w:hAnsi="仿宋" w:eastAsia="仿宋_GB2312"/>
          <w:b/>
          <w:bCs w:val="0"/>
          <w:sz w:val="28"/>
          <w:szCs w:val="28"/>
          <w:lang w:val="en-US" w:eastAsia="zh-CN"/>
        </w:rPr>
        <w:t>九、履约保证金</w:t>
      </w:r>
    </w:p>
    <w:p w14:paraId="196D599E">
      <w:pPr>
        <w:autoSpaceDE w:val="0"/>
        <w:autoSpaceDN w:val="0"/>
        <w:adjustRightInd w:val="0"/>
        <w:snapToGrid w:val="0"/>
        <w:spacing w:line="360" w:lineRule="auto"/>
        <w:ind w:firstLine="560" w:firstLineChars="200"/>
        <w:rPr>
          <w:rFonts w:hint="eastAsia" w:ascii="仿宋_GB2312" w:hAnsi="仿宋" w:eastAsia="仿宋_GB2312" w:cs="Times New Roman"/>
          <w:b w:val="0"/>
          <w:bCs w:val="0"/>
          <w:color w:val="000000"/>
          <w:sz w:val="28"/>
          <w:szCs w:val="28"/>
          <w:highlight w:val="none"/>
          <w:lang w:val="en-US" w:eastAsia="zh-CN"/>
        </w:rPr>
      </w:pPr>
      <w:r>
        <w:rPr>
          <w:rFonts w:hint="eastAsia" w:ascii="仿宋_GB2312" w:hAnsi="仿宋" w:eastAsia="仿宋_GB2312"/>
          <w:bCs/>
          <w:sz w:val="28"/>
          <w:szCs w:val="28"/>
        </w:rPr>
        <w:t>（一）</w:t>
      </w:r>
      <w:r>
        <w:rPr>
          <w:rFonts w:hint="eastAsia" w:ascii="仿宋_GB2312" w:hAnsi="仿宋" w:eastAsia="仿宋_GB2312" w:cs="Times New Roman"/>
          <w:b w:val="0"/>
          <w:bCs w:val="0"/>
          <w:color w:val="000000"/>
          <w:sz w:val="28"/>
          <w:szCs w:val="28"/>
          <w:highlight w:val="none"/>
          <w:lang w:val="en-US" w:eastAsia="zh-CN"/>
        </w:rPr>
        <w:t>本项目履约保证金按</w:t>
      </w:r>
      <w:r>
        <w:rPr>
          <w:rFonts w:hint="eastAsia" w:ascii="仿宋_GB2312" w:hAnsi="仿宋" w:eastAsia="仿宋_GB2312" w:cs="Times New Roman"/>
          <w:b w:val="0"/>
          <w:bCs w:val="0"/>
          <w:color w:val="000000"/>
          <w:sz w:val="28"/>
          <w:szCs w:val="28"/>
          <w:highlight w:val="none"/>
          <w:u w:val="none"/>
          <w:lang w:val="en-US" w:eastAsia="zh-CN"/>
        </w:rPr>
        <w:t>合同金额的5%</w:t>
      </w:r>
      <w:r>
        <w:rPr>
          <w:rFonts w:hint="eastAsia" w:ascii="仿宋_GB2312" w:hAnsi="仿宋" w:eastAsia="仿宋_GB2312" w:cs="Times New Roman"/>
          <w:b w:val="0"/>
          <w:bCs w:val="0"/>
          <w:color w:val="000000"/>
          <w:sz w:val="28"/>
          <w:szCs w:val="28"/>
          <w:highlight w:val="none"/>
          <w:lang w:val="en-US" w:eastAsia="zh-CN"/>
        </w:rPr>
        <w:t>计取，乙方在签订合同前以银行保函/电汇/转账形式提交。</w:t>
      </w:r>
    </w:p>
    <w:p w14:paraId="5CFD481B">
      <w:pPr>
        <w:autoSpaceDE w:val="0"/>
        <w:autoSpaceDN w:val="0"/>
        <w:adjustRightInd w:val="0"/>
        <w:snapToGrid w:val="0"/>
        <w:spacing w:line="360" w:lineRule="auto"/>
        <w:ind w:firstLine="560" w:firstLineChars="200"/>
        <w:rPr>
          <w:rFonts w:hint="eastAsia" w:ascii="仿宋_GB2312" w:hAnsi="仿宋" w:eastAsia="仿宋_GB2312"/>
          <w:b/>
          <w:bCs w:val="0"/>
          <w:sz w:val="28"/>
          <w:szCs w:val="28"/>
          <w:lang w:val="en-US" w:eastAsia="zh-CN"/>
        </w:rPr>
      </w:pPr>
      <w:r>
        <w:rPr>
          <w:rFonts w:hint="eastAsia" w:ascii="仿宋_GB2312" w:hAnsi="仿宋" w:eastAsia="仿宋_GB2312"/>
          <w:bCs/>
          <w:sz w:val="28"/>
          <w:szCs w:val="28"/>
        </w:rPr>
        <w:t>（二）</w:t>
      </w:r>
      <w:r>
        <w:rPr>
          <w:rFonts w:hint="eastAsia" w:ascii="仿宋_GB2312" w:hAnsi="仿宋" w:eastAsia="仿宋_GB2312" w:cs="Times New Roman"/>
          <w:b w:val="0"/>
          <w:bCs w:val="0"/>
          <w:color w:val="000000"/>
          <w:sz w:val="28"/>
          <w:szCs w:val="28"/>
          <w:highlight w:val="none"/>
          <w:lang w:val="en-US" w:eastAsia="zh-CN"/>
        </w:rPr>
        <w:t>履约保证金在项目验收合格后无息退还。乙方未按要求提交履约保证金的，视为放弃中标。</w:t>
      </w:r>
    </w:p>
    <w:p w14:paraId="77650F06">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w:t>
      </w:r>
      <w:r>
        <w:rPr>
          <w:rFonts w:hint="eastAsia" w:ascii="仿宋_GB2312" w:hAnsi="仿宋" w:eastAsia="仿宋_GB2312"/>
          <w:b/>
          <w:bCs w:val="0"/>
          <w:sz w:val="28"/>
          <w:szCs w:val="28"/>
        </w:rPr>
        <w:t>知识产权</w:t>
      </w:r>
    </w:p>
    <w:p w14:paraId="18C79EA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（一）本项目</w:t>
      </w:r>
      <w:r>
        <w:rPr>
          <w:rFonts w:hint="eastAsia" w:ascii="仿宋_GB2312" w:hAnsi="仿宋" w:eastAsia="仿宋_GB2312" w:cs="Times New Roman"/>
          <w:b w:val="0"/>
          <w:bCs w:val="0"/>
          <w:color w:val="000000"/>
          <w:sz w:val="28"/>
          <w:szCs w:val="28"/>
          <w:highlight w:val="none"/>
          <w:lang w:val="en-US" w:eastAsia="zh-CN"/>
        </w:rPr>
        <w:t>项目建设成果全部相关知识产权，包括相关权益</w:t>
      </w:r>
      <w:r>
        <w:rPr>
          <w:rFonts w:hint="eastAsia" w:ascii="仿宋_GB2312" w:hAnsi="仿宋" w:eastAsia="仿宋_GB2312"/>
          <w:bCs/>
          <w:sz w:val="28"/>
          <w:szCs w:val="28"/>
        </w:rPr>
        <w:t>归甲方所有。</w:t>
      </w:r>
    </w:p>
    <w:p w14:paraId="2099708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firstLine="560" w:firstLineChars="200"/>
        <w:jc w:val="both"/>
        <w:textAlignment w:val="auto"/>
        <w:outlineLvl w:val="9"/>
        <w:rPr>
          <w:rFonts w:hint="eastAsia" w:ascii="仿宋_GB2312" w:hAnsi="仿宋" w:eastAsia="仿宋_GB2312" w:cs="Times New Roman"/>
          <w:b w:val="0"/>
          <w:bCs w:val="0"/>
          <w:color w:val="000000"/>
          <w:sz w:val="28"/>
          <w:szCs w:val="28"/>
          <w:highlight w:val="none"/>
          <w:lang w:val="en-US" w:eastAsia="zh-CN"/>
        </w:rPr>
      </w:pPr>
      <w:r>
        <w:rPr>
          <w:rFonts w:hint="eastAsia" w:ascii="仿宋_GB2312" w:hAnsi="仿宋" w:eastAsia="仿宋_GB2312"/>
          <w:bCs/>
          <w:sz w:val="28"/>
          <w:szCs w:val="28"/>
        </w:rPr>
        <w:t>（二）</w:t>
      </w:r>
      <w:r>
        <w:rPr>
          <w:rFonts w:hint="eastAsia" w:ascii="仿宋_GB2312" w:hAnsi="仿宋" w:eastAsia="仿宋_GB2312" w:cs="Times New Roman"/>
          <w:b w:val="0"/>
          <w:bCs w:val="0"/>
          <w:color w:val="000000"/>
          <w:sz w:val="28"/>
          <w:szCs w:val="28"/>
          <w:highlight w:val="none"/>
          <w:lang w:val="en-US" w:eastAsia="zh-CN"/>
        </w:rPr>
        <w:t>乙方有不可争议的义务确保甲方依据本次采购所获得的知识产权不存在任何瑕疵并且可以不受限制地行使相关权利，包括各项延伸权利。若因此发生任何争议均应当由乙方独自承担全部及/或任何责任，包括但不限于应当承担其自身及采购方为排除任何争议或瑕疵所应当或所需支付的一切相关/或由此引起的费用。</w:t>
      </w:r>
    </w:p>
    <w:p w14:paraId="0E49D42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cs="Times New Roman"/>
          <w:b w:val="0"/>
          <w:bCs w:val="0"/>
          <w:color w:val="000000"/>
          <w:sz w:val="28"/>
          <w:szCs w:val="28"/>
          <w:highlight w:val="none"/>
          <w:lang w:val="en-US" w:eastAsia="zh-CN"/>
        </w:rPr>
      </w:pPr>
      <w:r>
        <w:rPr>
          <w:rFonts w:hint="eastAsia" w:ascii="仿宋_GB2312" w:hAnsi="仿宋" w:eastAsia="仿宋_GB2312" w:cs="Times New Roman"/>
          <w:b w:val="0"/>
          <w:bCs w:val="0"/>
          <w:color w:val="000000"/>
          <w:sz w:val="28"/>
          <w:szCs w:val="28"/>
          <w:highlight w:val="none"/>
          <w:lang w:val="en-US" w:eastAsia="zh-CN"/>
        </w:rPr>
        <w:t>（三）保护知识产权原则。乙方应当保证其有关参与本次采购相关的活动包括履行本次采购的任何行为，以及本次采购活动结束之后的任何涉及到本次采购的行为，均不会侵犯任何第三方的知识产权。若因此发生任何争议、侵权、均应当由乙方独自承担全部及/或任何责任，包括但不限于应当承担其自身及采购中心为排除任何争议及/或赔偿侵权所应当或所需支付的一切相关及/或由此引起的费用。</w:t>
      </w:r>
    </w:p>
    <w:p w14:paraId="028A105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四</w:t>
      </w:r>
      <w:r>
        <w:rPr>
          <w:rFonts w:hint="eastAsia" w:ascii="仿宋_GB2312" w:hAnsi="仿宋" w:eastAsia="仿宋_GB2312"/>
          <w:bCs/>
          <w:sz w:val="28"/>
          <w:szCs w:val="28"/>
          <w:lang w:eastAsia="zh-CN"/>
        </w:rPr>
        <w:t>）</w:t>
      </w:r>
      <w:r>
        <w:rPr>
          <w:rFonts w:hint="eastAsia" w:ascii="仿宋_GB2312" w:hAnsi="仿宋" w:eastAsia="仿宋_GB2312"/>
          <w:bCs/>
          <w:sz w:val="28"/>
          <w:szCs w:val="28"/>
        </w:rPr>
        <w:t xml:space="preserve">乙方无论出于任何目的如在其他地方使用该成果，必须经甲方同意方可使用。否则，贵甲方有权要求终止涉及到该中标知识产权的任何使用活动并保留追究卖方相应的法律责任的权利。 </w:t>
      </w:r>
    </w:p>
    <w:p w14:paraId="7815E38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w:t>
      </w:r>
      <w:r>
        <w:rPr>
          <w:rFonts w:hint="eastAsia" w:ascii="仿宋_GB2312" w:hAnsi="仿宋" w:eastAsia="仿宋_GB2312"/>
          <w:bCs/>
          <w:sz w:val="28"/>
          <w:szCs w:val="28"/>
          <w:lang w:eastAsia="zh-CN"/>
        </w:rPr>
        <w:t>五</w:t>
      </w:r>
      <w:r>
        <w:rPr>
          <w:rFonts w:hint="eastAsia" w:ascii="仿宋_GB2312" w:hAnsi="仿宋" w:eastAsia="仿宋_GB2312"/>
          <w:bCs/>
          <w:sz w:val="28"/>
          <w:szCs w:val="28"/>
        </w:rPr>
        <w:t>）乙方为执行本合同而提供的技术资料使用权归甲方所有。</w:t>
      </w:r>
    </w:p>
    <w:p w14:paraId="0198F65E">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w:t>
      </w:r>
      <w:r>
        <w:rPr>
          <w:rFonts w:hint="eastAsia" w:ascii="仿宋_GB2312" w:hAnsi="仿宋" w:eastAsia="仿宋_GB2312"/>
          <w:b/>
          <w:bCs w:val="0"/>
          <w:sz w:val="28"/>
          <w:szCs w:val="28"/>
          <w:lang w:val="en-US" w:eastAsia="zh-CN"/>
        </w:rPr>
        <w:t>一</w:t>
      </w:r>
      <w:r>
        <w:rPr>
          <w:rFonts w:hint="eastAsia" w:ascii="仿宋_GB2312" w:hAnsi="仿宋" w:eastAsia="仿宋_GB2312"/>
          <w:b/>
          <w:bCs w:val="0"/>
          <w:sz w:val="28"/>
          <w:szCs w:val="28"/>
        </w:rPr>
        <w:t>、保密规定</w:t>
      </w:r>
    </w:p>
    <w:p w14:paraId="55BE5F2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B33FBF5">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w:t>
      </w:r>
      <w:r>
        <w:rPr>
          <w:rFonts w:hint="eastAsia" w:ascii="仿宋_GB2312" w:hAnsi="仿宋" w:eastAsia="仿宋_GB2312"/>
          <w:b/>
          <w:bCs w:val="0"/>
          <w:sz w:val="28"/>
          <w:szCs w:val="28"/>
          <w:lang w:val="en-US" w:eastAsia="zh-CN"/>
        </w:rPr>
        <w:t>二</w:t>
      </w:r>
      <w:r>
        <w:rPr>
          <w:rFonts w:hint="eastAsia" w:ascii="仿宋_GB2312" w:hAnsi="仿宋" w:eastAsia="仿宋_GB2312"/>
          <w:b/>
          <w:bCs w:val="0"/>
          <w:sz w:val="28"/>
          <w:szCs w:val="28"/>
        </w:rPr>
        <w:t>、验收</w:t>
      </w:r>
    </w:p>
    <w:p w14:paraId="14F555C4">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w:t>
      </w:r>
      <w:r>
        <w:rPr>
          <w:rFonts w:ascii="仿宋_GB2312" w:hAnsi="仿宋" w:eastAsia="仿宋_GB2312"/>
          <w:bCs/>
          <w:sz w:val="28"/>
          <w:szCs w:val="28"/>
        </w:rPr>
        <w:t>本项目验收费用，由</w:t>
      </w:r>
      <w:r>
        <w:rPr>
          <w:rFonts w:hint="eastAsia" w:ascii="仿宋_GB2312" w:hAnsi="仿宋" w:eastAsia="仿宋_GB2312"/>
          <w:bCs/>
          <w:sz w:val="28"/>
          <w:szCs w:val="28"/>
        </w:rPr>
        <w:t>乙方</w:t>
      </w:r>
      <w:r>
        <w:rPr>
          <w:rFonts w:ascii="仿宋_GB2312" w:hAnsi="仿宋" w:eastAsia="仿宋_GB2312"/>
          <w:bCs/>
          <w:sz w:val="28"/>
          <w:szCs w:val="28"/>
        </w:rPr>
        <w:t>自行承担。</w:t>
      </w:r>
    </w:p>
    <w:p w14:paraId="733488B1">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rPr>
      </w:pPr>
      <w:r>
        <w:rPr>
          <w:rFonts w:hint="eastAsia" w:ascii="仿宋_GB2312" w:hAnsi="仿宋" w:eastAsia="仿宋_GB2312"/>
          <w:bCs/>
          <w:color w:val="auto"/>
          <w:sz w:val="28"/>
          <w:szCs w:val="28"/>
        </w:rPr>
        <w:t>（二）初验：产品到达交货地点后，乙方须提供质检部门产品抽样检查合格的检测报告（或生产厂家自检报告）及所提供货物（产品）的合格证、装箱清单、配件、随机工具、用户使用手册（产品使用说明书）、保修卡等资料交付给甲方，甲方根据合同要求，对产品进行外观验收、</w:t>
      </w:r>
      <w:r>
        <w:rPr>
          <w:rFonts w:hint="eastAsia" w:ascii="仿宋_GB2312" w:hAnsi="仿宋" w:eastAsia="仿宋_GB2312"/>
          <w:bCs/>
          <w:color w:val="auto"/>
          <w:sz w:val="28"/>
          <w:szCs w:val="28"/>
          <w:lang w:val="en-US" w:eastAsia="zh-CN"/>
        </w:rPr>
        <w:t>并聘请第三方随机抽取样品进行材质检测</w:t>
      </w:r>
      <w:r>
        <w:rPr>
          <w:rFonts w:hint="eastAsia" w:ascii="仿宋_GB2312" w:hAnsi="仿宋" w:eastAsia="仿宋_GB2312"/>
          <w:bCs/>
          <w:color w:val="auto"/>
          <w:sz w:val="28"/>
          <w:szCs w:val="28"/>
          <w:lang w:eastAsia="zh-CN"/>
        </w:rPr>
        <w:t>，</w:t>
      </w:r>
      <w:r>
        <w:rPr>
          <w:rFonts w:hint="eastAsia" w:ascii="仿宋_GB2312" w:hAnsi="仿宋" w:eastAsia="仿宋_GB2312"/>
          <w:bCs/>
          <w:color w:val="auto"/>
          <w:sz w:val="28"/>
          <w:szCs w:val="28"/>
        </w:rPr>
        <w:t>确认产品的产地、规格、型号和数量，甲方和乙方共同签署到货验收单。未签收到货验收单的产品不得擅自开箱安装。</w:t>
      </w:r>
    </w:p>
    <w:p w14:paraId="1FDFA89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终验：产品安装、调试并正常运行后，乙方进行自测并形成自测报告，出现的问题限期整改。自检最终通过后，乙方提出验收申请，甲方确认乙方的自检内容后，会同乙方（必要时请有关专家）进行最终验收。验收合格后，填写项目验收单作为对产品的最终认可。</w:t>
      </w:r>
    </w:p>
    <w:p w14:paraId="534B0B0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（四）验收依据：</w:t>
      </w:r>
    </w:p>
    <w:p w14:paraId="4AEA6BDD">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1、</w:t>
      </w:r>
      <w:r>
        <w:rPr>
          <w:rFonts w:ascii="仿宋_GB2312" w:hAnsi="仿宋" w:eastAsia="仿宋_GB2312"/>
          <w:bCs/>
          <w:sz w:val="28"/>
          <w:szCs w:val="28"/>
        </w:rPr>
        <w:t>本合同</w:t>
      </w:r>
      <w:r>
        <w:rPr>
          <w:rFonts w:hint="eastAsia" w:ascii="仿宋_GB2312" w:hAnsi="仿宋" w:eastAsia="仿宋_GB2312"/>
          <w:bCs/>
          <w:sz w:val="28"/>
          <w:szCs w:val="28"/>
        </w:rPr>
        <w:t>及附加</w:t>
      </w:r>
      <w:r>
        <w:rPr>
          <w:rFonts w:ascii="仿宋_GB2312" w:hAnsi="仿宋" w:eastAsia="仿宋_GB2312"/>
          <w:bCs/>
          <w:sz w:val="28"/>
          <w:szCs w:val="28"/>
        </w:rPr>
        <w:t>文本；</w:t>
      </w:r>
    </w:p>
    <w:p w14:paraId="737D1D04">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eastAsia="zh-CN"/>
        </w:rPr>
        <w:t>招标文件</w:t>
      </w:r>
      <w:r>
        <w:rPr>
          <w:rFonts w:hint="eastAsia" w:ascii="仿宋_GB2312" w:hAnsi="仿宋" w:eastAsia="仿宋_GB2312"/>
          <w:bCs/>
          <w:sz w:val="28"/>
          <w:szCs w:val="28"/>
        </w:rPr>
        <w:t>、</w:t>
      </w:r>
      <w:r>
        <w:rPr>
          <w:rFonts w:hint="eastAsia" w:ascii="仿宋_GB2312" w:hAnsi="仿宋" w:eastAsia="仿宋_GB2312"/>
          <w:bCs/>
          <w:sz w:val="28"/>
          <w:szCs w:val="28"/>
          <w:lang w:val="en-US" w:eastAsia="zh-CN"/>
        </w:rPr>
        <w:t>乙方</w:t>
      </w:r>
      <w:r>
        <w:rPr>
          <w:rFonts w:ascii="仿宋_GB2312" w:hAnsi="仿宋" w:eastAsia="仿宋_GB2312"/>
          <w:bCs/>
          <w:sz w:val="28"/>
          <w:szCs w:val="28"/>
        </w:rPr>
        <w:t>的</w:t>
      </w:r>
      <w:r>
        <w:rPr>
          <w:rFonts w:hint="eastAsia" w:ascii="仿宋_GB2312" w:hAnsi="仿宋" w:eastAsia="仿宋_GB2312"/>
          <w:bCs/>
          <w:sz w:val="28"/>
          <w:szCs w:val="28"/>
          <w:lang w:eastAsia="zh-CN"/>
        </w:rPr>
        <w:t>投标文件</w:t>
      </w:r>
      <w:r>
        <w:rPr>
          <w:rFonts w:hint="eastAsia" w:ascii="仿宋_GB2312" w:hAnsi="仿宋" w:eastAsia="仿宋_GB2312"/>
          <w:bCs/>
          <w:sz w:val="28"/>
          <w:szCs w:val="28"/>
        </w:rPr>
        <w:t>及澄清（承诺）函</w:t>
      </w:r>
      <w:r>
        <w:rPr>
          <w:rFonts w:ascii="仿宋_GB2312" w:hAnsi="仿宋" w:eastAsia="仿宋_GB2312"/>
          <w:bCs/>
          <w:sz w:val="28"/>
          <w:szCs w:val="28"/>
        </w:rPr>
        <w:t>；</w:t>
      </w:r>
    </w:p>
    <w:p w14:paraId="53EC505B">
      <w:pPr>
        <w:autoSpaceDE w:val="0"/>
        <w:autoSpaceDN w:val="0"/>
        <w:adjustRightInd w:val="0"/>
        <w:snapToGrid w:val="0"/>
        <w:spacing w:line="360" w:lineRule="auto"/>
        <w:ind w:firstLine="560" w:firstLineChars="200"/>
        <w:rPr>
          <w:rFonts w:hint="eastAsia" w:ascii="仿宋_GB2312" w:hAnsi="仿宋" w:eastAsia="仿宋_GB2312"/>
          <w:b/>
          <w:bCs w:val="0"/>
          <w:sz w:val="28"/>
          <w:szCs w:val="28"/>
          <w:lang w:val="en-US" w:eastAsia="zh-CN"/>
        </w:rPr>
      </w:pPr>
      <w:r>
        <w:rPr>
          <w:rFonts w:hint="eastAsia" w:ascii="仿宋_GB2312" w:hAnsi="仿宋" w:eastAsia="仿宋_GB2312"/>
          <w:bCs/>
          <w:sz w:val="28"/>
          <w:szCs w:val="28"/>
        </w:rPr>
        <w:t>3、</w:t>
      </w:r>
      <w:r>
        <w:rPr>
          <w:rFonts w:ascii="仿宋_GB2312" w:hAnsi="仿宋" w:eastAsia="仿宋_GB2312"/>
          <w:bCs/>
          <w:sz w:val="28"/>
          <w:szCs w:val="28"/>
        </w:rPr>
        <w:t>国家相应的标准、规范</w:t>
      </w:r>
      <w:r>
        <w:rPr>
          <w:rFonts w:hint="eastAsia" w:ascii="仿宋_GB2312" w:hAnsi="仿宋" w:eastAsia="仿宋_GB2312"/>
          <w:bCs/>
          <w:sz w:val="28"/>
          <w:szCs w:val="28"/>
          <w:lang w:eastAsia="zh-CN"/>
        </w:rPr>
        <w:t>。</w:t>
      </w:r>
    </w:p>
    <w:p w14:paraId="3924470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十三、</w:t>
      </w:r>
      <w:r>
        <w:rPr>
          <w:rFonts w:hint="eastAsia" w:ascii="仿宋_GB2312" w:hAnsi="仿宋" w:eastAsia="仿宋_GB2312"/>
          <w:b/>
          <w:bCs w:val="0"/>
          <w:sz w:val="28"/>
          <w:szCs w:val="28"/>
        </w:rPr>
        <w:t>违约责任</w:t>
      </w:r>
    </w:p>
    <w:p w14:paraId="2EC1FF2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（一）按《中华人民共和国</w:t>
      </w:r>
      <w:r>
        <w:rPr>
          <w:rFonts w:hint="eastAsia" w:ascii="仿宋_GB2312" w:hAnsi="仿宋" w:eastAsia="仿宋_GB2312"/>
          <w:bCs/>
          <w:sz w:val="28"/>
          <w:szCs w:val="28"/>
          <w:lang w:eastAsia="zh-CN"/>
        </w:rPr>
        <w:t>民法典</w:t>
      </w:r>
      <w:r>
        <w:rPr>
          <w:rFonts w:hint="eastAsia" w:ascii="仿宋_GB2312" w:hAnsi="仿宋" w:eastAsia="仿宋_GB2312"/>
          <w:bCs/>
          <w:sz w:val="28"/>
          <w:szCs w:val="28"/>
        </w:rPr>
        <w:t>》中的相关条款执行。</w:t>
      </w:r>
    </w:p>
    <w:p w14:paraId="31BE24A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（二）未按合同要求提供</w:t>
      </w:r>
      <w:r>
        <w:rPr>
          <w:rFonts w:hint="eastAsia" w:ascii="仿宋_GB2312" w:hAnsi="仿宋" w:eastAsia="仿宋_GB2312"/>
          <w:bCs/>
          <w:sz w:val="28"/>
          <w:szCs w:val="28"/>
          <w:lang w:val="en-US" w:eastAsia="zh-CN"/>
        </w:rPr>
        <w:t>设备</w:t>
      </w:r>
      <w:r>
        <w:rPr>
          <w:rFonts w:hint="eastAsia" w:ascii="仿宋_GB2312" w:hAnsi="仿宋" w:eastAsia="仿宋_GB2312"/>
          <w:bCs/>
          <w:sz w:val="28"/>
          <w:szCs w:val="28"/>
        </w:rPr>
        <w:t>或</w:t>
      </w:r>
      <w:r>
        <w:rPr>
          <w:rFonts w:hint="eastAsia" w:ascii="仿宋_GB2312" w:hAnsi="仿宋" w:eastAsia="仿宋_GB2312"/>
          <w:bCs/>
          <w:sz w:val="28"/>
          <w:szCs w:val="28"/>
          <w:lang w:val="en-US" w:eastAsia="zh-CN"/>
        </w:rPr>
        <w:t>设备</w:t>
      </w:r>
      <w:r>
        <w:rPr>
          <w:rFonts w:hint="eastAsia" w:ascii="仿宋_GB2312" w:hAnsi="仿宋" w:eastAsia="仿宋_GB2312"/>
          <w:bCs/>
          <w:sz w:val="28"/>
          <w:szCs w:val="28"/>
        </w:rPr>
        <w:t>质量不能满足本次招标要求，甲方会同监督机构、采购代理机构有权终止合同和对乙方违约行为进行追究，同时按</w:t>
      </w:r>
      <w:r>
        <w:rPr>
          <w:rFonts w:hint="eastAsia" w:ascii="仿宋_GB2312" w:hAnsi="仿宋" w:eastAsia="仿宋_GB2312"/>
          <w:bCs/>
          <w:sz w:val="28"/>
          <w:szCs w:val="28"/>
          <w:lang w:eastAsia="zh-CN"/>
        </w:rPr>
        <w:t>《</w:t>
      </w:r>
      <w:r>
        <w:rPr>
          <w:rFonts w:hint="eastAsia" w:ascii="仿宋_GB2312" w:hAnsi="仿宋" w:eastAsia="仿宋_GB2312"/>
          <w:bCs/>
          <w:sz w:val="28"/>
          <w:szCs w:val="28"/>
        </w:rPr>
        <w:t>中华人民共和国政府采购法</w:t>
      </w:r>
      <w:r>
        <w:rPr>
          <w:rFonts w:hint="eastAsia" w:ascii="仿宋_GB2312" w:hAnsi="仿宋" w:eastAsia="仿宋_GB2312"/>
          <w:bCs/>
          <w:sz w:val="28"/>
          <w:szCs w:val="28"/>
          <w:lang w:eastAsia="zh-CN"/>
        </w:rPr>
        <w:t>》</w:t>
      </w:r>
      <w:r>
        <w:rPr>
          <w:rFonts w:hint="eastAsia" w:ascii="仿宋_GB2312" w:hAnsi="仿宋" w:eastAsia="仿宋_GB2312"/>
          <w:bCs/>
          <w:sz w:val="28"/>
          <w:szCs w:val="28"/>
        </w:rPr>
        <w:t>的有关规定进行相</w:t>
      </w:r>
    </w:p>
    <w:p w14:paraId="36D675A9">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十四</w:t>
      </w:r>
      <w:r>
        <w:rPr>
          <w:rFonts w:hint="eastAsia" w:ascii="仿宋_GB2312" w:hAnsi="仿宋" w:eastAsia="仿宋_GB2312"/>
          <w:b/>
          <w:bCs w:val="0"/>
          <w:sz w:val="28"/>
          <w:szCs w:val="28"/>
        </w:rPr>
        <w:t>、其他事项</w:t>
      </w:r>
    </w:p>
    <w:p w14:paraId="1A04B1B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（一）乙方不得转让、分包给其它单位或个人。</w:t>
      </w:r>
    </w:p>
    <w:p w14:paraId="28D416E5">
      <w:pPr>
        <w:autoSpaceDE w:val="0"/>
        <w:autoSpaceDN w:val="0"/>
        <w:adjustRightInd w:val="0"/>
        <w:snapToGrid w:val="0"/>
        <w:spacing w:line="360" w:lineRule="auto"/>
        <w:ind w:firstLine="560" w:firstLineChars="200"/>
        <w:rPr>
          <w:rFonts w:hint="eastAsia" w:ascii="仿宋_GB2312" w:hAnsi="仿宋" w:eastAsia="仿宋_GB2312"/>
          <w:b/>
          <w:bCs w:val="0"/>
          <w:sz w:val="28"/>
          <w:szCs w:val="28"/>
          <w:lang w:val="en-US" w:eastAsia="zh-CN"/>
        </w:rPr>
      </w:pPr>
      <w:r>
        <w:rPr>
          <w:rFonts w:hint="eastAsia" w:ascii="仿宋_GB2312" w:hAnsi="仿宋" w:eastAsia="仿宋_GB2312"/>
          <w:bCs/>
          <w:sz w:val="28"/>
          <w:szCs w:val="28"/>
        </w:rPr>
        <w:t>（二）乙方的</w:t>
      </w:r>
      <w:r>
        <w:rPr>
          <w:rFonts w:hint="eastAsia" w:ascii="仿宋_GB2312" w:hAnsi="仿宋" w:eastAsia="仿宋_GB2312"/>
          <w:bCs/>
          <w:sz w:val="28"/>
          <w:szCs w:val="28"/>
          <w:lang w:eastAsia="zh-CN"/>
        </w:rPr>
        <w:t>投标</w:t>
      </w:r>
      <w:r>
        <w:rPr>
          <w:rFonts w:hint="eastAsia" w:ascii="仿宋_GB2312" w:hAnsi="仿宋" w:eastAsia="仿宋_GB2312"/>
          <w:bCs/>
          <w:sz w:val="28"/>
          <w:szCs w:val="28"/>
        </w:rPr>
        <w:t>文件和承诺等内容将列入合同。</w:t>
      </w:r>
    </w:p>
    <w:p w14:paraId="134F957D">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lang w:val="en-US" w:eastAsia="zh-CN"/>
        </w:rPr>
        <w:t>十五</w:t>
      </w:r>
      <w:r>
        <w:rPr>
          <w:rFonts w:hint="eastAsia" w:ascii="仿宋_GB2312" w:hAnsi="仿宋" w:eastAsia="仿宋_GB2312"/>
          <w:b/>
          <w:bCs w:val="0"/>
          <w:sz w:val="28"/>
          <w:szCs w:val="28"/>
        </w:rPr>
        <w:t>、合同争议解决的方式</w:t>
      </w:r>
    </w:p>
    <w:p w14:paraId="25590552">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本合同在履行过程中发生的争议，由甲、乙双方当事人协商解决，协商不成的按下列第</w:t>
      </w:r>
      <w:r>
        <w:rPr>
          <w:rFonts w:hint="eastAsia" w:ascii="仿宋_GB2312" w:hAnsi="仿宋" w:eastAsia="仿宋_GB2312"/>
          <w:b w:val="0"/>
          <w:bCs/>
          <w:sz w:val="28"/>
          <w:szCs w:val="28"/>
          <w:u w:val="single"/>
        </w:rPr>
        <w:t>（二）</w:t>
      </w:r>
      <w:r>
        <w:rPr>
          <w:rFonts w:hint="eastAsia" w:ascii="仿宋_GB2312" w:hAnsi="仿宋" w:eastAsia="仿宋_GB2312"/>
          <w:b w:val="0"/>
          <w:bCs/>
          <w:sz w:val="28"/>
          <w:szCs w:val="28"/>
        </w:rPr>
        <w:t>种方式解决：</w:t>
      </w:r>
    </w:p>
    <w:p w14:paraId="0CF81B70">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（一）提交西安仲裁委员会仲裁；</w:t>
      </w:r>
    </w:p>
    <w:p w14:paraId="40BB1C92">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（二）依法向甲方所在地法院起诉。</w:t>
      </w:r>
    </w:p>
    <w:p w14:paraId="6D3C7A22">
      <w:pPr>
        <w:autoSpaceDE w:val="0"/>
        <w:autoSpaceDN w:val="0"/>
        <w:adjustRightInd w:val="0"/>
        <w:snapToGrid w:val="0"/>
        <w:spacing w:line="360" w:lineRule="auto"/>
        <w:ind w:firstLine="562" w:firstLineChars="200"/>
        <w:rPr>
          <w:rFonts w:hint="eastAsia" w:ascii="仿宋_GB2312" w:hAnsi="仿宋" w:eastAsia="仿宋_GB2312"/>
          <w:b/>
          <w:bCs w:val="0"/>
          <w:sz w:val="28"/>
          <w:szCs w:val="28"/>
        </w:rPr>
      </w:pPr>
      <w:r>
        <w:rPr>
          <w:rFonts w:hint="eastAsia" w:ascii="仿宋_GB2312" w:hAnsi="仿宋" w:eastAsia="仿宋_GB2312"/>
          <w:b/>
          <w:bCs w:val="0"/>
          <w:sz w:val="28"/>
          <w:szCs w:val="28"/>
        </w:rPr>
        <w:t>十</w:t>
      </w:r>
      <w:r>
        <w:rPr>
          <w:rFonts w:hint="eastAsia" w:ascii="仿宋_GB2312" w:hAnsi="仿宋" w:eastAsia="仿宋_GB2312"/>
          <w:b/>
          <w:bCs w:val="0"/>
          <w:sz w:val="28"/>
          <w:szCs w:val="28"/>
          <w:lang w:val="en-US" w:eastAsia="zh-CN"/>
        </w:rPr>
        <w:t>六</w:t>
      </w:r>
      <w:r>
        <w:rPr>
          <w:rFonts w:hint="eastAsia" w:ascii="仿宋_GB2312" w:hAnsi="仿宋" w:eastAsia="仿宋_GB2312"/>
          <w:b/>
          <w:bCs w:val="0"/>
          <w:sz w:val="28"/>
          <w:szCs w:val="28"/>
        </w:rPr>
        <w:t>、合同生效</w:t>
      </w:r>
    </w:p>
    <w:p w14:paraId="5A2820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62A0BA4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w:t>
      </w:r>
      <w:r>
        <w:rPr>
          <w:rFonts w:hint="eastAsia" w:ascii="仿宋_GB2312" w:hAnsi="仿宋" w:eastAsia="仿宋_GB2312"/>
          <w:bCs/>
          <w:sz w:val="28"/>
          <w:szCs w:val="28"/>
          <w:lang w:eastAsia="zh-CN"/>
        </w:rPr>
        <w:t>民法典</w:t>
      </w:r>
      <w:r>
        <w:rPr>
          <w:rFonts w:hint="eastAsia" w:ascii="仿宋_GB2312" w:hAnsi="仿宋" w:eastAsia="仿宋_GB2312"/>
          <w:bCs/>
          <w:sz w:val="28"/>
          <w:szCs w:val="28"/>
        </w:rPr>
        <w:t>》的有关规定承担相应责任。</w:t>
      </w:r>
    </w:p>
    <w:p w14:paraId="1DC319E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22D7B25F">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rPr>
        <w:t>（四）本合同如有未尽事宜，甲、乙双方协商解决</w:t>
      </w:r>
      <w:r>
        <w:rPr>
          <w:rFonts w:hint="eastAsia" w:ascii="仿宋_GB2312" w:hAnsi="仿宋" w:eastAsia="仿宋_GB2312"/>
          <w:bCs/>
          <w:sz w:val="28"/>
          <w:szCs w:val="28"/>
          <w:lang w:eastAsia="zh-CN"/>
        </w:rPr>
        <w:t>。</w:t>
      </w:r>
    </w:p>
    <w:p w14:paraId="1BA9D98D">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p>
    <w:p w14:paraId="0D4645E3">
      <w:pPr>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br w:type="page"/>
      </w:r>
    </w:p>
    <w:p w14:paraId="2B50CE0D">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bookmarkStart w:id="0" w:name="_GoBack"/>
      <w:bookmarkEnd w:id="0"/>
    </w:p>
    <w:tbl>
      <w:tblPr>
        <w:tblStyle w:val="13"/>
        <w:tblW w:w="0" w:type="auto"/>
        <w:jc w:val="center"/>
        <w:tblLayout w:type="fixed"/>
        <w:tblCellMar>
          <w:top w:w="0" w:type="dxa"/>
          <w:left w:w="108" w:type="dxa"/>
          <w:bottom w:w="0" w:type="dxa"/>
          <w:right w:w="108" w:type="dxa"/>
        </w:tblCellMar>
      </w:tblPr>
      <w:tblGrid>
        <w:gridCol w:w="4201"/>
        <w:gridCol w:w="4202"/>
      </w:tblGrid>
      <w:tr w14:paraId="5895D21C">
        <w:tblPrEx>
          <w:tblCellMar>
            <w:top w:w="0" w:type="dxa"/>
            <w:left w:w="108" w:type="dxa"/>
            <w:bottom w:w="0" w:type="dxa"/>
            <w:right w:w="108" w:type="dxa"/>
          </w:tblCellMar>
        </w:tblPrEx>
        <w:trPr>
          <w:trHeight w:val="567" w:hRule="exact"/>
          <w:jc w:val="center"/>
        </w:trPr>
        <w:tc>
          <w:tcPr>
            <w:tcW w:w="4201" w:type="dxa"/>
            <w:noWrap w:val="0"/>
            <w:vAlign w:val="center"/>
          </w:tcPr>
          <w:p w14:paraId="257F0F8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甲  方</w:t>
            </w:r>
          </w:p>
        </w:tc>
        <w:tc>
          <w:tcPr>
            <w:tcW w:w="4202" w:type="dxa"/>
            <w:noWrap w:val="0"/>
            <w:vAlign w:val="center"/>
          </w:tcPr>
          <w:p w14:paraId="49EFCF35">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乙  方</w:t>
            </w:r>
          </w:p>
        </w:tc>
      </w:tr>
      <w:tr w14:paraId="23CA2A9B">
        <w:tblPrEx>
          <w:tblCellMar>
            <w:top w:w="0" w:type="dxa"/>
            <w:left w:w="108" w:type="dxa"/>
            <w:bottom w:w="0" w:type="dxa"/>
            <w:right w:w="108" w:type="dxa"/>
          </w:tblCellMar>
        </w:tblPrEx>
        <w:trPr>
          <w:trHeight w:val="567" w:hRule="exact"/>
          <w:jc w:val="center"/>
        </w:trPr>
        <w:tc>
          <w:tcPr>
            <w:tcW w:w="4201" w:type="dxa"/>
            <w:noWrap w:val="0"/>
            <w:vAlign w:val="center"/>
          </w:tcPr>
          <w:p w14:paraId="7A50B56D">
            <w:pPr>
              <w:autoSpaceDE w:val="0"/>
              <w:autoSpaceDN w:val="0"/>
              <w:adjustRightInd w:val="0"/>
              <w:ind w:firstLine="840" w:firstLineChars="35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（盖章）</w:t>
            </w:r>
          </w:p>
        </w:tc>
        <w:tc>
          <w:tcPr>
            <w:tcW w:w="4202" w:type="dxa"/>
            <w:noWrap w:val="0"/>
            <w:vAlign w:val="center"/>
          </w:tcPr>
          <w:p w14:paraId="3957F3B7">
            <w:pPr>
              <w:autoSpaceDE w:val="0"/>
              <w:autoSpaceDN w:val="0"/>
              <w:adjustRightInd w:val="0"/>
              <w:ind w:firstLine="960" w:firstLineChars="40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（盖章）</w:t>
            </w:r>
          </w:p>
        </w:tc>
      </w:tr>
      <w:tr w14:paraId="7DBA2F52">
        <w:tblPrEx>
          <w:tblCellMar>
            <w:top w:w="0" w:type="dxa"/>
            <w:left w:w="108" w:type="dxa"/>
            <w:bottom w:w="0" w:type="dxa"/>
            <w:right w:w="108" w:type="dxa"/>
          </w:tblCellMar>
        </w:tblPrEx>
        <w:trPr>
          <w:trHeight w:val="567" w:hRule="exact"/>
          <w:jc w:val="center"/>
        </w:trPr>
        <w:tc>
          <w:tcPr>
            <w:tcW w:w="4201" w:type="dxa"/>
            <w:noWrap w:val="0"/>
            <w:vAlign w:val="center"/>
          </w:tcPr>
          <w:p w14:paraId="750C9988">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 xml:space="preserve">地址： </w:t>
            </w:r>
          </w:p>
        </w:tc>
        <w:tc>
          <w:tcPr>
            <w:tcW w:w="4202" w:type="dxa"/>
            <w:noWrap w:val="0"/>
            <w:vAlign w:val="center"/>
          </w:tcPr>
          <w:p w14:paraId="2A585863">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地址：</w:t>
            </w:r>
          </w:p>
        </w:tc>
      </w:tr>
      <w:tr w14:paraId="6C373A21">
        <w:tblPrEx>
          <w:tblCellMar>
            <w:top w:w="0" w:type="dxa"/>
            <w:left w:w="108" w:type="dxa"/>
            <w:bottom w:w="0" w:type="dxa"/>
            <w:right w:w="108" w:type="dxa"/>
          </w:tblCellMar>
        </w:tblPrEx>
        <w:trPr>
          <w:trHeight w:val="567" w:hRule="exact"/>
          <w:jc w:val="center"/>
        </w:trPr>
        <w:tc>
          <w:tcPr>
            <w:tcW w:w="4201" w:type="dxa"/>
            <w:noWrap w:val="0"/>
            <w:vAlign w:val="center"/>
          </w:tcPr>
          <w:p w14:paraId="114D0C5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 xml:space="preserve">法定代表人： </w:t>
            </w:r>
          </w:p>
        </w:tc>
        <w:tc>
          <w:tcPr>
            <w:tcW w:w="4202" w:type="dxa"/>
            <w:noWrap w:val="0"/>
            <w:vAlign w:val="center"/>
          </w:tcPr>
          <w:p w14:paraId="7234F919">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法定代表人：</w:t>
            </w:r>
          </w:p>
        </w:tc>
      </w:tr>
      <w:tr w14:paraId="3295978F">
        <w:tblPrEx>
          <w:tblCellMar>
            <w:top w:w="0" w:type="dxa"/>
            <w:left w:w="108" w:type="dxa"/>
            <w:bottom w:w="0" w:type="dxa"/>
            <w:right w:w="108" w:type="dxa"/>
          </w:tblCellMar>
        </w:tblPrEx>
        <w:trPr>
          <w:trHeight w:val="567" w:hRule="exact"/>
          <w:jc w:val="center"/>
        </w:trPr>
        <w:tc>
          <w:tcPr>
            <w:tcW w:w="4201" w:type="dxa"/>
            <w:noWrap w:val="0"/>
            <w:vAlign w:val="center"/>
          </w:tcPr>
          <w:p w14:paraId="571E2B63">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被授权代表：</w:t>
            </w:r>
          </w:p>
        </w:tc>
        <w:tc>
          <w:tcPr>
            <w:tcW w:w="4202" w:type="dxa"/>
            <w:noWrap w:val="0"/>
            <w:vAlign w:val="center"/>
          </w:tcPr>
          <w:p w14:paraId="13775F29">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被授权代表：</w:t>
            </w:r>
          </w:p>
        </w:tc>
      </w:tr>
      <w:tr w14:paraId="5184D989">
        <w:tblPrEx>
          <w:tblCellMar>
            <w:top w:w="0" w:type="dxa"/>
            <w:left w:w="108" w:type="dxa"/>
            <w:bottom w:w="0" w:type="dxa"/>
            <w:right w:w="108" w:type="dxa"/>
          </w:tblCellMar>
        </w:tblPrEx>
        <w:trPr>
          <w:trHeight w:val="567" w:hRule="exact"/>
          <w:jc w:val="center"/>
        </w:trPr>
        <w:tc>
          <w:tcPr>
            <w:tcW w:w="4201" w:type="dxa"/>
            <w:noWrap w:val="0"/>
            <w:vAlign w:val="center"/>
          </w:tcPr>
          <w:p w14:paraId="23359450">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电话：</w:t>
            </w:r>
          </w:p>
        </w:tc>
        <w:tc>
          <w:tcPr>
            <w:tcW w:w="4202" w:type="dxa"/>
            <w:noWrap w:val="0"/>
            <w:vAlign w:val="center"/>
          </w:tcPr>
          <w:p w14:paraId="7DF67C4C">
            <w:pPr>
              <w:autoSpaceDE w:val="0"/>
              <w:autoSpaceDN w:val="0"/>
              <w:adjustRightInd w:val="0"/>
              <w:ind w:left="840" w:hanging="720" w:hangingChars="30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电话：</w:t>
            </w:r>
          </w:p>
        </w:tc>
      </w:tr>
      <w:tr w14:paraId="03988FCB">
        <w:tblPrEx>
          <w:tblCellMar>
            <w:top w:w="0" w:type="dxa"/>
            <w:left w:w="108" w:type="dxa"/>
            <w:bottom w:w="0" w:type="dxa"/>
            <w:right w:w="108" w:type="dxa"/>
          </w:tblCellMar>
        </w:tblPrEx>
        <w:trPr>
          <w:trHeight w:val="567" w:hRule="exact"/>
          <w:jc w:val="center"/>
        </w:trPr>
        <w:tc>
          <w:tcPr>
            <w:tcW w:w="4201" w:type="dxa"/>
            <w:noWrap w:val="0"/>
            <w:vAlign w:val="center"/>
          </w:tcPr>
          <w:p w14:paraId="62BD7B3B">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传真：</w:t>
            </w:r>
          </w:p>
        </w:tc>
        <w:tc>
          <w:tcPr>
            <w:tcW w:w="4202" w:type="dxa"/>
            <w:noWrap w:val="0"/>
            <w:vAlign w:val="center"/>
          </w:tcPr>
          <w:p w14:paraId="3D7B938E">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传真：</w:t>
            </w:r>
          </w:p>
        </w:tc>
      </w:tr>
      <w:tr w14:paraId="55A67CD1">
        <w:tblPrEx>
          <w:tblCellMar>
            <w:top w:w="0" w:type="dxa"/>
            <w:left w:w="108" w:type="dxa"/>
            <w:bottom w:w="0" w:type="dxa"/>
            <w:right w:w="108" w:type="dxa"/>
          </w:tblCellMar>
        </w:tblPrEx>
        <w:trPr>
          <w:trHeight w:val="567" w:hRule="exact"/>
          <w:jc w:val="center"/>
        </w:trPr>
        <w:tc>
          <w:tcPr>
            <w:tcW w:w="4201" w:type="dxa"/>
            <w:noWrap w:val="0"/>
            <w:vAlign w:val="center"/>
          </w:tcPr>
          <w:p w14:paraId="53D36C2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开户银行：</w:t>
            </w:r>
          </w:p>
        </w:tc>
        <w:tc>
          <w:tcPr>
            <w:tcW w:w="4202" w:type="dxa"/>
            <w:noWrap w:val="0"/>
            <w:vAlign w:val="center"/>
          </w:tcPr>
          <w:p w14:paraId="09D1A1A5">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开户银行：</w:t>
            </w:r>
          </w:p>
        </w:tc>
      </w:tr>
      <w:tr w14:paraId="09293673">
        <w:tblPrEx>
          <w:tblCellMar>
            <w:top w:w="0" w:type="dxa"/>
            <w:left w:w="108" w:type="dxa"/>
            <w:bottom w:w="0" w:type="dxa"/>
            <w:right w:w="108" w:type="dxa"/>
          </w:tblCellMar>
        </w:tblPrEx>
        <w:trPr>
          <w:trHeight w:val="567" w:hRule="exact"/>
          <w:jc w:val="center"/>
        </w:trPr>
        <w:tc>
          <w:tcPr>
            <w:tcW w:w="4201" w:type="dxa"/>
            <w:noWrap w:val="0"/>
            <w:vAlign w:val="center"/>
          </w:tcPr>
          <w:p w14:paraId="438D9763">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日期：</w:t>
            </w:r>
          </w:p>
        </w:tc>
        <w:tc>
          <w:tcPr>
            <w:tcW w:w="4202" w:type="dxa"/>
            <w:noWrap w:val="0"/>
            <w:vAlign w:val="center"/>
          </w:tcPr>
          <w:p w14:paraId="451D3F38">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日期：</w:t>
            </w:r>
          </w:p>
        </w:tc>
      </w:tr>
    </w:tbl>
    <w:p w14:paraId="293245C3">
      <w:pPr>
        <w:autoSpaceDE w:val="0"/>
        <w:autoSpaceDN w:val="0"/>
        <w:adjustRightInd w:val="0"/>
        <w:snapToGrid w:val="0"/>
        <w:spacing w:line="360" w:lineRule="auto"/>
        <w:rPr>
          <w:rFonts w:hint="eastAsia" w:ascii="仿宋_GB2312" w:hAnsi="仿宋" w:eastAsia="仿宋_GB2312"/>
          <w:bCs/>
          <w:sz w:val="28"/>
          <w:szCs w:val="28"/>
          <w:lang w:eastAsia="zh-CN"/>
        </w:rPr>
      </w:pPr>
    </w:p>
    <w:sectPr>
      <w:headerReference r:id="rId3" w:type="default"/>
      <w:footerReference r:id="rId4" w:type="default"/>
      <w:pgSz w:w="11909" w:h="16841"/>
      <w:pgMar w:top="1417" w:right="1803" w:bottom="1417" w:left="1803"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17FD0E4-5401-477C-A670-974DA1E58C6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F9ABE345-5B60-4C40-BDB8-69974D57BB97}"/>
  </w:font>
  <w:font w:name="仿宋_GB2312">
    <w:panose1 w:val="02010609030101010101"/>
    <w:charset w:val="86"/>
    <w:family w:val="modern"/>
    <w:pitch w:val="default"/>
    <w:sig w:usb0="00000001" w:usb1="080E0000" w:usb2="00000000" w:usb3="00000000" w:csb0="00040000" w:csb1="00000000"/>
    <w:embedRegular r:id="rId3" w:fontKey="{572A1602-09AE-4107-88A4-196A0E36E13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B4C755C"/>
    <w:rsid w:val="1CA80820"/>
    <w:rsid w:val="1D6E70FD"/>
    <w:rsid w:val="1D703E4B"/>
    <w:rsid w:val="1E0F7272"/>
    <w:rsid w:val="1F95570F"/>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7F0045"/>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96F3399"/>
    <w:rsid w:val="734E36BE"/>
    <w:rsid w:val="741C09D0"/>
    <w:rsid w:val="74343D24"/>
    <w:rsid w:val="764F97C9"/>
    <w:rsid w:val="78C53AE4"/>
    <w:rsid w:val="7D1A23CA"/>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9"/>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paragraph" w:customStyle="1" w:styleId="17">
    <w:name w:val="List Paragraph"/>
    <w:basedOn w:val="1"/>
    <w:qFormat/>
    <w:uiPriority w:val="0"/>
    <w:pPr>
      <w:ind w:firstLine="200" w:firstLineChars="200"/>
    </w:pPr>
    <w:rPr>
      <w:szCs w:val="24"/>
    </w:rPr>
  </w:style>
  <w:style w:type="character" w:customStyle="1" w:styleId="18">
    <w:name w:val="页眉 Char"/>
    <w:basedOn w:val="15"/>
    <w:link w:val="9"/>
    <w:autoRedefine/>
    <w:qFormat/>
    <w:uiPriority w:val="0"/>
    <w:rPr>
      <w:kern w:val="2"/>
      <w:sz w:val="18"/>
      <w:szCs w:val="18"/>
    </w:rPr>
  </w:style>
  <w:style w:type="character" w:customStyle="1" w:styleId="19">
    <w:name w:val="批注框文本 Char"/>
    <w:basedOn w:val="15"/>
    <w:link w:val="7"/>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2925</Words>
  <Characters>2949</Characters>
  <Lines>12</Lines>
  <Paragraphs>3</Paragraphs>
  <TotalTime>1</TotalTime>
  <ScaleCrop>false</ScaleCrop>
  <LinksUpToDate>false</LinksUpToDate>
  <CharactersWithSpaces>3007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2026-06-04T02:10:33Z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