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版本号：YC260010091(CGQ)20260612002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长安区未来信息港规划横二路及翰林南路市政道路造价咨询服务项目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YC260010091(CGQ)</w:t>
      </w:r>
      <w:r>
        <w:br/>
      </w:r>
      <w:r>
        <w:br/>
      </w:r>
      <w:r>
        <w:br/>
      </w:r>
    </w:p>
    <w:p>
      <w:pPr>
        <w:pStyle w:val="null3"/>
        <w:jc w:val="center"/>
        <w:outlineLvl w:val="2"/>
      </w:pPr>
      <w:r>
        <w:rPr>
          <w:rFonts w:ascii="仿宋_GB2312" w:hAnsi="仿宋_GB2312" w:cs="仿宋_GB2312" w:eastAsia="仿宋_GB2312"/>
          <w:sz w:val="28"/>
          <w:b/>
        </w:rPr>
        <w:t>西安市常宁新区开发建设管理委员会</w:t>
      </w:r>
    </w:p>
    <w:p>
      <w:pPr>
        <w:pStyle w:val="null3"/>
        <w:jc w:val="center"/>
        <w:outlineLvl w:val="2"/>
      </w:pPr>
      <w:r>
        <w:rPr>
          <w:rFonts w:ascii="仿宋_GB2312" w:hAnsi="仿宋_GB2312" w:cs="仿宋_GB2312" w:eastAsia="仿宋_GB2312"/>
          <w:sz w:val="28"/>
          <w:b/>
        </w:rPr>
        <w:t>亿诚建设项目管理有限公司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2026年06月12日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亿诚建设项目管理有限公司</w:t>
      </w:r>
      <w:r>
        <w:rPr>
          <w:rFonts w:ascii="仿宋_GB2312" w:hAnsi="仿宋_GB2312" w:cs="仿宋_GB2312" w:eastAsia="仿宋_GB2312"/>
        </w:rPr>
        <w:t>（以下简称“代理机构”）受</w:t>
      </w:r>
      <w:r>
        <w:rPr>
          <w:rFonts w:ascii="仿宋_GB2312" w:hAnsi="仿宋_GB2312" w:cs="仿宋_GB2312" w:eastAsia="仿宋_GB2312"/>
        </w:rPr>
        <w:t>西安市常宁新区开发建设管理委员会</w:t>
      </w:r>
      <w:r>
        <w:rPr>
          <w:rFonts w:ascii="仿宋_GB2312" w:hAnsi="仿宋_GB2312" w:cs="仿宋_GB2312" w:eastAsia="仿宋_GB2312"/>
        </w:rPr>
        <w:t>委托，拟对</w:t>
      </w:r>
      <w:r>
        <w:rPr>
          <w:rFonts w:ascii="仿宋_GB2312" w:hAnsi="仿宋_GB2312" w:cs="仿宋_GB2312" w:eastAsia="仿宋_GB2312"/>
        </w:rPr>
        <w:t>长安区未来信息港规划横二路及翰林南路市政道路造价咨询服务项目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YC260010091(CGQ)</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长安区未来信息港规划横二路及翰林南路市政道路造价咨询服务项目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次采购为长安区未来信息港规划横二路及翰林南路市政道路造价咨询服务项目，拟对长安区未来信息港规划横二路及翰林南路市政道路项目进行工程量清单及最高限价编制，以及配合采购人完成项目招标限价的审核；完成工程计量与进度款审核(建立进度款审核台账)，材料认质认价、变更、签证、索赔的审核，工程竣工结算审核、配合后期政府决算审计等。具体内容详见本项目采购文件。</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采购包1（长安区未来信息港规划横二路及翰林南路市政道路造价咨询服务项目）：属于专门面向中小企业采购。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1、营业执照等主体资格证明文件：提供有效存续的企业营业执照（副本）/事业单位法人证书/专业服务机构执业许可证/民办非企业单位登记证书。</w:t>
      </w:r>
    </w:p>
    <w:p>
      <w:pPr>
        <w:pStyle w:val="null3"/>
      </w:pPr>
      <w:r>
        <w:rPr>
          <w:rFonts w:ascii="仿宋_GB2312" w:hAnsi="仿宋_GB2312" w:cs="仿宋_GB2312" w:eastAsia="仿宋_GB2312"/>
        </w:rPr>
        <w:t>2、项目负责人：供应商拟派项目负责人具备国家一级注册造价工程师资格，且在本单位注册。</w:t>
      </w:r>
    </w:p>
    <w:p>
      <w:pPr>
        <w:pStyle w:val="null3"/>
      </w:pPr>
      <w:r>
        <w:rPr>
          <w:rFonts w:ascii="仿宋_GB2312" w:hAnsi="仿宋_GB2312" w:cs="仿宋_GB2312" w:eastAsia="仿宋_GB2312"/>
        </w:rPr>
        <w:t>3、财务状况报告：提供2024年度或2025年度经审计的财务报告（成立时间至提交响应文件截止时间不足一年的可提供成立后任意时段的资产负债表），或其递交响应文件截止之日前三个月内基本开户银行出具的资信证明，或信用担保机构出具的投标担保函（以上三种形式的资料提供任何一种即可）。</w:t>
      </w:r>
    </w:p>
    <w:p>
      <w:pPr>
        <w:pStyle w:val="null3"/>
      </w:pPr>
      <w:r>
        <w:rPr>
          <w:rFonts w:ascii="仿宋_GB2312" w:hAnsi="仿宋_GB2312" w:cs="仿宋_GB2312" w:eastAsia="仿宋_GB2312"/>
        </w:rPr>
        <w:t>4、书面声明：提供书面声明，包括声明具有履行合同所必需的设备和专业技术能力；未为本项目提供整体设计、规范编制或者项目管理、监理、检测等服务。</w:t>
      </w:r>
    </w:p>
    <w:p>
      <w:pPr>
        <w:pStyle w:val="null3"/>
      </w:pPr>
      <w:r>
        <w:rPr>
          <w:rFonts w:ascii="仿宋_GB2312" w:hAnsi="仿宋_GB2312" w:cs="仿宋_GB2312" w:eastAsia="仿宋_GB2312"/>
        </w:rPr>
        <w:t>5、社保缴纳证明：提供递交响应文件截止之日前一年内任意一个月的社会保障资金缴存单据或社保机构开具的社会保险参保缴费情况证明。依法不需要缴纳社会保障资金的供应商应提供相关文件证明。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6、税收缴纳证明：提供递交响应文件截止之日前一年内任意一个月的依法缴纳税收的相关凭据（时间以税款所属日期为准、税种至少包含增值税或企业所得税），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7、近三年无重大违法、违纪书面声明：提供《近三年无重大违法、违纪书面声明》。</w:t>
      </w:r>
    </w:p>
    <w:p>
      <w:pPr>
        <w:pStyle w:val="null3"/>
      </w:pPr>
      <w:r>
        <w:rPr>
          <w:rFonts w:ascii="仿宋_GB2312" w:hAnsi="仿宋_GB2312" w:cs="仿宋_GB2312" w:eastAsia="仿宋_GB2312"/>
        </w:rPr>
        <w:t>8、信用记录：供应商未被列入“信用中国”网站记录的“失信被执行人”或“重大税收违法案件当事人”名单；不处于“中国政府采购网”记录的“政府采购严重违法失信行为记录名单”中的禁止参加政府采购活动期间。（以采购人或采购代理机构开标当天查询结果为准）。</w:t>
      </w:r>
    </w:p>
    <w:p>
      <w:pPr>
        <w:pStyle w:val="null3"/>
      </w:pPr>
      <w:r>
        <w:rPr>
          <w:rFonts w:ascii="仿宋_GB2312" w:hAnsi="仿宋_GB2312" w:cs="仿宋_GB2312" w:eastAsia="仿宋_GB2312"/>
        </w:rPr>
        <w:t>9、控股管理关系：提供直接控股和管理关系清单。若与其他供应商存在单位负责人为同一人或者存在直接控股、管理关系的，则响应无效。</w:t>
      </w:r>
    </w:p>
    <w:p>
      <w:pPr>
        <w:pStyle w:val="null3"/>
      </w:pPr>
      <w:r>
        <w:rPr>
          <w:rFonts w:ascii="仿宋_GB2312" w:hAnsi="仿宋_GB2312" w:cs="仿宋_GB2312" w:eastAsia="仿宋_GB2312"/>
        </w:rPr>
        <w:t>10、法定代表人授权委托书：法定代表人参加磋商的，须提供本人身份证复印件（附在资格证明文件中）；法定代表人授权他人参加磋商的，须提供法定代表人授权委托书。磋商文件中凡是需要法定代表人盖章之处，非法人单位的负责人均参照执行。法人的分支机构参与磋商时，除提供《法定代表人授权委托书》外，还须同时提供法人给分支机构出具的授权书。</w:t>
      </w:r>
    </w:p>
    <w:p>
      <w:pPr>
        <w:pStyle w:val="null3"/>
      </w:pPr>
      <w:r>
        <w:rPr>
          <w:rFonts w:ascii="仿宋_GB2312" w:hAnsi="仿宋_GB2312" w:cs="仿宋_GB2312" w:eastAsia="仿宋_GB2312"/>
        </w:rPr>
        <w:t>11、本项目不接受联合体磋商，不允许分包：供应商应提供《非联合体不分包磋商声明》，视为独立磋商，不分包。</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西安市常宁新区开发建设管理委员会</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西安市长安区城南大道中段</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西安市常宁新区管理委员会经办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02989057815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亿诚建设项目管理有限公司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陕西省西安市雁塔区陕西省西安市高新区丈八五路高科尚都ONE尚城A座10F</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赵醒文、张耀峰，赵利科，李楠，董海龙，屈小军、张龙</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13891995567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西安市长安区政府采购管理股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政府采购中心</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85645891</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采购包1：775,819.84元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印发《招标代理服务收费管理暂行办法》的通知（计价格[2002]1980号）文件、发改价格[2011]534号文件及国家发改委印发的《关于进一步放开建设项目专业服务价格的通知》（[2015]299号）文件的规定，以中标金额计算的收费基准价格×65%计取，代理服务费不足8000.00元按8000.00元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西安市常宁新区开发建设管理委员会</w:t>
      </w:r>
      <w:r>
        <w:rPr>
          <w:rFonts w:ascii="仿宋_GB2312" w:hAnsi="仿宋_GB2312" w:cs="仿宋_GB2312" w:eastAsia="仿宋_GB2312"/>
        </w:rPr>
        <w:t>和</w:t>
      </w:r>
      <w:r>
        <w:rPr>
          <w:rFonts w:ascii="仿宋_GB2312" w:hAnsi="仿宋_GB2312" w:cs="仿宋_GB2312" w:eastAsia="仿宋_GB2312"/>
        </w:rPr>
        <w:t>亿诚建设项目管理有限公司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西安市常宁新区开发建设管理委员会</w:t>
      </w:r>
      <w:r>
        <w:rPr>
          <w:rFonts w:ascii="仿宋_GB2312" w:hAnsi="仿宋_GB2312" w:cs="仿宋_GB2312" w:eastAsia="仿宋_GB2312"/>
        </w:rPr>
        <w:t>负责解释。除上述磋商文件内容，其他内容由</w:t>
      </w:r>
      <w:r>
        <w:rPr>
          <w:rFonts w:ascii="仿宋_GB2312" w:hAnsi="仿宋_GB2312" w:cs="仿宋_GB2312" w:eastAsia="仿宋_GB2312"/>
        </w:rPr>
        <w:t>亿诚建设项目管理有限公司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西安市常宁新区开发建设管理委员会</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亿诚建设项目管理有限公司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按采购文件、响应文件及合同相关条款执行。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亿诚建设项目管理有限公司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亿诚建设项目管理有限公司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亿诚建设项目管理有限公司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联系人：张龙</w:t>
      </w:r>
    </w:p>
    <w:p>
      <w:pPr>
        <w:pStyle w:val="null3"/>
      </w:pPr>
      <w:r>
        <w:rPr>
          <w:rFonts w:ascii="仿宋_GB2312" w:hAnsi="仿宋_GB2312" w:cs="仿宋_GB2312" w:eastAsia="仿宋_GB2312"/>
        </w:rPr>
        <w:t>联系电话：13891995567</w:t>
      </w:r>
    </w:p>
    <w:p>
      <w:pPr>
        <w:pStyle w:val="null3"/>
      </w:pPr>
      <w:r>
        <w:rPr>
          <w:rFonts w:ascii="仿宋_GB2312" w:hAnsi="仿宋_GB2312" w:cs="仿宋_GB2312" w:eastAsia="仿宋_GB2312"/>
        </w:rPr>
        <w:t>地址：西安市高新区丈八五路高科尚都one尚城A座10F</w:t>
      </w:r>
    </w:p>
    <w:p>
      <w:pPr>
        <w:pStyle w:val="null3"/>
      </w:pPr>
      <w:r>
        <w:rPr>
          <w:rFonts w:ascii="仿宋_GB2312" w:hAnsi="仿宋_GB2312" w:cs="仿宋_GB2312" w:eastAsia="仿宋_GB2312"/>
        </w:rPr>
        <w:t>邮编：710076</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次采购为长安区未来信息港规划横二路及翰林南路市政道路造价咨询服务项目，拟对长安区未来信息港规划横二路及翰林南路市政道路项目进行工程量清单及最高限价编制，以及配合采购人完成项目招标限价的审核；完成工程计量与进度款审核(建立进度款审核台账)，材料认质认价、变更、签证、索赔的审核，工程竣工结算审核、配合后期政府决算审计等。具体内容详见本项目采购文件。</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775,819.84</w:t>
      </w:r>
    </w:p>
    <w:p>
      <w:pPr>
        <w:pStyle w:val="null3"/>
      </w:pPr>
      <w:r>
        <w:rPr>
          <w:rFonts w:ascii="仿宋_GB2312" w:hAnsi="仿宋_GB2312" w:cs="仿宋_GB2312" w:eastAsia="仿宋_GB2312"/>
        </w:rPr>
        <w:t>采购包最高限价（元）: 775,819.84</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长安区未来信息港规划横二路及翰林南路市政道路造价咨询服务项目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775,819.84</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标的名称：长安区未来信息港规划横二路及翰林南路市政道路造价咨询服务项目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20"/>
              <w:jc w:val="both"/>
            </w:pPr>
            <w:r>
              <w:rPr>
                <w:rFonts w:ascii="仿宋_GB2312" w:hAnsi="仿宋_GB2312" w:cs="仿宋_GB2312" w:eastAsia="仿宋_GB2312"/>
                <w:sz w:val="21"/>
                <w:color w:val="00B0F0"/>
              </w:rPr>
              <w:t>一、项目</w:t>
            </w:r>
            <w:r>
              <w:rPr>
                <w:rFonts w:ascii="仿宋_GB2312" w:hAnsi="仿宋_GB2312" w:cs="仿宋_GB2312" w:eastAsia="仿宋_GB2312"/>
                <w:sz w:val="21"/>
                <w:color w:val="00B0F0"/>
              </w:rPr>
              <w:t>名称</w:t>
            </w:r>
          </w:p>
          <w:p>
            <w:pPr>
              <w:pStyle w:val="null3"/>
              <w:ind w:firstLine="420"/>
              <w:jc w:val="both"/>
            </w:pPr>
            <w:r>
              <w:rPr>
                <w:rFonts w:ascii="仿宋_GB2312" w:hAnsi="仿宋_GB2312" w:cs="仿宋_GB2312" w:eastAsia="仿宋_GB2312"/>
                <w:sz w:val="21"/>
                <w:color w:val="00B0F0"/>
              </w:rPr>
              <w:t>长安区未来信息港规划横二路及翰林南路市政道路造价咨询服务项目</w:t>
            </w:r>
            <w:r>
              <w:rPr>
                <w:rFonts w:ascii="仿宋_GB2312" w:hAnsi="仿宋_GB2312" w:cs="仿宋_GB2312" w:eastAsia="仿宋_GB2312"/>
                <w:sz w:val="21"/>
                <w:color w:val="00B0F0"/>
              </w:rPr>
              <w:t>，项目采购预算金额</w:t>
            </w:r>
            <w:r>
              <w:rPr>
                <w:rFonts w:ascii="仿宋_GB2312" w:hAnsi="仿宋_GB2312" w:cs="仿宋_GB2312" w:eastAsia="仿宋_GB2312"/>
                <w:sz w:val="21"/>
                <w:color w:val="00B0F0"/>
              </w:rPr>
              <w:t>775819.84</w:t>
            </w:r>
            <w:r>
              <w:rPr>
                <w:rFonts w:ascii="仿宋_GB2312" w:hAnsi="仿宋_GB2312" w:cs="仿宋_GB2312" w:eastAsia="仿宋_GB2312"/>
                <w:sz w:val="21"/>
                <w:color w:val="00B0F0"/>
              </w:rPr>
              <w:t>元。</w:t>
            </w:r>
          </w:p>
          <w:p>
            <w:pPr>
              <w:pStyle w:val="null3"/>
              <w:ind w:firstLine="420"/>
              <w:jc w:val="both"/>
            </w:pPr>
            <w:r>
              <w:rPr>
                <w:rFonts w:ascii="仿宋_GB2312" w:hAnsi="仿宋_GB2312" w:cs="仿宋_GB2312" w:eastAsia="仿宋_GB2312"/>
                <w:sz w:val="21"/>
                <w:color w:val="00B0F0"/>
              </w:rPr>
              <w:t>二、服务内容</w:t>
            </w:r>
          </w:p>
          <w:p>
            <w:pPr>
              <w:pStyle w:val="null3"/>
              <w:ind w:firstLine="420"/>
              <w:jc w:val="both"/>
            </w:pPr>
            <w:r>
              <w:rPr>
                <w:rFonts w:ascii="仿宋_GB2312" w:hAnsi="仿宋_GB2312" w:cs="仿宋_GB2312" w:eastAsia="仿宋_GB2312"/>
                <w:sz w:val="21"/>
                <w:color w:val="00B0F0"/>
              </w:rPr>
              <w:t>长安区未来信息港规划横二路及翰林南路市政道路造价咨询服务项目，完成长安区未来信息港规划横二路及翰林南路市政道路建设项目工程量清单编制，招标最高限价编制，配合采购人完成项目招标限价的审核；完成工程计量与进度款审核(建立进度款审核台账)，材料认质认价、变更、签证、索赔的审核，工程竣工结算审核、配合后期政府决算审计等。</w:t>
            </w:r>
          </w:p>
          <w:p>
            <w:pPr>
              <w:pStyle w:val="null3"/>
              <w:ind w:firstLine="420"/>
              <w:jc w:val="both"/>
            </w:pPr>
            <w:r>
              <w:rPr>
                <w:rFonts w:ascii="仿宋_GB2312" w:hAnsi="仿宋_GB2312" w:cs="仿宋_GB2312" w:eastAsia="仿宋_GB2312"/>
                <w:sz w:val="21"/>
                <w:color w:val="00B0F0"/>
              </w:rPr>
              <w:t>三、技术要求</w:t>
            </w:r>
          </w:p>
          <w:p>
            <w:pPr>
              <w:pStyle w:val="null3"/>
              <w:ind w:firstLine="420"/>
              <w:jc w:val="both"/>
            </w:pPr>
            <w:r>
              <w:rPr>
                <w:rFonts w:ascii="仿宋_GB2312" w:hAnsi="仿宋_GB2312" w:cs="仿宋_GB2312" w:eastAsia="仿宋_GB2312"/>
                <w:sz w:val="21"/>
              </w:rPr>
              <w:t xml:space="preserve">    </w:t>
            </w:r>
            <w:r>
              <w:rPr>
                <w:rFonts w:ascii="仿宋_GB2312" w:hAnsi="仿宋_GB2312" w:cs="仿宋_GB2312" w:eastAsia="仿宋_GB2312"/>
                <w:sz w:val="21"/>
                <w:color w:val="00B0F0"/>
              </w:rPr>
              <w:t>造价咨询服务工作过程中严格执行国家、省市的各项法律、法规及规章制度，符合国家、省、市及行业规定标准，包括且不限于《中华人民共和国民法典》、《陕西省建设工程工程量清单计价标准》、《陕西省建筑工程综合概预算定额》、《陕西省建筑工程、安装工程、市政工程、仿古园林工程及装饰工程费用定额》及与之配套的相关法律、法规、规章及行业规定等。</w:t>
            </w:r>
          </w:p>
          <w:p>
            <w:pPr>
              <w:pStyle w:val="null3"/>
              <w:ind w:firstLine="420"/>
              <w:jc w:val="both"/>
            </w:pPr>
            <w:r>
              <w:rPr>
                <w:rFonts w:ascii="仿宋_GB2312" w:hAnsi="仿宋_GB2312" w:cs="仿宋_GB2312" w:eastAsia="仿宋_GB2312"/>
                <w:sz w:val="21"/>
                <w:color w:val="00B0F0"/>
              </w:rPr>
              <w:t>四、服务要求</w:t>
            </w:r>
          </w:p>
          <w:p>
            <w:pPr>
              <w:pStyle w:val="null3"/>
              <w:ind w:firstLine="420"/>
              <w:jc w:val="both"/>
            </w:pPr>
            <w:r>
              <w:rPr>
                <w:rFonts w:ascii="仿宋_GB2312" w:hAnsi="仿宋_GB2312" w:cs="仿宋_GB2312" w:eastAsia="仿宋_GB2312"/>
                <w:sz w:val="21"/>
                <w:color w:val="00B0F0"/>
              </w:rPr>
              <w:t>（一）项目人员配备</w:t>
            </w:r>
          </w:p>
          <w:p>
            <w:pPr>
              <w:pStyle w:val="null3"/>
              <w:ind w:firstLine="420"/>
              <w:jc w:val="both"/>
            </w:pPr>
            <w:r>
              <w:rPr>
                <w:rFonts w:ascii="仿宋_GB2312" w:hAnsi="仿宋_GB2312" w:cs="仿宋_GB2312" w:eastAsia="仿宋_GB2312"/>
                <w:sz w:val="21"/>
                <w:color w:val="00B0F0"/>
              </w:rPr>
              <w:t>供应商须提供针对本项目的详细人员配备情况。要求拟派项目成员相关专业人员搭配合理、职能健全，岗位分工明确、职责清晰，包括人员配备情况及水平、人员安排、专业配置、从业经历、参与工作经验等方面，均应满足本项目采购要求。</w:t>
            </w:r>
          </w:p>
          <w:p>
            <w:pPr>
              <w:pStyle w:val="null3"/>
              <w:ind w:firstLine="420"/>
              <w:jc w:val="both"/>
            </w:pPr>
            <w:r>
              <w:rPr>
                <w:rFonts w:ascii="仿宋_GB2312" w:hAnsi="仿宋_GB2312" w:cs="仿宋_GB2312" w:eastAsia="仿宋_GB2312"/>
                <w:sz w:val="21"/>
                <w:color w:val="00B0F0"/>
              </w:rPr>
              <w:t>（二）成果文件份数</w:t>
            </w:r>
          </w:p>
          <w:p>
            <w:pPr>
              <w:pStyle w:val="null3"/>
              <w:ind w:firstLine="420"/>
              <w:jc w:val="both"/>
            </w:pPr>
            <w:r>
              <w:rPr>
                <w:rFonts w:ascii="仿宋_GB2312" w:hAnsi="仿宋_GB2312" w:cs="仿宋_GB2312" w:eastAsia="仿宋_GB2312"/>
                <w:sz w:val="21"/>
                <w:color w:val="00B0F0"/>
              </w:rPr>
              <w:t>咨询成果文件均以书面形式（包括电子版）提交，除加盖供应商单位公章，还必须加盖参加咨询工作人员的执业资格印章。每一类咨询成果文件均一式四份。</w:t>
            </w:r>
          </w:p>
          <w:p>
            <w:pPr>
              <w:pStyle w:val="null3"/>
              <w:ind w:firstLine="420"/>
              <w:jc w:val="both"/>
            </w:pPr>
            <w:r>
              <w:rPr>
                <w:rFonts w:ascii="仿宋_GB2312" w:hAnsi="仿宋_GB2312" w:cs="仿宋_GB2312" w:eastAsia="仿宋_GB2312"/>
                <w:sz w:val="21"/>
                <w:color w:val="00B0F0"/>
              </w:rPr>
              <w:t>（三）其他服务要求</w:t>
            </w:r>
          </w:p>
          <w:p>
            <w:pPr>
              <w:pStyle w:val="null3"/>
              <w:ind w:firstLine="420"/>
              <w:jc w:val="both"/>
            </w:pPr>
            <w:r>
              <w:rPr>
                <w:rFonts w:ascii="仿宋_GB2312" w:hAnsi="仿宋_GB2312" w:cs="仿宋_GB2312" w:eastAsia="仿宋_GB2312"/>
                <w:sz w:val="21"/>
                <w:color w:val="00B0F0"/>
              </w:rPr>
              <w:t>1.</w:t>
            </w:r>
            <w:r>
              <w:rPr>
                <w:rFonts w:ascii="仿宋_GB2312" w:hAnsi="仿宋_GB2312" w:cs="仿宋_GB2312" w:eastAsia="仿宋_GB2312"/>
                <w:sz w:val="21"/>
                <w:color w:val="00B0F0"/>
              </w:rPr>
              <w:t>供应商提供的服务，必须是符合国家有关标准要求，并满足磋商文件规定的价格、完成期限、售后服务及供应商须承担的技术支持和磋商文件规定的其它伴随服务等要求。</w:t>
            </w:r>
          </w:p>
          <w:p>
            <w:pPr>
              <w:pStyle w:val="null3"/>
              <w:ind w:firstLine="420"/>
              <w:jc w:val="both"/>
            </w:pPr>
            <w:r>
              <w:rPr>
                <w:rFonts w:ascii="仿宋_GB2312" w:hAnsi="仿宋_GB2312" w:cs="仿宋_GB2312" w:eastAsia="仿宋_GB2312"/>
                <w:sz w:val="21"/>
                <w:color w:val="00B0F0"/>
              </w:rPr>
              <w:t>2.</w:t>
            </w:r>
            <w:r>
              <w:rPr>
                <w:rFonts w:ascii="仿宋_GB2312" w:hAnsi="仿宋_GB2312" w:cs="仿宋_GB2312" w:eastAsia="仿宋_GB2312"/>
                <w:sz w:val="21"/>
                <w:color w:val="00B0F0"/>
              </w:rPr>
              <w:t>采购人有权拒绝接受任何不合格的服务，由此产生的费用及相关后果均由供应商自行承担。</w:t>
            </w:r>
          </w:p>
          <w:p>
            <w:pPr>
              <w:pStyle w:val="null3"/>
              <w:ind w:firstLine="420"/>
              <w:jc w:val="both"/>
            </w:pPr>
            <w:r>
              <w:rPr>
                <w:rFonts w:ascii="仿宋_GB2312" w:hAnsi="仿宋_GB2312" w:cs="仿宋_GB2312" w:eastAsia="仿宋_GB2312"/>
                <w:sz w:val="21"/>
                <w:color w:val="00B0F0"/>
              </w:rPr>
              <w:t>五、商务要求</w:t>
            </w:r>
          </w:p>
          <w:p>
            <w:pPr>
              <w:pStyle w:val="null3"/>
              <w:ind w:firstLine="420"/>
              <w:jc w:val="both"/>
            </w:pPr>
            <w:r>
              <w:rPr>
                <w:rFonts w:ascii="仿宋_GB2312" w:hAnsi="仿宋_GB2312" w:cs="仿宋_GB2312" w:eastAsia="仿宋_GB2312"/>
                <w:sz w:val="21"/>
                <w:color w:val="00B0F0"/>
              </w:rPr>
              <w:t>（一）服务期限：合同签订之日开始实施，至本项目竣工决算完成之日终结。</w:t>
            </w:r>
          </w:p>
          <w:p>
            <w:pPr>
              <w:pStyle w:val="null3"/>
              <w:ind w:firstLine="420"/>
              <w:jc w:val="both"/>
            </w:pPr>
            <w:r>
              <w:rPr>
                <w:rFonts w:ascii="仿宋_GB2312" w:hAnsi="仿宋_GB2312" w:cs="仿宋_GB2312" w:eastAsia="仿宋_GB2312"/>
                <w:sz w:val="21"/>
                <w:color w:val="00B0F0"/>
              </w:rPr>
              <w:t>（二）款项结算：</w:t>
            </w:r>
          </w:p>
          <w:p>
            <w:pPr>
              <w:pStyle w:val="null3"/>
              <w:ind w:firstLine="420"/>
              <w:jc w:val="both"/>
            </w:pPr>
            <w:r>
              <w:rPr>
                <w:rFonts w:ascii="仿宋_GB2312" w:hAnsi="仿宋_GB2312" w:cs="仿宋_GB2312" w:eastAsia="仿宋_GB2312"/>
                <w:sz w:val="21"/>
                <w:color w:val="00B0F0"/>
              </w:rPr>
              <w:t>1</w:t>
            </w:r>
            <w:r>
              <w:rPr>
                <w:rFonts w:ascii="仿宋_GB2312" w:hAnsi="仿宋_GB2312" w:cs="仿宋_GB2312" w:eastAsia="仿宋_GB2312"/>
                <w:sz w:val="21"/>
                <w:color w:val="00B0F0"/>
              </w:rPr>
              <w:t>、</w:t>
            </w:r>
            <w:r>
              <w:rPr>
                <w:rFonts w:ascii="仿宋_GB2312" w:hAnsi="仿宋_GB2312" w:cs="仿宋_GB2312" w:eastAsia="仿宋_GB2312"/>
                <w:sz w:val="21"/>
                <w:color w:val="00B0F0"/>
              </w:rPr>
              <w:t>基本咨询费：项目预算成果文件出具后，暂按经评审中心评审的限价为计费基数（最终以竣工结算送审造价进行调整）计算基本咨询费，基本咨询费支付至</w:t>
            </w:r>
            <w:r>
              <w:rPr>
                <w:rFonts w:ascii="仿宋_GB2312" w:hAnsi="仿宋_GB2312" w:cs="仿宋_GB2312" w:eastAsia="仿宋_GB2312"/>
                <w:sz w:val="21"/>
                <w:color w:val="00B0F0"/>
              </w:rPr>
              <w:t>50%</w:t>
            </w:r>
            <w:r>
              <w:rPr>
                <w:rFonts w:ascii="仿宋_GB2312" w:hAnsi="仿宋_GB2312" w:cs="仿宋_GB2312" w:eastAsia="仿宋_GB2312"/>
                <w:sz w:val="21"/>
                <w:color w:val="00B0F0"/>
              </w:rPr>
              <w:t>；待结算成果文件出具后，基本咨询费支付至</w:t>
            </w:r>
            <w:r>
              <w:rPr>
                <w:rFonts w:ascii="仿宋_GB2312" w:hAnsi="仿宋_GB2312" w:cs="仿宋_GB2312" w:eastAsia="仿宋_GB2312"/>
                <w:sz w:val="21"/>
                <w:color w:val="00B0F0"/>
              </w:rPr>
              <w:t>80%</w:t>
            </w:r>
            <w:r>
              <w:rPr>
                <w:rFonts w:ascii="仿宋_GB2312" w:hAnsi="仿宋_GB2312" w:cs="仿宋_GB2312" w:eastAsia="仿宋_GB2312"/>
                <w:sz w:val="21"/>
                <w:color w:val="00B0F0"/>
              </w:rPr>
              <w:t>；待政府审计结束并出具审计报告后支付剩余款项。</w:t>
            </w:r>
          </w:p>
          <w:p>
            <w:pPr>
              <w:pStyle w:val="null3"/>
              <w:ind w:firstLine="420"/>
              <w:jc w:val="both"/>
            </w:pPr>
            <w:r>
              <w:rPr>
                <w:rFonts w:ascii="仿宋_GB2312" w:hAnsi="仿宋_GB2312" w:cs="仿宋_GB2312" w:eastAsia="仿宋_GB2312"/>
                <w:sz w:val="21"/>
                <w:color w:val="00B0F0"/>
              </w:rPr>
              <w:t>2</w:t>
            </w:r>
            <w:r>
              <w:rPr>
                <w:rFonts w:ascii="仿宋_GB2312" w:hAnsi="仿宋_GB2312" w:cs="仿宋_GB2312" w:eastAsia="仿宋_GB2312"/>
                <w:sz w:val="21"/>
                <w:color w:val="00B0F0"/>
              </w:rPr>
              <w:t>、</w:t>
            </w:r>
            <w:r>
              <w:rPr>
                <w:rFonts w:ascii="仿宋_GB2312" w:hAnsi="仿宋_GB2312" w:cs="仿宋_GB2312" w:eastAsia="仿宋_GB2312"/>
                <w:sz w:val="21"/>
                <w:color w:val="00B0F0"/>
              </w:rPr>
              <w:t>咨询成果费：待结算成果文件出具后，咨询成果费支付至</w:t>
            </w:r>
            <w:r>
              <w:rPr>
                <w:rFonts w:ascii="仿宋_GB2312" w:hAnsi="仿宋_GB2312" w:cs="仿宋_GB2312" w:eastAsia="仿宋_GB2312"/>
                <w:sz w:val="21"/>
                <w:color w:val="00B0F0"/>
              </w:rPr>
              <w:t>80%</w:t>
            </w:r>
            <w:r>
              <w:rPr>
                <w:rFonts w:ascii="仿宋_GB2312" w:hAnsi="仿宋_GB2312" w:cs="仿宋_GB2312" w:eastAsia="仿宋_GB2312"/>
                <w:sz w:val="21"/>
                <w:color w:val="00B0F0"/>
              </w:rPr>
              <w:t>；待政府审计结束并出具审计报告后支付剩余款项。</w:t>
            </w:r>
          </w:p>
          <w:p>
            <w:pPr>
              <w:pStyle w:val="null3"/>
              <w:ind w:firstLine="420"/>
              <w:jc w:val="both"/>
            </w:pPr>
            <w:r>
              <w:rPr>
                <w:rFonts w:ascii="仿宋_GB2312" w:hAnsi="仿宋_GB2312" w:cs="仿宋_GB2312" w:eastAsia="仿宋_GB2312"/>
                <w:sz w:val="21"/>
                <w:color w:val="00B0F0"/>
              </w:rPr>
              <w:t>3</w:t>
            </w:r>
            <w:r>
              <w:rPr>
                <w:rFonts w:ascii="仿宋_GB2312" w:hAnsi="仿宋_GB2312" w:cs="仿宋_GB2312" w:eastAsia="仿宋_GB2312"/>
                <w:sz w:val="21"/>
                <w:color w:val="00B0F0"/>
              </w:rPr>
              <w:t>、</w:t>
            </w:r>
            <w:r>
              <w:rPr>
                <w:rFonts w:ascii="仿宋_GB2312" w:hAnsi="仿宋_GB2312" w:cs="仿宋_GB2312" w:eastAsia="仿宋_GB2312"/>
                <w:sz w:val="21"/>
                <w:color w:val="00B0F0"/>
              </w:rPr>
              <w:t>要求政府审计的审减率不得超过</w:t>
            </w:r>
            <w:r>
              <w:rPr>
                <w:rFonts w:ascii="仿宋_GB2312" w:hAnsi="仿宋_GB2312" w:cs="仿宋_GB2312" w:eastAsia="仿宋_GB2312"/>
                <w:sz w:val="21"/>
                <w:color w:val="00B0F0"/>
              </w:rPr>
              <w:t>3%</w:t>
            </w:r>
            <w:r>
              <w:rPr>
                <w:rFonts w:ascii="仿宋_GB2312" w:hAnsi="仿宋_GB2312" w:cs="仿宋_GB2312" w:eastAsia="仿宋_GB2312"/>
                <w:sz w:val="21"/>
                <w:color w:val="00B0F0"/>
              </w:rPr>
              <w:t>，如果审减率超过</w:t>
            </w:r>
            <w:r>
              <w:rPr>
                <w:rFonts w:ascii="仿宋_GB2312" w:hAnsi="仿宋_GB2312" w:cs="仿宋_GB2312" w:eastAsia="仿宋_GB2312"/>
                <w:sz w:val="21"/>
                <w:color w:val="00B0F0"/>
              </w:rPr>
              <w:t>3</w:t>
            </w:r>
            <w:r>
              <w:rPr>
                <w:rFonts w:ascii="仿宋_GB2312" w:hAnsi="仿宋_GB2312" w:cs="仿宋_GB2312" w:eastAsia="仿宋_GB2312"/>
                <w:sz w:val="21"/>
                <w:color w:val="00B0F0"/>
              </w:rPr>
              <w:t>％，则扣除剩余咨询费尾款。</w:t>
            </w:r>
          </w:p>
          <w:p>
            <w:pPr>
              <w:pStyle w:val="null3"/>
              <w:ind w:firstLine="420"/>
              <w:jc w:val="both"/>
            </w:pPr>
            <w:r>
              <w:rPr>
                <w:rFonts w:ascii="仿宋_GB2312" w:hAnsi="仿宋_GB2312" w:cs="仿宋_GB2312" w:eastAsia="仿宋_GB2312"/>
                <w:sz w:val="21"/>
                <w:color w:val="00B0F0"/>
              </w:rPr>
              <w:t>注：每次支付前供应商应向采购人提供相应数额的增值税普通发票。</w:t>
            </w:r>
          </w:p>
          <w:p>
            <w:pPr>
              <w:pStyle w:val="null3"/>
              <w:ind w:firstLine="420"/>
              <w:jc w:val="both"/>
            </w:pPr>
            <w:r>
              <w:rPr>
                <w:rFonts w:ascii="仿宋_GB2312" w:hAnsi="仿宋_GB2312" w:cs="仿宋_GB2312" w:eastAsia="仿宋_GB2312"/>
                <w:sz w:val="21"/>
                <w:color w:val="00B0F0"/>
              </w:rPr>
              <w:t>（三）报价</w:t>
            </w:r>
          </w:p>
          <w:p>
            <w:pPr>
              <w:pStyle w:val="null3"/>
              <w:ind w:firstLine="420"/>
              <w:jc w:val="both"/>
            </w:pPr>
            <w:r>
              <w:rPr>
                <w:rFonts w:ascii="仿宋_GB2312" w:hAnsi="仿宋_GB2312" w:cs="仿宋_GB2312" w:eastAsia="仿宋_GB2312"/>
                <w:sz w:val="21"/>
                <w:color w:val="00B0F0"/>
              </w:rPr>
              <w:t>1</w:t>
            </w:r>
            <w:r>
              <w:rPr>
                <w:rFonts w:ascii="仿宋_GB2312" w:hAnsi="仿宋_GB2312" w:cs="仿宋_GB2312" w:eastAsia="仿宋_GB2312"/>
                <w:sz w:val="21"/>
                <w:color w:val="00B0F0"/>
              </w:rPr>
              <w:t>、该项目报价依据《陕西省物价局陕西省住房和城乡建设厅关于我省工程造价咨询服务收费标准有关问题的通知》（陕价行发〔2014〕88号）文件中预（结）算审核（查）计费标准计取，并确定报价折扣率（折扣率上限60%），即：</w:t>
            </w:r>
          </w:p>
          <w:p>
            <w:pPr>
              <w:pStyle w:val="null3"/>
              <w:ind w:firstLine="420"/>
              <w:jc w:val="both"/>
            </w:pPr>
            <w:r>
              <w:rPr>
                <w:rFonts w:ascii="仿宋_GB2312" w:hAnsi="仿宋_GB2312" w:cs="仿宋_GB2312" w:eastAsia="仿宋_GB2312"/>
                <w:sz w:val="21"/>
                <w:color w:val="00B0F0"/>
              </w:rPr>
              <w:t>投标报价=基本咨询费+咨询成果费=项目建筑安装工程费用×取费标准×报价折扣率+项目建筑安装工程费用×5%×取费标准×报价折扣率。</w:t>
            </w:r>
          </w:p>
          <w:p>
            <w:pPr>
              <w:pStyle w:val="null3"/>
              <w:ind w:firstLine="420"/>
              <w:jc w:val="both"/>
            </w:pPr>
            <w:r>
              <w:rPr>
                <w:rFonts w:ascii="仿宋_GB2312" w:hAnsi="仿宋_GB2312" w:cs="仿宋_GB2312" w:eastAsia="仿宋_GB2312"/>
                <w:sz w:val="21"/>
                <w:color w:val="00B0F0"/>
              </w:rPr>
              <w:t>注：（1）长安区未来信息港规划横二路市政道路建设项目建筑安装工程费用暂按20815.86万元，长安区未来信息港翰林南路市政道路建设项目建筑安装工程费用暂按5312.64万元，只允许一个报价折扣率。（2）具体项目咨询成果费基数暂按项目建筑安装工程费用的5%计取。</w:t>
            </w:r>
          </w:p>
          <w:p>
            <w:pPr>
              <w:pStyle w:val="null3"/>
              <w:ind w:firstLine="420"/>
              <w:jc w:val="both"/>
            </w:pPr>
            <w:r>
              <w:rPr>
                <w:rFonts w:ascii="仿宋_GB2312" w:hAnsi="仿宋_GB2312" w:cs="仿宋_GB2312" w:eastAsia="仿宋_GB2312"/>
                <w:sz w:val="21"/>
                <w:color w:val="00B0F0"/>
              </w:rPr>
              <w:t>2</w:t>
            </w:r>
            <w:r>
              <w:rPr>
                <w:rFonts w:ascii="仿宋_GB2312" w:hAnsi="仿宋_GB2312" w:cs="仿宋_GB2312" w:eastAsia="仿宋_GB2312"/>
                <w:sz w:val="21"/>
                <w:color w:val="00B0F0"/>
              </w:rPr>
              <w:t>、该项目报价含税及完成本项目服务内容所发生的一切费用，不受市场价格变化的影响。</w:t>
            </w:r>
          </w:p>
          <w:p>
            <w:pPr>
              <w:pStyle w:val="null3"/>
              <w:ind w:firstLine="420"/>
              <w:jc w:val="both"/>
            </w:pPr>
            <w:r>
              <w:rPr>
                <w:rFonts w:ascii="仿宋_GB2312" w:hAnsi="仿宋_GB2312" w:cs="仿宋_GB2312" w:eastAsia="仿宋_GB2312"/>
                <w:sz w:val="21"/>
                <w:color w:val="00B0F0"/>
              </w:rPr>
              <w:t>六</w:t>
            </w:r>
            <w:r>
              <w:rPr>
                <w:rFonts w:ascii="仿宋_GB2312" w:hAnsi="仿宋_GB2312" w:cs="仿宋_GB2312" w:eastAsia="仿宋_GB2312"/>
                <w:sz w:val="21"/>
                <w:color w:val="00B0F0"/>
              </w:rPr>
              <w:t>、其他</w:t>
            </w:r>
          </w:p>
          <w:p>
            <w:pPr>
              <w:pStyle w:val="null3"/>
              <w:ind w:firstLine="420"/>
              <w:jc w:val="both"/>
            </w:pPr>
            <w:r>
              <w:rPr>
                <w:rFonts w:ascii="仿宋_GB2312" w:hAnsi="仿宋_GB2312" w:cs="仿宋_GB2312" w:eastAsia="仿宋_GB2312"/>
                <w:sz w:val="21"/>
                <w:color w:val="00B0F0"/>
              </w:rPr>
              <w:t>长安区未来信息港规划横二路市政道路项目，本项目位于西沣路以东，文苑南路以西，香积大街以南，规划横四路以北。道路为东西走向，全长3350.112m，规划红线宽度40m/30m（其中西沣路至仓台东路段红线宽度40m，仓台东路至文苑南路段红线宽度30m），道路等级为城市次干路。主要建设内容包含道路工程、交通工程、排水工程、给水工程、通信工程、电力工程、照明工程及绿化工程等。本项目建筑安装工程费用暂按20815.86万元。</w:t>
            </w:r>
          </w:p>
          <w:p>
            <w:pPr>
              <w:pStyle w:val="null3"/>
            </w:pPr>
            <w:r>
              <w:rPr>
                <w:rFonts w:ascii="仿宋_GB2312" w:hAnsi="仿宋_GB2312" w:cs="仿宋_GB2312" w:eastAsia="仿宋_GB2312"/>
                <w:sz w:val="21"/>
                <w:color w:val="00B0F0"/>
              </w:rPr>
              <w:t>长安区未来信息港翰林南路市政道路项目，本项目位于香积大街以南,规划横二路以北，规划纵四路以东，翰林一路以西。道路为南北走向，全长643.914m，规划红线宽度40m，道路等级为城市主干路，设计速度50km/h。主要建设内容包含道路工程、交通工程、排水工程、给水工程、再生水工程、通信工程、电力工程、照明工程及绿化工程等。本项目建筑安装工程费用暂按5312.64万元。</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须提供针对本项目的详细人员配备情况。要求拟派项目负责人具备国家一级注册造价工程师资格，且在本单位注册，拟派项目成员相关专业人员搭配合理、职能健全，岗位分工明确、职责清晰，包括人员配备情况及水平、人员安排、专业配置、从业 经历、参与工作经验等方面，均应满足本项目采购需求。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提供具有履行本合同所必需的设备。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1、供应商提供的服务，必须是符合国家有关标准要求，并满足磋商文件规定的价格、完成期限、售后服务及供应商需承担的技术支持和磋商文件规定的其它伴随服务等要求。 2、采购人有权拒绝接受任何不合格的服务，由此产生的费用及相关后果均由供应商自行承担。</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合同签订之日开始实施，至本项目竣工决算完成之日终结。</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西安市长安区</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省、市及行业规定标准，包括且不限于《中华人民共和国民法典》、《陕西省建设工程工程量清单计价标准》、《陕西省建筑工程综合概预算定额》、《陕西省建筑工程、安装工程、市政工程、仿古园林工程及装饰工程费用定额》及与之配套的相关法律、法规、规章及行业规定等。</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具体项目预算成果文件出具后，暂按经评审中心评审的限价为计费基数（最终以竣工结算送审造价进行调整）计算基本咨询费，支付基本咨询费的50%（规划横二路市政道路建设项目基本咨询费），达到付款条件起22个工作日内，支付合同总金额的18.5%</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进度款，待结算成果文件出具后，支付基本咨询费的30%（规划横二路市政道路建设项目基本咨询费），达到付款条件起22个工作日内，支付合同总金额的11.2%</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进度款，待政府审计结束并出具审计报告后，支付基本咨询费的20% （规划横二路市政道路建设项目基本咨询费），达到付款条件起22个工作日内，支付合同总金额的7.4%</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进度款，待具体项目结算成果文件出具后，支付咨询成果费80%（规划横二路市政道路建设项目咨询成果费），达到付款条件起22个工作日内，支付合同总金额的32.1%</w:t>
      </w:r>
    </w:p>
    <w:p>
      <w:pPr>
        <w:pStyle w:val="null3"/>
        <w:ind w:firstLine="1200"/>
      </w:pPr>
      <w:r>
        <w:rPr>
          <w:rFonts w:ascii="仿宋_GB2312" w:hAnsi="仿宋_GB2312" w:cs="仿宋_GB2312" w:eastAsia="仿宋_GB2312"/>
        </w:rPr>
        <w:t>5、</w:t>
      </w:r>
      <w:r>
        <w:rPr>
          <w:rFonts w:ascii="仿宋_GB2312" w:hAnsi="仿宋_GB2312" w:cs="仿宋_GB2312" w:eastAsia="仿宋_GB2312"/>
        </w:rPr>
        <w:t>进度款，待政府审计结束并出具审计报告后，支付咨询成果费20%（规划横二路市政道路建设项目咨询成果费），达到付款条件起22个工作日内，支付合同总金额的8.0%</w:t>
      </w:r>
    </w:p>
    <w:p>
      <w:pPr>
        <w:pStyle w:val="null3"/>
        <w:ind w:firstLine="1200"/>
      </w:pPr>
      <w:r>
        <w:rPr>
          <w:rFonts w:ascii="仿宋_GB2312" w:hAnsi="仿宋_GB2312" w:cs="仿宋_GB2312" w:eastAsia="仿宋_GB2312"/>
        </w:rPr>
        <w:t>6、</w:t>
      </w:r>
      <w:r>
        <w:rPr>
          <w:rFonts w:ascii="仿宋_GB2312" w:hAnsi="仿宋_GB2312" w:cs="仿宋_GB2312" w:eastAsia="仿宋_GB2312"/>
        </w:rPr>
        <w:t>进度款，合同签订后，具体项目预算成果文件出具后，暂按经评审中心评审的限价为计费基数（最终以竣工结算送审造价进行调整）计算基本咨询费，支付基本咨询费的50%（翰林南路市政道路建设项目基本咨询费），达到付款条件起22个工作日内，支付合同总金额的6.2%</w:t>
      </w:r>
    </w:p>
    <w:p>
      <w:pPr>
        <w:pStyle w:val="null3"/>
        <w:ind w:firstLine="1200"/>
      </w:pPr>
      <w:r>
        <w:rPr>
          <w:rFonts w:ascii="仿宋_GB2312" w:hAnsi="仿宋_GB2312" w:cs="仿宋_GB2312" w:eastAsia="仿宋_GB2312"/>
        </w:rPr>
        <w:t>7、</w:t>
      </w:r>
      <w:r>
        <w:rPr>
          <w:rFonts w:ascii="仿宋_GB2312" w:hAnsi="仿宋_GB2312" w:cs="仿宋_GB2312" w:eastAsia="仿宋_GB2312"/>
        </w:rPr>
        <w:t>进度款，待结算成果文件出具后，支付基本咨询费的30%（翰林南路市政道路建设项目基本咨询费），达到付款条件起22个工作日内，支付合同总金额的3.7%</w:t>
      </w:r>
    </w:p>
    <w:p>
      <w:pPr>
        <w:pStyle w:val="null3"/>
        <w:ind w:firstLine="1200"/>
      </w:pPr>
      <w:r>
        <w:rPr>
          <w:rFonts w:ascii="仿宋_GB2312" w:hAnsi="仿宋_GB2312" w:cs="仿宋_GB2312" w:eastAsia="仿宋_GB2312"/>
        </w:rPr>
        <w:t>8、</w:t>
      </w:r>
      <w:r>
        <w:rPr>
          <w:rFonts w:ascii="仿宋_GB2312" w:hAnsi="仿宋_GB2312" w:cs="仿宋_GB2312" w:eastAsia="仿宋_GB2312"/>
        </w:rPr>
        <w:t>进度款，待政府审计结束并出具审计报告后，支付基本咨询费的20% （翰林南路市政道路建设项目基本咨询费），达到付款条件起22个工作日内，支付合同总金额的2.5%</w:t>
      </w:r>
    </w:p>
    <w:p>
      <w:pPr>
        <w:pStyle w:val="null3"/>
        <w:ind w:firstLine="1200"/>
      </w:pPr>
      <w:r>
        <w:rPr>
          <w:rFonts w:ascii="仿宋_GB2312" w:hAnsi="仿宋_GB2312" w:cs="仿宋_GB2312" w:eastAsia="仿宋_GB2312"/>
        </w:rPr>
        <w:t>9、</w:t>
      </w:r>
      <w:r>
        <w:rPr>
          <w:rFonts w:ascii="仿宋_GB2312" w:hAnsi="仿宋_GB2312" w:cs="仿宋_GB2312" w:eastAsia="仿宋_GB2312"/>
        </w:rPr>
        <w:t>进度款，待具体项目结算成果文件出具后，支付咨询成果费80%（翰林南路市政道路建设项目咨询成果费），达到付款条件起22个工作日内，支付合同总金额的8.3%</w:t>
      </w:r>
    </w:p>
    <w:p>
      <w:pPr>
        <w:pStyle w:val="null3"/>
        <w:ind w:firstLine="1200"/>
      </w:pPr>
      <w:r>
        <w:rPr>
          <w:rFonts w:ascii="仿宋_GB2312" w:hAnsi="仿宋_GB2312" w:cs="仿宋_GB2312" w:eastAsia="仿宋_GB2312"/>
        </w:rPr>
        <w:t>10、</w:t>
      </w:r>
      <w:r>
        <w:rPr>
          <w:rFonts w:ascii="仿宋_GB2312" w:hAnsi="仿宋_GB2312" w:cs="仿宋_GB2312" w:eastAsia="仿宋_GB2312"/>
        </w:rPr>
        <w:t>进度款，待政府审计结束并出具审计报告后，支付咨询成果费20%（翰林南路市政道路建设项目咨询成果费），达到付款条件起22个工作日内，支付合同总金额的2.1%</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按采购文件、响应文件及合同相关条款执行。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一）各供应商应根据“陕西省财政厅陕财办采函〔2023〕14号文”《陕西省财政厅关于省级预算单位全面推行政府采购项目电子化交易的通知》“陕西省财政厅陕财办采〔2022〕9号文”《政府采购项目电子化交易规则》等文件的要求，做好人员配备、设施设备、系统操作的相应准备，熟悉并正确实施相关操作流程，承担由于操作或其他因素造成的不利后果。（二）为顺利推进政府采购电子化交易平台应用工作，供应商需要在线提交所有通过电子化交易平台实施的政府采购项目的响应文件，同时，成交供应商领取成交通知书时，应线下提交纸质版响应文件，正本壹份、副本贰套、电子版壹套（U盘）至代理机构。 线上电子响应文件与纸质响应文件一致;若正本和副本不符，以正本为准。（三）落实政府采购政策需满足的资格要求：依据《中华人民共和国政府采购法》和《中华人民共和国政府采购法实施条例》的有关规定，落实政府采购“优先购买节能环保产品、扶持小微企业、监狱企业、福利企业”等相关政策。1、《政府采购促进中小企业发展管理办法》（财库〔2020〕46号）、《陕西省财政厅关于进一步加大政府采购支持中小企业力度的通知》（陕财办采〔2022〕5号）、《陕西省财政厅关于落实政府采购支持中小企业政策有关事项的通知》（陕财办采〔2022〕10号）、《财政部关于进一步加大政府采购支持中小企业力度》的通知（财库〔2022〕19号）；2、《财政部司法部关于政府采购支持监狱企业发展有关问题的通知》（财库〔2014〕68号）；3、《国务院办公厅关于建立政府强制采购节能产品制度的通知》（国办发〔2007〕51号）；4、《三部门联合发布关于促进残疾人就业政府采购政策的通知》（财库〔2017〕141号）；5、《财政部发展改革委生态环境部市场监管总局关于调整优化节能产品、环境标志产品政府采购执行机制的通知》（财库〔2019〕9号）；6、关于印发环境标志产品政府采购品目清单的通知（财库〔2019〕18号）；7、《关于印发节能产品政府采购品目清单的通知》（财库〔2019〕19号）；8、《财政部、农业农村部、国家乡村振兴局关于运用政府采购政策支持乡村产业振兴的通知》（财库〔2021〕19号）；9、《陕西省中小企业政府采购信用融资办法》（陕财办采〔2018〕23号）、陕西省财政厅、中国人民银行西安分行关于深入推进政府采购信用融资业务的通知（陕财办采〔2023〕5号）；10、《关于扩大政府采购支持绿色建材促进建筑品质提升政策实施范围的通知》(财库〔2022]35号) ；11、《国务院办公厅关于在政府采购中实施本国产品标准及相关政策的通知》(国办发[2025]34号)；12、融资平台：根据《陕西省财政厅关于加快推进我省中小企业政府采购信用融资工作的通知》陕财办采〔2020〕15号文件精神，有融资需求的供应商可根据自身情况，在陕西省政府采购信用融资平台（含各市分平台）自主选择金融机构及其融资产品，凭政府采购中标（成交）通知书或政府采购合同向金融机构提出融资申请；13、其他需要落实的政府采购政策。</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供应商资格要求.pdf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供应商资格要求.pdf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提供有效存续的企业营业执照（副本）/事业单位法人证书/专业服务机构执业许可证/民办非企业单位登记证书。</w:t>
            </w:r>
          </w:p>
        </w:tc>
        <w:tc>
          <w:tcPr>
            <w:tcW w:type="dxa" w:w="1661"/>
          </w:tcPr>
          <w:p>
            <w:pPr>
              <w:pStyle w:val="null3"/>
            </w:pPr>
            <w:r>
              <w:rPr>
                <w:rFonts w:ascii="仿宋_GB2312" w:hAnsi="仿宋_GB2312" w:cs="仿宋_GB2312" w:eastAsia="仿宋_GB2312"/>
              </w:rPr>
              <w:t>供应商资格要求.pdf 供应商认为应提交的相关资格证明材料.docx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项目负责人</w:t>
            </w:r>
          </w:p>
        </w:tc>
        <w:tc>
          <w:tcPr>
            <w:tcW w:type="dxa" w:w="3322"/>
          </w:tcPr>
          <w:p>
            <w:pPr>
              <w:pStyle w:val="null3"/>
            </w:pPr>
            <w:r>
              <w:rPr>
                <w:rFonts w:ascii="仿宋_GB2312" w:hAnsi="仿宋_GB2312" w:cs="仿宋_GB2312" w:eastAsia="仿宋_GB2312"/>
              </w:rPr>
              <w:t>供应商拟派项目负责人具备国家一级注册造价工程师资格，且在本单位注册。</w:t>
            </w:r>
          </w:p>
        </w:tc>
        <w:tc>
          <w:tcPr>
            <w:tcW w:type="dxa" w:w="1661"/>
          </w:tcPr>
          <w:p>
            <w:pPr>
              <w:pStyle w:val="null3"/>
            </w:pPr>
            <w:r>
              <w:rPr>
                <w:rFonts w:ascii="仿宋_GB2312" w:hAnsi="仿宋_GB2312" w:cs="仿宋_GB2312" w:eastAsia="仿宋_GB2312"/>
              </w:rPr>
              <w:t>供应商资格要求.pdf 供应商认为应提交的相关资格证明材料.docx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或2025年度经审计的财务报告（成立时间至提交响应文件截止时间不足一年的可提供成立后任意时段的资产负债表），或其递交响应文件截止之日前三个月内基本开户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供应商资格要求.pdf 供应商认为应提交的相关资格证明材料.docx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提供书面声明，包括声明具有履行合同所必需的设备和专业技术能力；未为本项目提供整体设计、规范编制或者项目管理、监理、检测等服务。</w:t>
            </w:r>
          </w:p>
        </w:tc>
        <w:tc>
          <w:tcPr>
            <w:tcW w:type="dxa" w:w="1661"/>
          </w:tcPr>
          <w:p>
            <w:pPr>
              <w:pStyle w:val="null3"/>
            </w:pPr>
            <w:r>
              <w:rPr>
                <w:rFonts w:ascii="仿宋_GB2312" w:hAnsi="仿宋_GB2312" w:cs="仿宋_GB2312" w:eastAsia="仿宋_GB2312"/>
              </w:rPr>
              <w:t>供应商资格要求.pdf 供应商认为应提交的相关资格证明材料.docx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提供递交响应文件截止之日前一年内任意一个月的社会保障资金缴存单据或社保机构开具的社会保险参保缴费情况证明。依法不需要缴纳社会保障资金的供应商应提供相关文件证明。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供应商资格要求.pdf 供应商认为应提交的相关资格证明材料.docx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响应文件截止之日前一年内任意一个月的依法缴纳税收的相关凭据（时间以税款所属日期为准、税种至少包含增值税或企业所得税），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供应商资格要求.pdf 供应商认为应提交的相关资格证明材料.docx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近三年无重大违法、违纪书面声明</w:t>
            </w:r>
          </w:p>
        </w:tc>
        <w:tc>
          <w:tcPr>
            <w:tcW w:type="dxa" w:w="3322"/>
          </w:tcPr>
          <w:p>
            <w:pPr>
              <w:pStyle w:val="null3"/>
            </w:pPr>
            <w:r>
              <w:rPr>
                <w:rFonts w:ascii="仿宋_GB2312" w:hAnsi="仿宋_GB2312" w:cs="仿宋_GB2312" w:eastAsia="仿宋_GB2312"/>
              </w:rPr>
              <w:t>提供《近三年无重大违法、违纪书面声明》。</w:t>
            </w:r>
          </w:p>
        </w:tc>
        <w:tc>
          <w:tcPr>
            <w:tcW w:type="dxa" w:w="1661"/>
          </w:tcPr>
          <w:p>
            <w:pPr>
              <w:pStyle w:val="null3"/>
            </w:pPr>
            <w:r>
              <w:rPr>
                <w:rFonts w:ascii="仿宋_GB2312" w:hAnsi="仿宋_GB2312" w:cs="仿宋_GB2312" w:eastAsia="仿宋_GB2312"/>
              </w:rPr>
              <w:t>供应商资格要求.pdf 供应商认为应提交的相关资格证明材料.docx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未被列入“信用中国”网站记录的“失信被执行人”或“重大税收违法案件当事人”名单；不处于“中国政府采购网”记录的“政府采购严重违法失信行为记录名单”中的禁止参加政府采购活动期间。（以采购人或采购代理机构开标当天查询结果为准）。</w:t>
            </w:r>
          </w:p>
        </w:tc>
        <w:tc>
          <w:tcPr>
            <w:tcW w:type="dxa" w:w="1661"/>
          </w:tcPr>
          <w:p>
            <w:pPr>
              <w:pStyle w:val="null3"/>
            </w:pPr>
            <w:r>
              <w:rPr>
                <w:rFonts w:ascii="仿宋_GB2312" w:hAnsi="仿宋_GB2312" w:cs="仿宋_GB2312" w:eastAsia="仿宋_GB2312"/>
              </w:rPr>
              <w:t>供应商资格要求.pdf 供应商认为应提交的相关资格证明材料.docx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提供直接控股和管理关系清单。若与其他供应商存在单位负责人为同一人或者存在直接控股、管理关系的，则响应无效。</w:t>
            </w:r>
          </w:p>
        </w:tc>
        <w:tc>
          <w:tcPr>
            <w:tcW w:type="dxa" w:w="1661"/>
          </w:tcPr>
          <w:p>
            <w:pPr>
              <w:pStyle w:val="null3"/>
            </w:pPr>
            <w:r>
              <w:rPr>
                <w:rFonts w:ascii="仿宋_GB2312" w:hAnsi="仿宋_GB2312" w:cs="仿宋_GB2312" w:eastAsia="仿宋_GB2312"/>
              </w:rPr>
              <w:t>供应商资格要求.pdf 供应商认为应提交的相关资格证明材料.docx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磋商的，须提供本人身份证复印件（附在资格证明文件中）；法定代表人授权他人参加磋商的，须提供法定代表人授权委托书。磋商文件中凡是需要法定代表人盖章之处，非法人单位的负责人均参照执行。法人的分支机构参与磋商时，除提供《法定代表人授权委托书》外，还须同时提供法人给分支机构出具的授权书。</w:t>
            </w:r>
          </w:p>
        </w:tc>
        <w:tc>
          <w:tcPr>
            <w:tcW w:type="dxa" w:w="1661"/>
          </w:tcPr>
          <w:p>
            <w:pPr>
              <w:pStyle w:val="null3"/>
            </w:pPr>
            <w:r>
              <w:rPr>
                <w:rFonts w:ascii="仿宋_GB2312" w:hAnsi="仿宋_GB2312" w:cs="仿宋_GB2312" w:eastAsia="仿宋_GB2312"/>
              </w:rPr>
              <w:t>供应商资格要求.pdf 供应商认为应提交的相关资格证明材料.docx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本项目不接受联合体磋商，不允许分包</w:t>
            </w:r>
          </w:p>
        </w:tc>
        <w:tc>
          <w:tcPr>
            <w:tcW w:type="dxa" w:w="3322"/>
          </w:tcPr>
          <w:p>
            <w:pPr>
              <w:pStyle w:val="null3"/>
            </w:pPr>
            <w:r>
              <w:rPr>
                <w:rFonts w:ascii="仿宋_GB2312" w:hAnsi="仿宋_GB2312" w:cs="仿宋_GB2312" w:eastAsia="仿宋_GB2312"/>
              </w:rPr>
              <w:t>供应商应提供《非联合体不分包磋商声明》，视为独立磋商，不分包。</w:t>
            </w:r>
          </w:p>
        </w:tc>
        <w:tc>
          <w:tcPr>
            <w:tcW w:type="dxa" w:w="1661"/>
          </w:tcPr>
          <w:p>
            <w:pPr>
              <w:pStyle w:val="null3"/>
            </w:pPr>
            <w:r>
              <w:rPr>
                <w:rFonts w:ascii="仿宋_GB2312" w:hAnsi="仿宋_GB2312" w:cs="仿宋_GB2312" w:eastAsia="仿宋_GB2312"/>
              </w:rPr>
              <w:t>供应商资格要求.pdf 供应商认为应提交的相关资格证明材料.docx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响应文件语言及有效期</w:t>
            </w:r>
          </w:p>
        </w:tc>
        <w:tc>
          <w:tcPr>
            <w:tcW w:type="dxa" w:w="3322"/>
          </w:tcPr>
          <w:p>
            <w:pPr>
              <w:pStyle w:val="null3"/>
            </w:pPr>
            <w:r>
              <w:rPr>
                <w:rFonts w:ascii="仿宋_GB2312" w:hAnsi="仿宋_GB2312" w:cs="仿宋_GB2312" w:eastAsia="仿宋_GB2312"/>
              </w:rPr>
              <w:t>响应文件语言及有效期符合磋商文件要求。</w:t>
            </w:r>
          </w:p>
        </w:tc>
        <w:tc>
          <w:tcPr>
            <w:tcW w:type="dxa" w:w="1661"/>
          </w:tcPr>
          <w:p>
            <w:pPr>
              <w:pStyle w:val="null3"/>
            </w:pPr>
            <w:r>
              <w:rPr>
                <w:rFonts w:ascii="仿宋_GB2312" w:hAnsi="仿宋_GB2312" w:cs="仿宋_GB2312" w:eastAsia="仿宋_GB2312"/>
              </w:rPr>
              <w:t>中小企业声明函 报价表 供应商认为应提交的相关资格证明材料.docx 响应文件封面 分项报价表.docx 残疾人福利性单位声明函 供应商近五年类似项目业绩证明材料.docx 供应商资格要求.pdf 标的清单 拟投入本项目的人员配置情况表.pdf 响应函 商务、服务内容偏离表、技术响应偏差表.docx 服务方案.docx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均按磋商文件要求签字、盖章（评分标准中要求提供的证明材料除外）。</w:t>
            </w:r>
          </w:p>
        </w:tc>
        <w:tc>
          <w:tcPr>
            <w:tcW w:type="dxa" w:w="1661"/>
          </w:tcPr>
          <w:p>
            <w:pPr>
              <w:pStyle w:val="null3"/>
            </w:pPr>
            <w:r>
              <w:rPr>
                <w:rFonts w:ascii="仿宋_GB2312" w:hAnsi="仿宋_GB2312" w:cs="仿宋_GB2312" w:eastAsia="仿宋_GB2312"/>
              </w:rPr>
              <w:t>中小企业声明函 报价表 供应商认为应提交的相关资格证明材料.docx 响应文件封面 分项报价表.docx 残疾人福利性单位声明函 供应商近五年类似项目业绩证明材料.docx 供应商资格要求.pdf 标的清单 拟投入本项目的人员配置情况表.pdf 响应函 商务、服务内容偏离表、技术响应偏差表.docx 服务方案.docx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响应报价表</w:t>
            </w:r>
          </w:p>
        </w:tc>
        <w:tc>
          <w:tcPr>
            <w:tcW w:type="dxa" w:w="3322"/>
          </w:tcPr>
          <w:p>
            <w:pPr>
              <w:pStyle w:val="null3"/>
            </w:pPr>
            <w:r>
              <w:rPr>
                <w:rFonts w:ascii="仿宋_GB2312" w:hAnsi="仿宋_GB2312" w:cs="仿宋_GB2312" w:eastAsia="仿宋_GB2312"/>
              </w:rPr>
              <w:t>（1）响应报价符合唯一性要求：（2）响应报价表填写符合要求；（3）计量单位、报价货币均符合磋商文件要求； （4）未超出采购预算或磋商文件规定的最高限价。</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商务条款响应</w:t>
            </w:r>
          </w:p>
        </w:tc>
        <w:tc>
          <w:tcPr>
            <w:tcW w:type="dxa" w:w="3322"/>
          </w:tcPr>
          <w:p>
            <w:pPr>
              <w:pStyle w:val="null3"/>
            </w:pPr>
            <w:r>
              <w:rPr>
                <w:rFonts w:ascii="仿宋_GB2312" w:hAnsi="仿宋_GB2312" w:cs="仿宋_GB2312" w:eastAsia="仿宋_GB2312"/>
              </w:rPr>
              <w:t>完全理解接受磋商文件商务条款</w:t>
            </w:r>
          </w:p>
        </w:tc>
        <w:tc>
          <w:tcPr>
            <w:tcW w:type="dxa" w:w="1661"/>
          </w:tcPr>
          <w:p>
            <w:pPr>
              <w:pStyle w:val="null3"/>
            </w:pPr>
            <w:r>
              <w:rPr>
                <w:rFonts w:ascii="仿宋_GB2312" w:hAnsi="仿宋_GB2312" w:cs="仿宋_GB2312" w:eastAsia="仿宋_GB2312"/>
              </w:rPr>
              <w:t>商务、服务内容偏离表、技术响应偏差表.docx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无其他磋商文件或法规明确规定响应无效的事项</w:t>
            </w:r>
          </w:p>
        </w:tc>
        <w:tc>
          <w:tcPr>
            <w:tcW w:type="dxa" w:w="3322"/>
          </w:tcPr>
          <w:p>
            <w:pPr>
              <w:pStyle w:val="null3"/>
            </w:pPr>
            <w:r>
              <w:rPr>
                <w:rFonts w:ascii="仿宋_GB2312" w:hAnsi="仿宋_GB2312" w:cs="仿宋_GB2312" w:eastAsia="仿宋_GB2312"/>
              </w:rPr>
              <w:t>没有不符合磋商文件规定的被视为无效响应的其他条款。</w:t>
            </w:r>
          </w:p>
        </w:tc>
        <w:tc>
          <w:tcPr>
            <w:tcW w:type="dxa" w:w="1661"/>
          </w:tcPr>
          <w:p>
            <w:pPr>
              <w:pStyle w:val="null3"/>
            </w:pPr>
            <w:r>
              <w:rPr>
                <w:rFonts w:ascii="仿宋_GB2312" w:hAnsi="仿宋_GB2312" w:cs="仿宋_GB2312" w:eastAsia="仿宋_GB2312"/>
              </w:rPr>
              <w:t>中小企业声明函 报价表 供应商认为应提交的相关资格证明材料.docx 响应文件封面 分项报价表.docx 残疾人福利性单位声明函 供应商近五年类似项目业绩证明材料.docx 供应商资格要求.pdf 标的清单 拟投入本项目的人员配置情况表.pdf 响应函 商务、服务内容偏离表、技术响应偏差表.docx 服务方案.docx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政策理解</w:t>
            </w:r>
          </w:p>
        </w:tc>
        <w:tc>
          <w:tcPr>
            <w:tcW w:type="dxa" w:w="2492"/>
          </w:tcPr>
          <w:p>
            <w:pPr>
              <w:pStyle w:val="null3"/>
            </w:pPr>
            <w:r>
              <w:rPr>
                <w:rFonts w:ascii="仿宋_GB2312" w:hAnsi="仿宋_GB2312" w:cs="仿宋_GB2312" w:eastAsia="仿宋_GB2312"/>
              </w:rPr>
              <w:t>根据采购内容中的不同造价咨询工作，提供全面的业务政策解读、要求工作业务流程符合国家相关标准、规范，并提供详细说明。 政策解读全面、说明详细合理，计5分；政策解读比较全面，说明基本合理，计3分；政策解读不到位，计1分。未提供不得分。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根据采购内容中的不同造价咨询工作分别提供完整的工作大纲、有明确的工作目标、工作范围，合理可行的工作流程，详细的实施方案。 一、评审标准 1.完整性：方案须全面，对评审内容中的各项要求有详细描述及说明； 2.可实施性：切合本项目实际情况，实施步骤清晰、合理； 3.针对性：方案能够紧扣项目实际情况，内容科学合理。 二、赋分标准： 按照完整性、可实施性、针对性进行评审。 切合本项目实际情况，方案内容齐全、符合项目实际特点，合理、恰当，并能够针对本项目提出实际操作性强的措施方案，有一定创新性，计10分； 切合本项目实际情况，方案内容齐全、符合项目实际特点，合理、恰当，并能够针对本项目提出实际操作性较强的措施方案，计8分； 方案内容齐全、基本符合项目实际特点，合理、恰当，并能够提出措施方案，计6分； 方案内容基本齐全、基本符合项目实际特点，并能够提出一定措施，计4分。未提供不得分。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进度计划及保障措施</w:t>
            </w:r>
          </w:p>
        </w:tc>
        <w:tc>
          <w:tcPr>
            <w:tcW w:type="dxa" w:w="2492"/>
          </w:tcPr>
          <w:p>
            <w:pPr>
              <w:pStyle w:val="null3"/>
            </w:pPr>
            <w:r>
              <w:rPr>
                <w:rFonts w:ascii="仿宋_GB2312" w:hAnsi="仿宋_GB2312" w:cs="仿宋_GB2312" w:eastAsia="仿宋_GB2312"/>
              </w:rPr>
              <w:t>根据采购内容中的不同造价咨询工作分别提供详细的工作计划和保障措施。 一、评审标准 1.完整性：方案须全面，对评审内容中的各项要求有详细描述及说明； 2.可实施性：切合本项目实际情况，实施步骤清晰、合理； 3.针对性：方案能够紧扣项目实际情况，内容科学合理。 二、赋分标准： 按照完整性、可实施性、针对性进行评审。 切合本项目实际情况，方案内容齐全、符合项目实际特点，合理、恰当，并能够针对本项目提出实际操作性强的措施方案，有一定创新性，计10分； 切合本项目实际情况，方案内容齐全、符合项目实际特点，合理、恰当，并能够针对本项目提出实际操作性较强的措施方案，计8分； 方案内容齐全、基本符合项目实际特点，合理、恰当，并能够提出措施方案，计6分； 方案内容基本齐全、基本符合项目实际特点，并能够提出一定措施，计4分。未提供不得分。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质量控制方案及承诺</w:t>
            </w:r>
          </w:p>
        </w:tc>
        <w:tc>
          <w:tcPr>
            <w:tcW w:type="dxa" w:w="2492"/>
          </w:tcPr>
          <w:p>
            <w:pPr>
              <w:pStyle w:val="null3"/>
            </w:pPr>
            <w:r>
              <w:rPr>
                <w:rFonts w:ascii="仿宋_GB2312" w:hAnsi="仿宋_GB2312" w:cs="仿宋_GB2312" w:eastAsia="仿宋_GB2312"/>
              </w:rPr>
              <w:t>根据采购内容中的不同造价咨询工作分别提出质量控制方案，对成果文件的质量做出实质性承诺，建立健全质量控制体系。须有质量目标无法实现的认罚承诺、对采购人对本项目出具正式报告前抽查及复审、采购人相关职能部门后期对本项目进行审计时均能无条件配合及承担质量等责任做出实质性承诺。 一、评审标准 1.完整性：方案须全面，对评审内容中的各项要求有详细描述及说明； 2.可实施性：切合本项目实际情况，实施步骤清晰、合理； 3.针对性：方案能够紧扣项目实际情况，内容科学合理。 二、赋分标准： 按照完整性、可实施性、针对性进行评审。 切合本项目实际情况，方案、承诺内容齐全、符合项目实际特点，合理、恰当，并能够针对本项目提出实际操作性强的措施方案，有一定创新性，计10分； 切合本项目实际情况，方案、承诺内容齐全、符合项目实际特点，合理、恰当，并能够针对本项目提出实际操作性较强的措施方案，计8分； 方案、承诺内容齐全、基本符合项目实际特点，合理、恰当，并能够提出措施方案，计6分； 方案、承诺内容基本齐全、基本符合项目实际特点，并能够提出一定措施，计4分。（承诺应包含不能完全履行承诺时愿意接受处罚的承诺）未提供不得分。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工作要点、控制措施</w:t>
            </w:r>
          </w:p>
        </w:tc>
        <w:tc>
          <w:tcPr>
            <w:tcW w:type="dxa" w:w="2492"/>
          </w:tcPr>
          <w:p>
            <w:pPr>
              <w:pStyle w:val="null3"/>
            </w:pPr>
            <w:r>
              <w:rPr>
                <w:rFonts w:ascii="仿宋_GB2312" w:hAnsi="仿宋_GB2312" w:cs="仿宋_GB2312" w:eastAsia="仿宋_GB2312"/>
              </w:rPr>
              <w:t>根据采购内容中的不同造价咨询工作分别提出工作要点及响应控制措施。简述服务过程中不同造价咨询工作的审核要点、注意事项及对应的措施，合理、有效的提出解决争议的依据，有效的风险控制措施。 一、评审标准 1.完整性：方案须全面，对评审内容中的各项要求有详细描述及说明； 2.可实施性：切合本项目实际情况，实施步骤清晰、合理； 3.针对性：方案能够紧扣项目实际情况，内容科学合理。 二、赋分标准： 按照完整性、可实施性、针对性进行评审。 切合本项目实际情况，方案内容齐全、符合项目实际特点，合理、恰当，并能够针对本项目提出实际操作性强的措施方案，有一定创新性，计10分； 切合本项目实际情况，方案内容齐全、符合项目实际特点，合理、恰当，并能够针对本项目提出实际操作性较强的措施方案，计8分； 方案内容齐全、基本符合项目实际特点，合理、恰当，并能够提出措施方案，计6分； 方案内容基本齐全、基本符合项目实际特点，并能够提出一定措施，计4分。未提供不得分。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保密方案及保密承诺</w:t>
            </w:r>
          </w:p>
        </w:tc>
        <w:tc>
          <w:tcPr>
            <w:tcW w:type="dxa" w:w="2492"/>
          </w:tcPr>
          <w:p>
            <w:pPr>
              <w:pStyle w:val="null3"/>
            </w:pPr>
            <w:r>
              <w:rPr>
                <w:rFonts w:ascii="仿宋_GB2312" w:hAnsi="仿宋_GB2312" w:cs="仿宋_GB2312" w:eastAsia="仿宋_GB2312"/>
              </w:rPr>
              <w:t>根据本项目实际情况，对工作文件、成果资料等信息提出合理有效的保密档案，并提供完整的保密条例及保密承诺。 一、评审标准 1.完整性：方案须全面，对评审内容中的各项要求有详细描述及说明； 2.可实施性：切合本项目实际情况，实施步骤清晰、合理； 3.针对性：方案能够紧扣项目实际情况，内容科学合理。 二、赋分标准： 按照完整性、可实施性、针对性进行评审。 切合本项目实际情况，方案、承诺内容全面、符合项目实际特点，合理、恰当，并能够针对本项目提出实际操作性强的措施方案，有一定创新性，计9分； 切合本项目实际情况，方案、承诺内容齐全、符合项目实际特点，合理、恰当，并能够针对本项目提出实际操作性较强的措施方案，计7分； 方案及承诺内容齐全、基本符合项目实际特点，合理、恰当，并能够提出措施方案，计5分； 方案及承诺内容基本齐全、基本符合项目实际特点，并能够提出一定措施，计3分。未提供不得分。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廉洁从业方案</w:t>
            </w:r>
          </w:p>
        </w:tc>
        <w:tc>
          <w:tcPr>
            <w:tcW w:type="dxa" w:w="2492"/>
          </w:tcPr>
          <w:p>
            <w:pPr>
              <w:pStyle w:val="null3"/>
            </w:pPr>
            <w:r>
              <w:rPr>
                <w:rFonts w:ascii="仿宋_GB2312" w:hAnsi="仿宋_GB2312" w:cs="仿宋_GB2312" w:eastAsia="仿宋_GB2312"/>
              </w:rPr>
              <w:t>根据本项目实际情况，提供签署廉洁从业承诺、廉洁措施，包括但不限于项目负责人、相关技术人员的廉洁从业措施及管理办法。 一、评审标准 1.完整性：方案须全面，对评审内容中的各项要求有详细描述及说明； 2.可实施性：切合本项目实际情况，实施步骤清晰、合理； 3.针对性：方案能够紧扣项目实际情况，内容科学合理。 二、赋分标准： 按照完整性、可实施性、针对性进行评审。 切合本项目实际情况，方案内容全面、符合项目实际特点，合理、恰当，并能够针对本项目提出实际操作性强的措施方案，有一定创新性，计6分； 方案内容齐全、基本符合项目实际特点，合理、恰当，并能够提出措施方案，计4分； 方案内容基本齐全、基本符合项目实际特点，并能够提出一定措施，计2分。未提供不得分。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1.提供项目执行过程中任一阶段均可无条件配合及承担质量、廉政等责任的承诺，承诺内容合理完善、可行性强，计2分，承诺内容较少、可行性一般，计1分；其他不计分（应包含不能完全履行承诺时愿意接受相关处罚的承诺）。 2.提供项目执行过程中工作时效、资料管理、队伍管理等相关承诺，承诺内容合理完善、可行性强，计2分，承诺内容较少、可行性一般，计1分；否则不计分（应包含不能完全履行承诺时愿意接受相关处罚的承诺）。</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1.项目负责人持证执业年限高于5年（含5年）得2分；持证执业年限为3年（含）～5年得1分；其余不得分。 2.项目负责人具有高级职称或以上者，得2分；具有中级职称者，得1分；其余不得分。 3.项目负责人近三年类似项目造价咨询业绩（2023年1月至今，以合同签订时间为准），需提供类似项目造价咨询合同及成果文件（造价咨询合同或成果文件须显示项目负责人姓名），每提供一份有效业绩得2分，满分6分，不提供不得分。 注：需提供项目负责人相关证明材料，项目负责人必须在本单位注册，提供社保缴纳证明材料（退休人员提供退休证），未提供此项均不得分。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项目团队</w:t>
            </w:r>
          </w:p>
        </w:tc>
        <w:tc>
          <w:tcPr>
            <w:tcW w:type="dxa" w:w="2492"/>
          </w:tcPr>
          <w:p>
            <w:pPr>
              <w:pStyle w:val="null3"/>
            </w:pPr>
            <w:r>
              <w:rPr>
                <w:rFonts w:ascii="仿宋_GB2312" w:hAnsi="仿宋_GB2312" w:cs="仿宋_GB2312" w:eastAsia="仿宋_GB2312"/>
              </w:rPr>
              <w:t>1.针对本项目提供专项实施团队，要求团队配置合理，人员经验丰富，专业齐全。团队专业类别齐全，人员经验丰富，团队配置合理，计4分；团队专业类别基本齐全，人员具备一定经验，团队配置基本合理，计2分；团队专业类别配备不齐全，人员经验一般，计1分。 2.项目团队除项目负责人外，每提供1名一级注册造价工程师得1分，满分6分。 注：以上人员须提供相关证明材料。</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拟投入本项目的人员配置情况表.pdf</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1.工程量清单及限价编制业绩：近5年类似项目工程量清单及限价编制业绩（2021年1月至今，以成果文件盖章页出具时间为准，需提供业绩合同复印件及成果文件），每提供1个得1分，最高得3分； 2.预(结)算审核(查)业绩：近5年类似项目预(结)算审核(查)业绩（2021年1月至今，以预(结)算认证单或审定表时间为准，需提供业绩合同复印件及成果文件（提供项目预(结)算认证单或审定表）），每提供1个得1分，最高得3分； 备注：以提供的合同复印件及成果文件加盖公章作为评审依据，未提供不得分。与项目负责人业绩相同的不重复计分，若业绩重复按照有利于投标人的原则计分。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供应商近五年类似项目业绩证明材料.docx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满足磋商文件要求且最终磋商报价最低的供应商的价格为评标基准价，其价格分为满分。其他供应商的价格分统一按照下列公式计算： 磋商报价得分=（评标基准价/最终磋商报价）×价格权值×100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详见附件：商务、服务内容偏离表、技术响应偏差表.docx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详见附件：拟投入本项目的人员配置情况表.pdf</w:t>
      </w:r>
    </w:p>
    <w:p>
      <w:pPr>
        <w:pStyle w:val="null3"/>
        <w:ind w:firstLine="960"/>
      </w:pPr>
      <w:r>
        <w:rPr>
          <w:rFonts w:ascii="仿宋_GB2312" w:hAnsi="仿宋_GB2312" w:cs="仿宋_GB2312" w:eastAsia="仿宋_GB2312"/>
        </w:rPr>
        <w:t>详见附件：供应商近五年类似项目业绩证明材料.docx</w:t>
      </w:r>
    </w:p>
    <w:p>
      <w:pPr>
        <w:pStyle w:val="null3"/>
        <w:ind w:firstLine="960"/>
      </w:pPr>
      <w:r>
        <w:rPr>
          <w:rFonts w:ascii="仿宋_GB2312" w:hAnsi="仿宋_GB2312" w:cs="仿宋_GB2312" w:eastAsia="仿宋_GB2312"/>
        </w:rPr>
        <w:t>详见附件：供应商资格要求.pdf</w:t>
      </w:r>
    </w:p>
    <w:p>
      <w:pPr>
        <w:pStyle w:val="null3"/>
        <w:ind w:firstLine="960"/>
      </w:pPr>
      <w:r>
        <w:rPr>
          <w:rFonts w:ascii="仿宋_GB2312" w:hAnsi="仿宋_GB2312" w:cs="仿宋_GB2312" w:eastAsia="仿宋_GB2312"/>
        </w:rPr>
        <w:t>详见附件：供应商认为应提交的相关资格证明材料.docx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详见附件：咨询合同.docx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