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97A6E">
      <w:pPr>
        <w:pStyle w:val="15"/>
        <w:jc w:val="center"/>
        <w:rPr>
          <w:rFonts w:hint="eastAsia" w:ascii="仿宋_GB2312" w:hAnsi="仿宋_GB2312" w:eastAsia="仿宋_GB2312" w:cs="仿宋_GB2312"/>
          <w:b/>
          <w:bCs/>
          <w:sz w:val="28"/>
          <w:szCs w:val="28"/>
          <w:lang w:eastAsia="zh-CN"/>
        </w:rPr>
      </w:pPr>
      <w:r>
        <w:rPr>
          <w:rFonts w:ascii="仿宋_GB2312" w:hAnsi="仿宋_GB2312" w:eastAsia="仿宋_GB2312" w:cs="仿宋_GB2312"/>
          <w:b/>
          <w:bCs/>
          <w:sz w:val="28"/>
          <w:szCs w:val="28"/>
        </w:rPr>
        <w:t>采购包1：标的名称：</w:t>
      </w:r>
      <w:r>
        <w:rPr>
          <w:rFonts w:hint="eastAsia" w:ascii="仿宋_GB2312" w:hAnsi="仿宋_GB2312" w:eastAsia="仿宋_GB2312" w:cs="仿宋_GB2312"/>
          <w:b/>
          <w:bCs/>
          <w:sz w:val="28"/>
          <w:szCs w:val="28"/>
          <w:lang w:eastAsia="zh-CN"/>
        </w:rPr>
        <w:t>2026年陕西省五级联赛暨西安市社区运动会“省级示范赛点”赛事及配套活动</w:t>
      </w:r>
    </w:p>
    <w:p w14:paraId="4FA11193">
      <w:pPr>
        <w:pStyle w:val="15"/>
        <w:jc w:val="center"/>
        <w:rPr>
          <w:rFonts w:hint="eastAsia" w:ascii="仿宋_GB2312" w:hAnsi="仿宋_GB2312" w:eastAsia="仿宋_GB2312" w:cs="仿宋_GB2312"/>
          <w:b/>
          <w:bCs/>
          <w:sz w:val="21"/>
          <w:szCs w:val="21"/>
          <w:lang w:eastAsia="zh-CN"/>
        </w:rPr>
      </w:pPr>
    </w:p>
    <w:p w14:paraId="23B96F2F">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一、</w:t>
      </w:r>
      <w:r>
        <w:rPr>
          <w:rFonts w:ascii="仿宋_GB2312" w:hAnsi="仿宋_GB2312" w:eastAsia="仿宋_GB2312" w:cs="仿宋_GB2312"/>
          <w:b/>
          <w:sz w:val="21"/>
          <w:szCs w:val="21"/>
        </w:rPr>
        <w:t>服务内容</w:t>
      </w:r>
    </w:p>
    <w:p w14:paraId="5F53039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供应商负责承担本次比赛的比赛场地、竞赛保障、赛事策划、商务开发、竞赛组织和器材保障、启动仪式及颁奖仪式、媒体宣传推广、场地搭建（含灯光音响）、氛围布置营造、志愿者招募管理、后勤接待保障、各类资料印制、赛事保险、医疗保障、安全保卫、电力、通信保障、奖励奖牌证书采购等。并向使用部门提交赛事总结等与赛事服务运营有关一切事务，方案策划及运营服务需符合体育赛事相应规范要求。</w:t>
      </w:r>
    </w:p>
    <w:p w14:paraId="6804F5F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比赛总结：高质量、高水平、高效率的协助完成委托的其他工作事项，确保各项工作顺利推进，协助采购人完成赛事相关资料汇总，每项赛事提交赛事总结报告，并及时提交比赛总结报告及相关档案资料，内容齐全。</w:t>
      </w:r>
    </w:p>
    <w:p w14:paraId="4E438D0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3.在活动的执行过程中，合作双方应遵循采购人确认原则，即所有的设计策划方案、详细报价的预算及结算等，均由供应商提出建议和说明，但最终以双方确认的内容或方式执行。</w:t>
      </w:r>
    </w:p>
    <w:p w14:paraId="768B475B">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二、</w:t>
      </w:r>
      <w:r>
        <w:rPr>
          <w:rFonts w:ascii="仿宋_GB2312" w:hAnsi="仿宋_GB2312" w:eastAsia="仿宋_GB2312" w:cs="仿宋_GB2312"/>
          <w:b/>
          <w:sz w:val="21"/>
          <w:szCs w:val="21"/>
        </w:rPr>
        <w:t>参赛队伍</w:t>
      </w:r>
    </w:p>
    <w:p w14:paraId="647AF34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各区县选拔赛优秀队伍、个人。</w:t>
      </w:r>
    </w:p>
    <w:p w14:paraId="166D2A8E">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三、</w:t>
      </w:r>
      <w:r>
        <w:rPr>
          <w:rFonts w:ascii="仿宋_GB2312" w:hAnsi="仿宋_GB2312" w:eastAsia="仿宋_GB2312" w:cs="仿宋_GB2312"/>
          <w:b/>
          <w:sz w:val="21"/>
          <w:szCs w:val="21"/>
        </w:rPr>
        <w:t>竞赛项目及介绍</w:t>
      </w:r>
    </w:p>
    <w:p w14:paraId="7EB9D17E">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竞赛项目：全民健身月启动仪式、社会体育指导员技能大赛、2026年陕西省五级联赛暨西安市社区运动会市级决赛（羽毛球、足球）及配套活动</w:t>
      </w:r>
    </w:p>
    <w:p w14:paraId="475745DC">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eastAsia="仿宋_GB2312"/>
          <w:sz w:val="21"/>
          <w:szCs w:val="21"/>
          <w:lang w:eastAsia="zh-CN"/>
        </w:rPr>
      </w:pPr>
      <w:r>
        <w:rPr>
          <w:rFonts w:ascii="仿宋_GB2312" w:eastAsia="仿宋_GB2312"/>
          <w:sz w:val="21"/>
          <w:szCs w:val="21"/>
        </w:rPr>
        <w:t>1.</w:t>
      </w:r>
      <w:r>
        <w:rPr>
          <w:rFonts w:ascii="仿宋_GB2312" w:hAnsi="仿宋_GB2312" w:eastAsia="仿宋_GB2312" w:cs="仿宋_GB2312"/>
          <w:sz w:val="21"/>
          <w:szCs w:val="21"/>
        </w:rPr>
        <w:t>全民健身月</w:t>
      </w:r>
      <w:r>
        <w:rPr>
          <w:rFonts w:ascii="仿宋_GB2312" w:eastAsia="仿宋_GB2312"/>
          <w:sz w:val="21"/>
          <w:szCs w:val="21"/>
        </w:rPr>
        <w:t>启动仪式</w:t>
      </w:r>
      <w:r>
        <w:rPr>
          <w:rFonts w:hint="eastAsia" w:ascii="仿宋_GB2312" w:eastAsia="仿宋_GB2312"/>
          <w:sz w:val="21"/>
          <w:szCs w:val="21"/>
          <w:lang w:eastAsia="zh-CN"/>
        </w:rPr>
        <w:t>：</w:t>
      </w:r>
      <w:r>
        <w:rPr>
          <w:rFonts w:ascii="仿宋_GB2312" w:eastAsia="仿宋_GB2312"/>
          <w:sz w:val="21"/>
          <w:szCs w:val="21"/>
        </w:rPr>
        <w:t>不少于8个全民健身节目展演，配套活动（体育嘉年华、文体展演活动、非遗展示体验、体育市集、提供公益健身服务、体质监测、科学健身指导等）</w:t>
      </w:r>
      <w:r>
        <w:rPr>
          <w:rFonts w:hint="eastAsia" w:ascii="仿宋_GB2312" w:eastAsia="仿宋_GB2312"/>
          <w:sz w:val="21"/>
          <w:szCs w:val="21"/>
          <w:lang w:eastAsia="zh-CN"/>
        </w:rPr>
        <w:t>。</w:t>
      </w:r>
    </w:p>
    <w:p w14:paraId="6CA2036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hAnsi="仿宋_GB2312" w:eastAsia="仿宋_GB2312" w:cs="仿宋_GB2312"/>
          <w:sz w:val="21"/>
          <w:szCs w:val="21"/>
          <w:lang w:eastAsia="zh-CN"/>
        </w:rPr>
      </w:pPr>
      <w:r>
        <w:rPr>
          <w:rFonts w:ascii="仿宋_GB2312" w:eastAsia="仿宋_GB2312"/>
          <w:sz w:val="21"/>
          <w:szCs w:val="21"/>
        </w:rPr>
        <w:t>2.社会体育指导员技能大赛赛事</w:t>
      </w:r>
      <w:r>
        <w:rPr>
          <w:rFonts w:ascii="仿宋_GB2312" w:hAnsi="仿宋_GB2312" w:eastAsia="仿宋_GB2312" w:cs="仿宋_GB2312"/>
          <w:sz w:val="21"/>
          <w:szCs w:val="21"/>
        </w:rPr>
        <w:t>规模</w:t>
      </w:r>
      <w:r>
        <w:rPr>
          <w:rFonts w:hint="eastAsia" w:ascii="仿宋_GB2312" w:eastAsia="仿宋_GB2312"/>
          <w:sz w:val="21"/>
          <w:szCs w:val="21"/>
          <w:lang w:eastAsia="zh-CN"/>
        </w:rPr>
        <w:t>：</w:t>
      </w:r>
      <w:r>
        <w:rPr>
          <w:rFonts w:ascii="仿宋_GB2312" w:hAnsi="仿宋_GB2312" w:eastAsia="仿宋_GB2312" w:cs="仿宋_GB2312"/>
          <w:sz w:val="21"/>
          <w:szCs w:val="21"/>
        </w:rPr>
        <w:t>约300人</w:t>
      </w:r>
      <w:r>
        <w:rPr>
          <w:rFonts w:hint="eastAsia" w:ascii="仿宋_GB2312" w:hAnsi="仿宋_GB2312" w:eastAsia="仿宋_GB2312" w:cs="仿宋_GB2312"/>
          <w:sz w:val="21"/>
          <w:szCs w:val="21"/>
          <w:lang w:eastAsia="zh-CN"/>
        </w:rPr>
        <w:t>。</w:t>
      </w:r>
    </w:p>
    <w:p w14:paraId="6996C758">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eastAsia="仿宋_GB2312"/>
          <w:sz w:val="21"/>
          <w:szCs w:val="21"/>
          <w:lang w:eastAsia="zh-CN"/>
        </w:rPr>
      </w:pPr>
      <w:r>
        <w:rPr>
          <w:rFonts w:ascii="仿宋_GB2312" w:hAnsi="仿宋_GB2312" w:eastAsia="仿宋_GB2312" w:cs="仿宋_GB2312"/>
          <w:sz w:val="21"/>
          <w:szCs w:val="21"/>
        </w:rPr>
        <w:t>3.2026年陕西省五级联赛暨西安市社区运动会市级决赛（羽毛球、足球项</w:t>
      </w:r>
      <w:r>
        <w:rPr>
          <w:rFonts w:ascii="仿宋_GB2312" w:eastAsia="仿宋_GB2312"/>
          <w:sz w:val="21"/>
          <w:szCs w:val="21"/>
        </w:rPr>
        <w:t>目</w:t>
      </w:r>
      <w:r>
        <w:rPr>
          <w:rFonts w:ascii="仿宋_GB2312" w:hAnsi="仿宋_GB2312" w:eastAsia="仿宋_GB2312" w:cs="仿宋_GB2312"/>
          <w:sz w:val="21"/>
          <w:szCs w:val="21"/>
        </w:rPr>
        <w:t>）</w:t>
      </w:r>
      <w:r>
        <w:rPr>
          <w:rFonts w:ascii="仿宋_GB2312" w:eastAsia="仿宋_GB2312"/>
          <w:sz w:val="21"/>
          <w:szCs w:val="21"/>
        </w:rPr>
        <w:t>赛事规模</w:t>
      </w:r>
      <w:r>
        <w:rPr>
          <w:rFonts w:hint="eastAsia" w:ascii="仿宋_GB2312" w:hAnsi="仿宋_GB2312" w:eastAsia="仿宋_GB2312" w:cs="仿宋_GB2312"/>
          <w:sz w:val="21"/>
          <w:szCs w:val="21"/>
          <w:lang w:eastAsia="zh-CN"/>
        </w:rPr>
        <w:t>：</w:t>
      </w:r>
      <w:r>
        <w:rPr>
          <w:rFonts w:ascii="仿宋_GB2312" w:eastAsia="仿宋_GB2312"/>
          <w:sz w:val="21"/>
          <w:szCs w:val="21"/>
        </w:rPr>
        <w:t>各项目约300人</w:t>
      </w:r>
      <w:r>
        <w:rPr>
          <w:rFonts w:hint="eastAsia" w:ascii="仿宋_GB2312" w:eastAsia="仿宋_GB2312"/>
          <w:sz w:val="21"/>
          <w:szCs w:val="21"/>
          <w:lang w:eastAsia="zh-CN"/>
        </w:rPr>
        <w:t>。</w:t>
      </w:r>
    </w:p>
    <w:p w14:paraId="0BAA06AE">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eastAsia="仿宋_GB2312"/>
          <w:sz w:val="21"/>
          <w:szCs w:val="21"/>
        </w:rPr>
      </w:pPr>
      <w:r>
        <w:rPr>
          <w:rFonts w:ascii="仿宋_GB2312" w:eastAsia="仿宋_GB2312"/>
          <w:sz w:val="21"/>
          <w:szCs w:val="21"/>
        </w:rPr>
        <w:t>第一阶段所有参赛队伍抽签分为4个小组分别进行单循环比赛。第二阶段进行单淘汰赛，具体根据报名情况确定。</w:t>
      </w:r>
    </w:p>
    <w:p w14:paraId="25651637">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四、</w:t>
      </w:r>
      <w:r>
        <w:rPr>
          <w:rFonts w:ascii="仿宋_GB2312" w:hAnsi="仿宋_GB2312" w:eastAsia="仿宋_GB2312" w:cs="仿宋_GB2312"/>
          <w:b/>
          <w:sz w:val="21"/>
          <w:szCs w:val="21"/>
        </w:rPr>
        <w:t>保险服务</w:t>
      </w:r>
    </w:p>
    <w:p w14:paraId="521484B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1.保险对象是指参与本赛事活动的所有人员，投保必须以单位名义，不能以个人名义投保。</w:t>
      </w:r>
    </w:p>
    <w:p w14:paraId="686380D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2.对举办比赛体育场相关联的风险和责任进行投保，此类保险应向受伤人员或者受损物品和财产进行合适数量赔偿。</w:t>
      </w:r>
    </w:p>
    <w:p w14:paraId="235D12D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3.为所有参赛球员购买覆盖赛事周期的人身意外伤害险和死亡险。</w:t>
      </w:r>
    </w:p>
    <w:p w14:paraId="628976AD">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4.承保训练及比赛期间的意外伤害及意外医疗保险。</w:t>
      </w:r>
    </w:p>
    <w:p w14:paraId="1BA97D1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5.每位被保险人限投一份，多投无效。</w:t>
      </w:r>
    </w:p>
    <w:p w14:paraId="6BDCB141">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6.被保险人应采取合理的预防措施，尽力避免或减少责任事故的发生。</w:t>
      </w:r>
    </w:p>
    <w:p w14:paraId="4DF36D3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7.参赛队伍同时也要为球队官员和运动员购买保险，应自行负责其运动队在赛区所有比赛中包括运动员和官员在内的保险问题（包括意外门急诊，住院和外科手术或由比赛引发的其他相关问题，如失能，失业等），且参赛队伍必须使各级政府、体育部门免遭此类起诉。</w:t>
      </w:r>
    </w:p>
    <w:p w14:paraId="149ABC60">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五、</w:t>
      </w:r>
      <w:r>
        <w:rPr>
          <w:rFonts w:ascii="仿宋_GB2312" w:hAnsi="仿宋_GB2312" w:eastAsia="仿宋_GB2312" w:cs="仿宋_GB2312"/>
          <w:b/>
          <w:sz w:val="21"/>
          <w:szCs w:val="21"/>
        </w:rPr>
        <w:t>医务</w:t>
      </w:r>
    </w:p>
    <w:p w14:paraId="6606F0A3">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比赛场地和训练场地均应提供医疗服务，并配备救护车和比赛常备药品。救护车应配AED及使用AED设备的专业医务人员，可供比赛及训练使用。比赛时，救护车应于赛前60分钟抵达赛场，至赛后30分钟离开；训练时，救护车应于训练前30分钟抵达训练场，至训练结束后30分钟离开。</w:t>
      </w:r>
    </w:p>
    <w:p w14:paraId="28980F24">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2.赛区应设指定医院，并开通就医相关绿色通道。</w:t>
      </w:r>
    </w:p>
    <w:p w14:paraId="329BB938">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六、</w:t>
      </w:r>
      <w:r>
        <w:rPr>
          <w:rFonts w:ascii="仿宋_GB2312" w:hAnsi="仿宋_GB2312" w:eastAsia="仿宋_GB2312" w:cs="仿宋_GB2312"/>
          <w:b/>
          <w:sz w:val="21"/>
          <w:szCs w:val="21"/>
        </w:rPr>
        <w:t>宣传</w:t>
      </w:r>
    </w:p>
    <w:p w14:paraId="4C16F96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承办方应成立宣传工作小组，按照要求，确定一名新闻负责人，负责赛事的相关宣传工作。赛事举行期间可根据赛事的情况向当地媒体提供相应的赛事信息和报道素材。赛事期间和全部结束后撰写赛事相关新闻稿(配比赛及活动照片)。发布市级以上宣传稿件4篇以上，各类媒介共计10篇以上。</w:t>
      </w:r>
    </w:p>
    <w:p w14:paraId="11BE472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2.承办方应组织1-2名专业摄影人员对比赛相关活动及每场赛事进行全程录像及图片拍摄，制作宣传视频不少于3条（30秒钟），拍摄的录像和数码图片应按活动名称和比赛对阵名称进行文件分类。</w:t>
      </w:r>
    </w:p>
    <w:p w14:paraId="50EFD432">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七、</w:t>
      </w:r>
      <w:r>
        <w:rPr>
          <w:rFonts w:ascii="仿宋_GB2312" w:hAnsi="仿宋_GB2312" w:eastAsia="仿宋_GB2312" w:cs="仿宋_GB2312"/>
          <w:b/>
          <w:sz w:val="21"/>
          <w:szCs w:val="21"/>
        </w:rPr>
        <w:t>秩序册</w:t>
      </w:r>
    </w:p>
    <w:p w14:paraId="6E7616FD">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1.比赛秩序册由供应商制作,秩序册制作数量可根据参赛队数量确定。秩序册内页内容应包括：</w:t>
      </w:r>
    </w:p>
    <w:p w14:paraId="53D974C3">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①秩序册目录</w:t>
      </w:r>
    </w:p>
    <w:p w14:paraId="4F1E9AC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②项目组委会人员及办事机构成员名单、竞赛官员名单</w:t>
      </w:r>
    </w:p>
    <w:p w14:paraId="3B609292">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③项目纪律委员会和仲裁委员会成员名单</w:t>
      </w:r>
    </w:p>
    <w:p w14:paraId="762DBF78">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④竞赛规程总则</w:t>
      </w:r>
    </w:p>
    <w:p w14:paraId="31E1D74C">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⑤竞赛规程</w:t>
      </w:r>
    </w:p>
    <w:p w14:paraId="298B99A2">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⑥赛事补充通知</w:t>
      </w:r>
    </w:p>
    <w:p w14:paraId="2870D8F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⑦比赛期间各项活动日程</w:t>
      </w:r>
    </w:p>
    <w:p w14:paraId="44A4F09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⑧竞赛日程</w:t>
      </w:r>
    </w:p>
    <w:p w14:paraId="16787A0A">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⑨参赛运动员名单</w:t>
      </w:r>
    </w:p>
    <w:p w14:paraId="459589C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⑩其他补充说明</w:t>
      </w:r>
    </w:p>
    <w:p w14:paraId="03C57DB1">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lang w:val="en-US" w:eastAsia="zh-CN"/>
        </w:rPr>
        <w:t>八、</w:t>
      </w:r>
      <w:r>
        <w:rPr>
          <w:rFonts w:ascii="仿宋_GB2312" w:hAnsi="仿宋_GB2312" w:eastAsia="仿宋_GB2312" w:cs="仿宋_GB2312"/>
          <w:b/>
          <w:color w:val="000000"/>
          <w:sz w:val="21"/>
          <w:szCs w:val="21"/>
        </w:rPr>
        <w:t>总结及报告</w:t>
      </w:r>
    </w:p>
    <w:p w14:paraId="00DEF7E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ascii="仿宋_GB2312" w:hAnsi="仿宋_GB2312" w:eastAsia="仿宋_GB2312" w:cs="仿宋_GB2312"/>
          <w:color w:val="000000"/>
          <w:sz w:val="21"/>
          <w:szCs w:val="21"/>
        </w:rPr>
      </w:pPr>
      <w:r>
        <w:rPr>
          <w:rFonts w:ascii="仿宋_GB2312" w:hAnsi="仿宋_GB2312" w:eastAsia="仿宋_GB2312" w:cs="仿宋_GB2312"/>
          <w:color w:val="000000"/>
          <w:sz w:val="21"/>
          <w:szCs w:val="21"/>
        </w:rPr>
        <w:t>与主办方共同对赛事活动进行总结复盘积累经验，汇总所有资料、图片、视频等，整理成册并制作图册，以便归档查阅。</w:t>
      </w:r>
    </w:p>
    <w:p w14:paraId="393692DC">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color w:val="000000"/>
          <w:sz w:val="21"/>
          <w:szCs w:val="21"/>
          <w:lang w:val="en-US" w:eastAsia="zh-CN"/>
        </w:rPr>
        <w:t>九、</w:t>
      </w:r>
      <w:r>
        <w:rPr>
          <w:rFonts w:ascii="仿宋_GB2312" w:hAnsi="仿宋_GB2312" w:eastAsia="仿宋_GB2312" w:cs="仿宋_GB2312"/>
          <w:b/>
          <w:color w:val="000000"/>
          <w:sz w:val="21"/>
          <w:szCs w:val="21"/>
        </w:rPr>
        <w:t>有关要求</w:t>
      </w:r>
    </w:p>
    <w:p w14:paraId="04D29D24">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1.做好竞赛组织各项工作；做好比赛监督、裁判监督、裁判员的选派工作。</w:t>
      </w:r>
    </w:p>
    <w:p w14:paraId="72E7CB3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2.对于在比赛中出现领队、教练员、队员有违规违纪行为，根据国家体育总局赛事相关要求和规定进行处罚。</w:t>
      </w:r>
    </w:p>
    <w:p w14:paraId="1C3A806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3.加强安全管控。各单位要压实赛事活动安全监管责任，制定针对性强、便于操作、科学合理的安全风险防控和应急救助预案，建立一体化安全责任体系，确保比赛安全有序。提高安全综合保障能力，确保配备医护人员（救护车）、购买参赛保险，提升交通安全、天气预警等综合保障水平。</w:t>
      </w:r>
    </w:p>
    <w:p w14:paraId="78069EF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4.所有项目照片、视频、文字资料档案等电子版资料备份至移动硬盘（至少1T），赛后统一提供给采购方。</w:t>
      </w:r>
    </w:p>
    <w:p w14:paraId="47CACADE">
      <w:pPr>
        <w:pStyle w:val="15"/>
      </w:pPr>
      <w:r>
        <w:rPr>
          <w:rFonts w:ascii="仿宋_GB2312" w:hAnsi="仿宋_GB2312" w:eastAsia="仿宋_GB2312" w:cs="仿宋_GB2312"/>
          <w:sz w:val="21"/>
          <w:szCs w:val="21"/>
        </w:rPr>
        <w:t>5.本规程解释权属大会组委会，未尽事宜另行通知。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672D1"/>
    <w:rsid w:val="05FD1BBE"/>
    <w:rsid w:val="06AC0A0C"/>
    <w:rsid w:val="0EC73F5E"/>
    <w:rsid w:val="0FA314C4"/>
    <w:rsid w:val="100C66D5"/>
    <w:rsid w:val="122A05F8"/>
    <w:rsid w:val="17395C7D"/>
    <w:rsid w:val="1E731794"/>
    <w:rsid w:val="240D341D"/>
    <w:rsid w:val="24422E26"/>
    <w:rsid w:val="26E7587D"/>
    <w:rsid w:val="29DF3391"/>
    <w:rsid w:val="2B780E96"/>
    <w:rsid w:val="2EA62314"/>
    <w:rsid w:val="30DB2D00"/>
    <w:rsid w:val="31F05F32"/>
    <w:rsid w:val="3465383C"/>
    <w:rsid w:val="3CB75A27"/>
    <w:rsid w:val="3D643E0C"/>
    <w:rsid w:val="3D6E74D6"/>
    <w:rsid w:val="3EC672D1"/>
    <w:rsid w:val="40CC25C5"/>
    <w:rsid w:val="4541667C"/>
    <w:rsid w:val="49787CEA"/>
    <w:rsid w:val="4AFE4EC2"/>
    <w:rsid w:val="54897A6D"/>
    <w:rsid w:val="5B6B56EA"/>
    <w:rsid w:val="5D5B6D2D"/>
    <w:rsid w:val="5DB91FC8"/>
    <w:rsid w:val="5E041700"/>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8"/>
      <w:szCs w:val="28"/>
      <w:lang w:val="en-US" w:eastAsia="zh-CN" w:bidi="ar-SA"/>
    </w:rPr>
  </w:style>
  <w:style w:type="paragraph" w:styleId="3">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4">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5">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6">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styleId="7">
    <w:name w:val="Body Text Indent"/>
    <w:basedOn w:val="1"/>
    <w:qFormat/>
    <w:uiPriority w:val="0"/>
    <w:pPr>
      <w:spacing w:after="120" w:afterLines="0" w:afterAutospacing="0"/>
      <w:ind w:left="420" w:leftChars="200"/>
    </w:pPr>
  </w:style>
  <w:style w:type="paragraph" w:styleId="8">
    <w:name w:val="Body Text First Indent 2"/>
    <w:basedOn w:val="7"/>
    <w:qFormat/>
    <w:uiPriority w:val="0"/>
    <w:pPr>
      <w:ind w:firstLine="420" w:firstLineChars="200"/>
    </w:pPr>
  </w:style>
  <w:style w:type="character" w:customStyle="1" w:styleId="11">
    <w:name w:val="标题 1 Char"/>
    <w:link w:val="3"/>
    <w:qFormat/>
    <w:uiPriority w:val="0"/>
    <w:rPr>
      <w:rFonts w:ascii="仿宋" w:hAnsi="仿宋" w:eastAsia="仿宋" w:cs="仿宋"/>
      <w:b/>
      <w:bCs/>
      <w:kern w:val="0"/>
      <w:sz w:val="44"/>
      <w:szCs w:val="44"/>
    </w:rPr>
  </w:style>
  <w:style w:type="character" w:customStyle="1" w:styleId="12">
    <w:name w:val="标题 2 Char"/>
    <w:link w:val="4"/>
    <w:uiPriority w:val="0"/>
    <w:rPr>
      <w:rFonts w:ascii="仿宋" w:hAnsi="仿宋" w:eastAsia="宋体" w:cs="宋体"/>
      <w:b/>
      <w:bCs/>
      <w:kern w:val="0"/>
      <w:sz w:val="32"/>
      <w:szCs w:val="32"/>
    </w:rPr>
  </w:style>
  <w:style w:type="character" w:customStyle="1" w:styleId="13">
    <w:name w:val="标题 3 Char"/>
    <w:link w:val="5"/>
    <w:qFormat/>
    <w:uiPriority w:val="0"/>
    <w:rPr>
      <w:rFonts w:ascii="宋体" w:hAnsi="宋体" w:eastAsia="宋体"/>
      <w:b/>
      <w:bCs/>
      <w:kern w:val="0"/>
      <w:sz w:val="28"/>
    </w:rPr>
  </w:style>
  <w:style w:type="character" w:customStyle="1" w:styleId="14">
    <w:name w:val="标题 4 Char"/>
    <w:link w:val="6"/>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2026-07-30T07:41:00Z</dcterms:created>
  <dc:creator>朱娟</dc:creator>
  <cp:lastModifiedBy>朱娟</cp:lastModifiedBy>
  <dcterms:modified xsi:type="dcterms:W3CDTF">2026-07-30T07:42:23Z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7E99C16F66B746DBA5329BC5456A6E70_11</vt:lpwstr>
  </property>
  <property fmtid="{D5CDD505-2E9C-101B-9397-08002B2CF9AE}" pid="4" name="KSOTemplateDocerSaveRecord">
    <vt:lpwstr>eyJoZGlkIjoiNmQ5YTlhOTI1MTIxMWQzZmNmMTc3YTIwMzNkYjU1MDciLCJ1c2VySWQiOiIyMDIwODMyODIifQ==</vt:lpwstr>
  </property>
</Properties>
</file>