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30CB3">
      <w:pPr>
        <w:jc w:val="center"/>
        <w:rPr>
          <w:rFonts w:hint="eastAsia" w:ascii="宋体" w:hAnsi="宋体" w:eastAsia="宋体" w:cs="宋体"/>
          <w:b/>
          <w:bCs/>
          <w:color w:val="auto"/>
          <w:sz w:val="44"/>
          <w:szCs w:val="44"/>
          <w:highlight w:val="none"/>
        </w:rPr>
      </w:pPr>
    </w:p>
    <w:p w14:paraId="15230CB4">
      <w:pPr>
        <w:jc w:val="center"/>
        <w:rPr>
          <w:rFonts w:hint="eastAsia" w:ascii="宋体" w:hAnsi="宋体" w:eastAsia="宋体" w:cs="宋体"/>
          <w:b/>
          <w:bCs/>
          <w:color w:val="auto"/>
          <w:sz w:val="44"/>
          <w:szCs w:val="44"/>
          <w:highlight w:val="none"/>
        </w:rPr>
      </w:pPr>
    </w:p>
    <w:p w14:paraId="15230CB5">
      <w:pPr>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西安市胸科医院</w:t>
      </w:r>
    </w:p>
    <w:p w14:paraId="15230CB6">
      <w:pPr>
        <w:spacing w:after="120"/>
        <w:jc w:val="center"/>
        <w:rPr>
          <w:rFonts w:hint="eastAsia" w:ascii="宋体" w:hAnsi="宋体" w:eastAsia="宋体" w:cs="宋体"/>
          <w:color w:val="auto"/>
          <w:highlight w:val="none"/>
        </w:rPr>
      </w:pPr>
      <w:r>
        <w:rPr>
          <w:rFonts w:hint="eastAsia" w:ascii="宋体" w:hAnsi="宋体" w:eastAsia="宋体" w:cs="宋体"/>
          <w:b/>
          <w:bCs/>
          <w:color w:val="auto"/>
          <w:sz w:val="44"/>
          <w:szCs w:val="44"/>
          <w:highlight w:val="none"/>
        </w:rPr>
        <w:t>墨盒硒鼓纸制品采购项目</w:t>
      </w:r>
    </w:p>
    <w:p w14:paraId="15230CB7">
      <w:pPr>
        <w:rPr>
          <w:rFonts w:hint="eastAsia" w:ascii="宋体" w:hAnsi="宋体" w:eastAsia="宋体" w:cs="宋体"/>
          <w:color w:val="auto"/>
          <w:sz w:val="24"/>
          <w:szCs w:val="20"/>
          <w:highlight w:val="none"/>
        </w:rPr>
      </w:pPr>
    </w:p>
    <w:p w14:paraId="15230CB8">
      <w:pPr>
        <w:spacing w:after="120"/>
        <w:rPr>
          <w:rFonts w:hint="eastAsia" w:ascii="宋体" w:hAnsi="宋体" w:eastAsia="宋体" w:cs="宋体"/>
          <w:color w:val="auto"/>
          <w:highlight w:val="none"/>
        </w:rPr>
      </w:pPr>
    </w:p>
    <w:p w14:paraId="15230CB9">
      <w:pPr>
        <w:spacing w:after="120"/>
        <w:rPr>
          <w:rFonts w:hint="eastAsia" w:ascii="宋体" w:hAnsi="宋体" w:eastAsia="宋体" w:cs="宋体"/>
          <w:color w:val="auto"/>
          <w:highlight w:val="none"/>
        </w:rPr>
      </w:pPr>
    </w:p>
    <w:p w14:paraId="15230CBA">
      <w:pPr>
        <w:rPr>
          <w:rFonts w:hint="eastAsia" w:ascii="宋体" w:hAnsi="宋体" w:eastAsia="宋体" w:cs="宋体"/>
          <w:color w:val="auto"/>
          <w:sz w:val="24"/>
          <w:szCs w:val="20"/>
          <w:highlight w:val="none"/>
        </w:rPr>
      </w:pPr>
    </w:p>
    <w:p w14:paraId="15230CBB">
      <w:pPr>
        <w:spacing w:before="120" w:line="360"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 xml:space="preserve"> 政 府 采 购 合 同</w:t>
      </w:r>
    </w:p>
    <w:p w14:paraId="15230CBC">
      <w:pPr>
        <w:spacing w:before="120" w:line="360" w:lineRule="auto"/>
        <w:ind w:firstLine="2811" w:firstLineChars="1000"/>
        <w:rPr>
          <w:rFonts w:hint="eastAsia" w:ascii="宋体" w:hAnsi="宋体" w:eastAsia="宋体" w:cs="宋体"/>
          <w:color w:val="auto"/>
          <w:sz w:val="28"/>
          <w:szCs w:val="28"/>
          <w:highlight w:val="none"/>
        </w:rPr>
      </w:pPr>
      <w:bookmarkStart w:id="0" w:name="_Toc109542396"/>
      <w:bookmarkStart w:id="1" w:name="_Toc109543216"/>
      <w:r>
        <w:rPr>
          <w:rFonts w:hint="eastAsia" w:ascii="宋体" w:hAnsi="宋体" w:eastAsia="宋体" w:cs="宋体"/>
          <w:b/>
          <w:bCs/>
          <w:color w:val="auto"/>
          <w:sz w:val="28"/>
          <w:szCs w:val="28"/>
          <w:highlight w:val="none"/>
        </w:rPr>
        <w:t>合同编号：</w:t>
      </w:r>
      <w:bookmarkEnd w:id="0"/>
      <w:bookmarkEnd w:id="1"/>
    </w:p>
    <w:p w14:paraId="15230CBD">
      <w:pPr>
        <w:spacing w:before="120" w:line="360" w:lineRule="auto"/>
        <w:rPr>
          <w:rFonts w:hint="eastAsia" w:ascii="宋体" w:hAnsi="宋体" w:eastAsia="宋体" w:cs="宋体"/>
          <w:b/>
          <w:bCs/>
          <w:color w:val="auto"/>
          <w:sz w:val="28"/>
          <w:szCs w:val="28"/>
          <w:highlight w:val="none"/>
        </w:rPr>
      </w:pPr>
    </w:p>
    <w:p w14:paraId="15230CBE">
      <w:pPr>
        <w:spacing w:before="120" w:line="360" w:lineRule="auto"/>
        <w:rPr>
          <w:rFonts w:hint="eastAsia" w:ascii="宋体" w:hAnsi="宋体" w:eastAsia="宋体" w:cs="宋体"/>
          <w:b/>
          <w:bCs/>
          <w:color w:val="auto"/>
          <w:sz w:val="28"/>
          <w:szCs w:val="28"/>
          <w:highlight w:val="none"/>
        </w:rPr>
      </w:pPr>
    </w:p>
    <w:p w14:paraId="15230CBF">
      <w:pPr>
        <w:spacing w:after="120"/>
        <w:rPr>
          <w:rFonts w:hint="eastAsia" w:ascii="宋体" w:hAnsi="宋体" w:eastAsia="宋体" w:cs="宋体"/>
          <w:color w:val="auto"/>
          <w:highlight w:val="none"/>
        </w:rPr>
      </w:pPr>
    </w:p>
    <w:p w14:paraId="15230CC0">
      <w:pPr>
        <w:rPr>
          <w:rFonts w:ascii="Times New Roman" w:hAnsi="Times New Roman" w:eastAsia="宋体" w:cs="Times New Roman"/>
          <w:color w:val="auto"/>
          <w:sz w:val="24"/>
          <w:szCs w:val="20"/>
          <w:highlight w:val="none"/>
        </w:rPr>
      </w:pPr>
    </w:p>
    <w:p w14:paraId="15230CC1">
      <w:pPr>
        <w:rPr>
          <w:rFonts w:hint="eastAsia" w:ascii="宋体" w:hAnsi="宋体" w:eastAsia="宋体" w:cs="宋体"/>
          <w:color w:val="auto"/>
          <w:sz w:val="24"/>
          <w:szCs w:val="20"/>
          <w:highlight w:val="none"/>
        </w:rPr>
      </w:pPr>
    </w:p>
    <w:p w14:paraId="15230CC2">
      <w:pPr>
        <w:jc w:val="center"/>
        <w:rPr>
          <w:rFonts w:hint="eastAsia" w:ascii="宋体" w:hAnsi="宋体" w:eastAsia="宋体" w:cs="宋体"/>
          <w:b/>
          <w:color w:val="auto"/>
          <w:sz w:val="24"/>
          <w:szCs w:val="20"/>
          <w:highlight w:val="none"/>
        </w:rPr>
      </w:pPr>
    </w:p>
    <w:p w14:paraId="15230CC3">
      <w:pPr>
        <w:ind w:firstLine="1927" w:firstLineChars="600"/>
        <w:rPr>
          <w:rFonts w:hint="eastAsia" w:ascii="宋体" w:hAnsi="宋体" w:eastAsia="宋体" w:cs="宋体"/>
          <w:b/>
          <w:color w:val="auto"/>
          <w:spacing w:val="20"/>
          <w:sz w:val="28"/>
          <w:szCs w:val="28"/>
          <w:highlight w:val="none"/>
        </w:rPr>
      </w:pPr>
      <w:r>
        <w:rPr>
          <w:rFonts w:hint="eastAsia" w:ascii="宋体" w:hAnsi="宋体" w:eastAsia="宋体" w:cs="宋体"/>
          <w:b/>
          <w:color w:val="auto"/>
          <w:spacing w:val="20"/>
          <w:sz w:val="28"/>
          <w:szCs w:val="28"/>
          <w:highlight w:val="none"/>
        </w:rPr>
        <w:t>甲方：西安市胸科医院</w:t>
      </w:r>
    </w:p>
    <w:p w14:paraId="15230CC4">
      <w:pPr>
        <w:rPr>
          <w:rFonts w:hint="eastAsia" w:ascii="宋体" w:hAnsi="宋体" w:eastAsia="宋体" w:cs="宋体"/>
          <w:b/>
          <w:color w:val="auto"/>
          <w:sz w:val="28"/>
          <w:szCs w:val="28"/>
          <w:highlight w:val="none"/>
        </w:rPr>
      </w:pPr>
    </w:p>
    <w:p w14:paraId="15230CC5">
      <w:pPr>
        <w:ind w:firstLine="1968" w:firstLineChars="7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乙方：</w:t>
      </w:r>
    </w:p>
    <w:p w14:paraId="15230CC6">
      <w:pPr>
        <w:ind w:left="2100" w:leftChars="1000"/>
        <w:rPr>
          <w:rFonts w:hint="eastAsia" w:ascii="宋体" w:hAnsi="宋体" w:eastAsia="宋体" w:cs="宋体"/>
          <w:b/>
          <w:color w:val="auto"/>
          <w:sz w:val="28"/>
          <w:szCs w:val="28"/>
          <w:highlight w:val="none"/>
        </w:rPr>
      </w:pPr>
    </w:p>
    <w:p w14:paraId="15230CC7">
      <w:pPr>
        <w:rPr>
          <w:rFonts w:hint="eastAsia" w:ascii="宋体" w:hAnsi="宋体" w:eastAsia="宋体" w:cs="宋体"/>
          <w:b/>
          <w:color w:val="auto"/>
          <w:sz w:val="24"/>
          <w:szCs w:val="20"/>
          <w:highlight w:val="none"/>
        </w:rPr>
      </w:pPr>
    </w:p>
    <w:p w14:paraId="15230CC8">
      <w:pPr>
        <w:rPr>
          <w:rFonts w:hint="eastAsia" w:ascii="宋体" w:hAnsi="宋体" w:eastAsia="宋体" w:cs="宋体"/>
          <w:b/>
          <w:color w:val="auto"/>
          <w:spacing w:val="20"/>
          <w:sz w:val="28"/>
          <w:szCs w:val="20"/>
          <w:highlight w:val="none"/>
        </w:rPr>
      </w:pPr>
      <w:r>
        <w:rPr>
          <w:rFonts w:hint="eastAsia" w:ascii="宋体" w:hAnsi="宋体" w:eastAsia="宋体" w:cs="宋体"/>
          <w:b/>
          <w:color w:val="auto"/>
          <w:spacing w:val="20"/>
          <w:sz w:val="28"/>
          <w:szCs w:val="20"/>
          <w:highlight w:val="none"/>
        </w:rPr>
        <w:t xml:space="preserve">           签订时间：二零二六年  月   日</w:t>
      </w:r>
    </w:p>
    <w:p w14:paraId="15230CC9">
      <w:pPr>
        <w:spacing w:line="480" w:lineRule="exact"/>
        <w:ind w:firstLine="480" w:firstLineChars="200"/>
        <w:rPr>
          <w:rFonts w:hint="eastAsia" w:ascii="宋体" w:hAnsi="宋体" w:eastAsia="宋体" w:cs="宋体"/>
          <w:bCs/>
          <w:color w:val="auto"/>
          <w:sz w:val="24"/>
          <w:szCs w:val="20"/>
          <w:highlight w:val="none"/>
        </w:rPr>
      </w:pPr>
    </w:p>
    <w:p w14:paraId="15230CCA">
      <w:pPr>
        <w:rPr>
          <w:rFonts w:hint="eastAsia" w:ascii="宋体" w:hAnsi="宋体" w:eastAsia="宋体" w:cs="宋体"/>
          <w:color w:val="auto"/>
          <w:sz w:val="24"/>
          <w:szCs w:val="20"/>
          <w:highlight w:val="none"/>
        </w:rPr>
      </w:pPr>
      <w:bookmarkStart w:id="2" w:name="_Hlk196858655"/>
    </w:p>
    <w:bookmarkEnd w:id="2"/>
    <w:p w14:paraId="5C842ECB">
      <w:pPr>
        <w:pStyle w:val="78"/>
        <w:pageBreakBefore/>
        <w:spacing w:beforeLines="0" w:after="545" w:afterLines="0"/>
        <w:jc w:val="center"/>
        <w:rPr>
          <w:rFonts w:hint="eastAsia" w:ascii="黑体" w:hAnsi="黑体" w:eastAsia="黑体"/>
          <w:color w:val="auto"/>
          <w:sz w:val="36"/>
          <w:szCs w:val="24"/>
          <w:highlight w:val="none"/>
        </w:rPr>
      </w:pPr>
      <w:r>
        <w:rPr>
          <w:rFonts w:hint="eastAsia" w:ascii="黑体" w:hAnsi="黑体" w:eastAsia="黑体"/>
          <w:color w:val="auto"/>
          <w:sz w:val="36"/>
          <w:szCs w:val="24"/>
          <w:highlight w:val="none"/>
          <w:lang w:eastAsia="zh-CN"/>
        </w:rPr>
        <w:t>供货</w:t>
      </w:r>
      <w:r>
        <w:rPr>
          <w:rFonts w:hint="eastAsia" w:ascii="黑体" w:hAnsi="黑体" w:eastAsia="黑体"/>
          <w:color w:val="auto"/>
          <w:sz w:val="36"/>
          <w:szCs w:val="24"/>
          <w:highlight w:val="none"/>
        </w:rPr>
        <w:t>合同</w:t>
      </w:r>
    </w:p>
    <w:p w14:paraId="26685C66">
      <w:pPr>
        <w:pStyle w:val="80"/>
        <w:spacing w:beforeLines="0" w:after="252" w:afterLines="0"/>
        <w:ind w:left="560"/>
        <w:rPr>
          <w:rFonts w:hint="eastAsia" w:ascii="仿宋_GB2312" w:hAnsi="仿宋_GB2312" w:eastAsia="仿宋_GB2312" w:cs="仿宋_GB2312"/>
          <w:color w:val="auto"/>
          <w:sz w:val="20"/>
          <w:szCs w:val="20"/>
          <w:highlight w:val="none"/>
          <w:u w:val="single"/>
          <w:lang w:val="en-US" w:eastAsia="zh-Hans"/>
        </w:rPr>
      </w:pPr>
      <w:r>
        <w:rPr>
          <w:rFonts w:hint="eastAsia" w:ascii="仿宋_GB2312" w:hAnsi="仿宋_GB2312" w:eastAsia="仿宋_GB2312" w:cs="仿宋_GB2312"/>
          <w:color w:val="auto"/>
          <w:sz w:val="20"/>
          <w:szCs w:val="20"/>
          <w:highlight w:val="none"/>
          <w:lang w:val="en-US" w:eastAsia="zh-Hans"/>
        </w:rPr>
        <w:t>甲方（采购人）：</w:t>
      </w:r>
      <w:r>
        <w:rPr>
          <w:rFonts w:hint="eastAsia" w:ascii="仿宋_GB2312" w:hAnsi="仿宋_GB2312" w:eastAsia="仿宋_GB2312" w:cs="仿宋_GB2312"/>
          <w:color w:val="auto"/>
          <w:sz w:val="20"/>
          <w:szCs w:val="20"/>
          <w:highlight w:val="none"/>
          <w:u w:val="single"/>
          <w:lang w:val="en-US" w:eastAsia="zh-Hans"/>
        </w:rPr>
        <w:t>西安市胸科医院</w:t>
      </w:r>
    </w:p>
    <w:p w14:paraId="4EB02AC3">
      <w:pPr>
        <w:pStyle w:val="81"/>
        <w:spacing w:beforeLines="0" w:after="197" w:afterLines="0"/>
        <w:ind w:left="560"/>
        <w:rPr>
          <w:rFonts w:hint="eastAsia" w:ascii="仿宋_GB2312" w:hAnsi="仿宋_GB2312" w:eastAsia="仿宋_GB2312" w:cs="仿宋_GB2312"/>
          <w:color w:val="auto"/>
          <w:sz w:val="20"/>
          <w:szCs w:val="20"/>
          <w:highlight w:val="none"/>
          <w:u w:val="single"/>
          <w:lang w:val="en-US" w:eastAsia="zh-CN"/>
        </w:rPr>
      </w:pPr>
      <w:r>
        <w:rPr>
          <w:rFonts w:hint="eastAsia" w:ascii="仿宋_GB2312" w:hAnsi="仿宋_GB2312" w:eastAsia="仿宋_GB2312" w:cs="仿宋_GB2312"/>
          <w:color w:val="auto"/>
          <w:sz w:val="20"/>
          <w:szCs w:val="20"/>
          <w:highlight w:val="none"/>
          <w:lang w:val="en-US" w:eastAsia="zh-Hans"/>
        </w:rPr>
        <w:t>乙方（供应商）：</w:t>
      </w:r>
      <w:r>
        <w:rPr>
          <w:rFonts w:hint="eastAsia" w:ascii="仿宋_GB2312" w:hAnsi="仿宋_GB2312" w:eastAsia="仿宋_GB2312" w:cs="仿宋_GB2312"/>
          <w:color w:val="auto"/>
          <w:sz w:val="20"/>
          <w:szCs w:val="20"/>
          <w:highlight w:val="none"/>
          <w:u w:val="single"/>
          <w:lang w:val="en-US" w:eastAsia="zh-CN"/>
        </w:rPr>
        <w:t xml:space="preserve">                  </w:t>
      </w:r>
    </w:p>
    <w:p w14:paraId="550789A0">
      <w:pPr>
        <w:pStyle w:val="81"/>
        <w:spacing w:beforeLines="0" w:after="197" w:afterLines="0"/>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一、交货条件：</w:t>
      </w:r>
    </w:p>
    <w:p w14:paraId="6E009D50">
      <w:pPr>
        <w:pStyle w:val="81"/>
        <w:keepNext w:val="0"/>
        <w:keepLines w:val="0"/>
        <w:pageBreakBefore w:val="0"/>
        <w:widowControl w:val="0"/>
        <w:numPr>
          <w:ilvl w:val="0"/>
          <w:numId w:val="1"/>
        </w:numPr>
        <w:kinsoku/>
        <w:wordWrap/>
        <w:overflowPunct/>
        <w:topLinePunct w:val="0"/>
        <w:autoSpaceDE w:val="0"/>
        <w:autoSpaceDN w:val="0"/>
        <w:bidi w:val="0"/>
        <w:adjustRightInd w:val="0"/>
        <w:snapToGrid/>
        <w:spacing w:beforeLines="0" w:after="197" w:afterLines="0" w:line="340" w:lineRule="exact"/>
        <w:ind w:leftChars="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交货地点：甲方指定地点。</w:t>
      </w:r>
    </w:p>
    <w:p w14:paraId="45B199B8">
      <w:pPr>
        <w:pStyle w:val="81"/>
        <w:keepNext w:val="0"/>
        <w:keepLines w:val="0"/>
        <w:pageBreakBefore w:val="0"/>
        <w:widowControl w:val="0"/>
        <w:numPr>
          <w:ilvl w:val="0"/>
          <w:numId w:val="1"/>
        </w:numPr>
        <w:kinsoku/>
        <w:wordWrap/>
        <w:overflowPunct/>
        <w:topLinePunct w:val="0"/>
        <w:autoSpaceDE w:val="0"/>
        <w:autoSpaceDN w:val="0"/>
        <w:bidi w:val="0"/>
        <w:adjustRightInd w:val="0"/>
        <w:snapToGrid/>
        <w:spacing w:beforeLines="0" w:after="197" w:afterLines="0" w:line="340" w:lineRule="exact"/>
        <w:ind w:leftChars="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合同有效期：1年，以双方签订合同时约定的起止时间为准，</w:t>
      </w:r>
      <w:r>
        <w:rPr>
          <w:rFonts w:hint="eastAsia" w:ascii="仿宋_GB2312" w:hAnsi="仿宋_GB2312" w:eastAsia="仿宋_GB2312" w:cs="仿宋_GB2312"/>
          <w:color w:val="auto"/>
          <w:sz w:val="20"/>
          <w:szCs w:val="20"/>
          <w:highlight w:val="none"/>
          <w:lang w:val="en-US" w:eastAsia="zh-CN"/>
        </w:rPr>
        <w:t>若合同履行期间累计结算金额达到采购预算总额（即人民币50万元）时，本合同自动终止</w:t>
      </w:r>
      <w:r>
        <w:rPr>
          <w:rFonts w:hint="eastAsia" w:ascii="仿宋_GB2312" w:hAnsi="仿宋_GB2312" w:eastAsia="仿宋_GB2312" w:cs="仿宋_GB2312"/>
          <w:color w:val="auto"/>
          <w:sz w:val="20"/>
          <w:szCs w:val="20"/>
          <w:highlight w:val="none"/>
          <w:lang w:val="en-US" w:eastAsia="zh-Hans"/>
        </w:rPr>
        <w:t>。</w:t>
      </w:r>
    </w:p>
    <w:p w14:paraId="7C10D60D">
      <w:pPr>
        <w:pStyle w:val="81"/>
        <w:keepNext w:val="0"/>
        <w:keepLines w:val="0"/>
        <w:pageBreakBefore w:val="0"/>
        <w:widowControl w:val="0"/>
        <w:numPr>
          <w:ilvl w:val="0"/>
          <w:numId w:val="1"/>
        </w:numPr>
        <w:kinsoku/>
        <w:wordWrap/>
        <w:overflowPunct/>
        <w:topLinePunct w:val="0"/>
        <w:autoSpaceDE w:val="0"/>
        <w:autoSpaceDN w:val="0"/>
        <w:bidi w:val="0"/>
        <w:adjustRightInd w:val="0"/>
        <w:snapToGrid/>
        <w:spacing w:beforeLines="0" w:after="197" w:afterLines="0" w:line="340" w:lineRule="exact"/>
        <w:ind w:leftChars="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交货时间：收到供货需求后，</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lang w:val="en-US" w:eastAsia="zh-CN"/>
        </w:rPr>
        <w:t>小时</w:t>
      </w:r>
      <w:r>
        <w:rPr>
          <w:rFonts w:hint="eastAsia" w:ascii="仿宋_GB2312" w:hAnsi="仿宋_GB2312" w:eastAsia="仿宋_GB2312" w:cs="仿宋_GB2312"/>
          <w:color w:val="auto"/>
          <w:sz w:val="20"/>
          <w:szCs w:val="20"/>
          <w:highlight w:val="none"/>
          <w:lang w:val="en-US" w:eastAsia="zh-Hans"/>
        </w:rPr>
        <w:t>内响应，</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lang w:val="en-US" w:eastAsia="zh-Hans"/>
        </w:rPr>
        <w:t>个工作日到货</w:t>
      </w:r>
      <w:r>
        <w:rPr>
          <w:rFonts w:hint="eastAsia" w:ascii="仿宋_GB2312" w:hAnsi="仿宋_GB2312" w:eastAsia="仿宋_GB2312" w:cs="仿宋_GB2312"/>
          <w:color w:val="auto"/>
          <w:sz w:val="20"/>
          <w:szCs w:val="20"/>
          <w:highlight w:val="none"/>
          <w:lang w:val="en-US" w:eastAsia="zh-CN"/>
        </w:rPr>
        <w:t>，</w:t>
      </w:r>
      <w:r>
        <w:rPr>
          <w:rFonts w:hint="eastAsia" w:ascii="仿宋" w:hAnsi="仿宋" w:eastAsia="仿宋" w:cs="仿宋"/>
          <w:color w:val="auto"/>
          <w:sz w:val="20"/>
          <w:szCs w:val="20"/>
          <w:highlight w:val="none"/>
        </w:rPr>
        <w:t>供货品出现质量问题的应在</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小时内无条件退还并承担退还费用。若供应商未按以上要求供货到位，并处以每次5000元违约罚款</w:t>
      </w:r>
      <w:r>
        <w:rPr>
          <w:rFonts w:hint="eastAsia" w:ascii="仿宋_GB2312" w:hAnsi="仿宋_GB2312" w:eastAsia="仿宋_GB2312" w:cs="仿宋_GB2312"/>
          <w:color w:val="auto"/>
          <w:sz w:val="20"/>
          <w:szCs w:val="20"/>
          <w:highlight w:val="none"/>
          <w:lang w:val="en-US" w:eastAsia="zh-Hans"/>
        </w:rPr>
        <w:t>。</w:t>
      </w:r>
    </w:p>
    <w:p w14:paraId="4EBF24B5">
      <w:pPr>
        <w:pStyle w:val="81"/>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197" w:afterLines="0" w:line="380" w:lineRule="exact"/>
        <w:ind w:left="0" w:leftChars="0" w:firstLine="0" w:firstLineChars="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二、合同价款</w:t>
      </w:r>
    </w:p>
    <w:p w14:paraId="2F85D3C4">
      <w:pPr>
        <w:pStyle w:val="81"/>
        <w:keepNext w:val="0"/>
        <w:keepLines w:val="0"/>
        <w:pageBreakBefore w:val="0"/>
        <w:widowControl w:val="0"/>
        <w:numPr>
          <w:ilvl w:val="0"/>
          <w:numId w:val="2"/>
        </w:numPr>
        <w:kinsoku/>
        <w:wordWrap/>
        <w:overflowPunct/>
        <w:topLinePunct w:val="0"/>
        <w:autoSpaceDE w:val="0"/>
        <w:autoSpaceDN w:val="0"/>
        <w:bidi w:val="0"/>
        <w:adjustRightInd w:val="0"/>
        <w:snapToGrid/>
        <w:spacing w:beforeLines="0" w:after="197" w:afterLines="0" w:line="380" w:lineRule="exact"/>
        <w:ind w:leftChars="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本项目要求报商品单价。单价一次包死，单价包括供应费、税费、运杂费和其他费用</w:t>
      </w:r>
      <w:r>
        <w:rPr>
          <w:rFonts w:hint="eastAsia" w:ascii="仿宋_GB2312" w:hAnsi="仿宋_GB2312" w:eastAsia="仿宋_GB2312" w:cs="仿宋_GB2312"/>
          <w:color w:val="auto"/>
          <w:sz w:val="20"/>
          <w:szCs w:val="20"/>
          <w:highlight w:val="none"/>
          <w:lang w:val="en-US" w:eastAsia="zh-CN"/>
        </w:rPr>
        <w:t>等乙方履行合同义务所需的一切费用</w:t>
      </w:r>
      <w:r>
        <w:rPr>
          <w:rFonts w:hint="eastAsia" w:ascii="仿宋_GB2312" w:hAnsi="仿宋_GB2312" w:eastAsia="仿宋_GB2312" w:cs="仿宋_GB2312"/>
          <w:color w:val="auto"/>
          <w:sz w:val="20"/>
          <w:szCs w:val="20"/>
          <w:highlight w:val="none"/>
          <w:lang w:val="en-US" w:eastAsia="zh-Hans"/>
        </w:rPr>
        <w:t>，并按规定要求开具国家正式发票。如有遗漏，视为已包含在内。</w:t>
      </w:r>
    </w:p>
    <w:p w14:paraId="4D38DFF9">
      <w:pPr>
        <w:pStyle w:val="81"/>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197" w:afterLines="0" w:line="38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（二）最终</w:t>
      </w:r>
      <w:r>
        <w:rPr>
          <w:rFonts w:hint="eastAsia" w:ascii="仿宋_GB2312" w:hAnsi="仿宋_GB2312" w:eastAsia="仿宋_GB2312" w:cs="仿宋_GB2312"/>
          <w:color w:val="auto"/>
          <w:sz w:val="20"/>
          <w:szCs w:val="20"/>
          <w:highlight w:val="none"/>
          <w:lang w:val="en-US" w:eastAsia="zh-CN"/>
        </w:rPr>
        <w:t>结算</w:t>
      </w:r>
      <w:r>
        <w:rPr>
          <w:rFonts w:hint="eastAsia" w:ascii="仿宋_GB2312" w:hAnsi="仿宋_GB2312" w:eastAsia="仿宋_GB2312" w:cs="仿宋_GB2312"/>
          <w:color w:val="auto"/>
          <w:sz w:val="20"/>
          <w:szCs w:val="20"/>
          <w:highlight w:val="none"/>
          <w:lang w:val="en-US" w:eastAsia="zh-Hans"/>
        </w:rPr>
        <w:t>以实际采购数量为准，最终结算金额不得超过本次项目总预算。</w:t>
      </w:r>
    </w:p>
    <w:p w14:paraId="6A7636DC">
      <w:pPr>
        <w:pStyle w:val="82"/>
        <w:keepNext w:val="0"/>
        <w:keepLines w:val="0"/>
        <w:pageBreakBefore w:val="0"/>
        <w:widowControl w:val="0"/>
        <w:kinsoku/>
        <w:wordWrap/>
        <w:overflowPunct/>
        <w:topLinePunct w:val="0"/>
        <w:autoSpaceDE w:val="0"/>
        <w:autoSpaceDN w:val="0"/>
        <w:bidi w:val="0"/>
        <w:adjustRightInd w:val="0"/>
        <w:snapToGrid/>
        <w:spacing w:beforeLines="0" w:afterLines="0" w:line="38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三、款项结算</w:t>
      </w:r>
    </w:p>
    <w:p w14:paraId="65D5856A">
      <w:pPr>
        <w:spacing w:line="460" w:lineRule="exact"/>
        <w:rPr>
          <w:rFonts w:hint="eastAsia" w:ascii="仿宋" w:hAnsi="仿宋" w:eastAsia="仿宋" w:cs="仿宋"/>
          <w:color w:val="auto"/>
          <w:sz w:val="20"/>
          <w:szCs w:val="20"/>
          <w:highlight w:val="none"/>
        </w:rPr>
      </w:pPr>
      <w:r>
        <w:rPr>
          <w:rFonts w:hint="eastAsia" w:ascii="仿宋_GB2312" w:hAnsi="仿宋_GB2312" w:eastAsia="仿宋_GB2312" w:cs="仿宋_GB2312"/>
          <w:color w:val="auto"/>
          <w:sz w:val="20"/>
          <w:szCs w:val="20"/>
          <w:highlight w:val="none"/>
          <w:lang w:val="en-US" w:eastAsia="zh-Hans"/>
        </w:rPr>
        <w:t>（一）每月结算一次。</w:t>
      </w:r>
      <w:r>
        <w:rPr>
          <w:rFonts w:hint="eastAsia" w:ascii="仿宋_GB2312" w:hAnsi="仿宋_GB2312" w:eastAsia="仿宋_GB2312" w:cs="仿宋_GB2312"/>
          <w:color w:val="auto"/>
          <w:sz w:val="20"/>
          <w:szCs w:val="20"/>
          <w:highlight w:val="none"/>
          <w:lang w:val="en-US" w:eastAsia="zh-CN"/>
        </w:rPr>
        <w:t>甲方</w:t>
      </w:r>
      <w:r>
        <w:rPr>
          <w:rFonts w:hint="eastAsia" w:ascii="仿宋" w:hAnsi="仿宋" w:eastAsia="仿宋" w:cs="仿宋"/>
          <w:color w:val="auto"/>
          <w:sz w:val="20"/>
          <w:szCs w:val="20"/>
          <w:highlight w:val="none"/>
        </w:rPr>
        <w:t>收到货物且验收入库后，货款</w:t>
      </w:r>
      <w:r>
        <w:rPr>
          <w:rFonts w:hint="eastAsia" w:ascii="仿宋" w:hAnsi="仿宋" w:eastAsia="仿宋" w:cs="仿宋"/>
          <w:color w:val="auto"/>
          <w:sz w:val="20"/>
          <w:szCs w:val="20"/>
          <w:highlight w:val="none"/>
          <w:lang w:eastAsia="zh-CN"/>
        </w:rPr>
        <w:t>每月</w:t>
      </w:r>
      <w:r>
        <w:rPr>
          <w:rFonts w:hint="eastAsia" w:ascii="仿宋" w:hAnsi="仿宋" w:eastAsia="仿宋" w:cs="仿宋"/>
          <w:color w:val="auto"/>
          <w:sz w:val="20"/>
          <w:szCs w:val="20"/>
          <w:highlight w:val="none"/>
        </w:rPr>
        <w:t>据实结算，</w:t>
      </w:r>
      <w:r>
        <w:rPr>
          <w:rFonts w:hint="eastAsia" w:ascii="仿宋" w:hAnsi="仿宋" w:eastAsia="仿宋" w:cs="仿宋"/>
          <w:color w:val="auto"/>
          <w:sz w:val="20"/>
          <w:szCs w:val="20"/>
          <w:highlight w:val="none"/>
          <w:lang w:val="en-US" w:eastAsia="zh-Hans"/>
        </w:rPr>
        <w:t>乙方</w:t>
      </w:r>
      <w:r>
        <w:rPr>
          <w:rFonts w:hint="eastAsia" w:ascii="仿宋" w:hAnsi="仿宋" w:eastAsia="仿宋" w:cs="仿宋"/>
          <w:color w:val="auto"/>
          <w:sz w:val="20"/>
          <w:szCs w:val="20"/>
          <w:highlight w:val="none"/>
        </w:rPr>
        <w:t>根据实际供货数量计算该</w:t>
      </w:r>
      <w:r>
        <w:rPr>
          <w:rFonts w:hint="eastAsia" w:ascii="仿宋" w:hAnsi="仿宋" w:eastAsia="仿宋" w:cs="仿宋"/>
          <w:color w:val="auto"/>
          <w:sz w:val="20"/>
          <w:szCs w:val="20"/>
          <w:highlight w:val="none"/>
          <w:lang w:eastAsia="zh-CN"/>
        </w:rPr>
        <w:t>月</w:t>
      </w:r>
      <w:r>
        <w:rPr>
          <w:rFonts w:hint="eastAsia" w:ascii="仿宋" w:hAnsi="仿宋" w:eastAsia="仿宋" w:cs="仿宋"/>
          <w:color w:val="auto"/>
          <w:sz w:val="20"/>
          <w:szCs w:val="20"/>
          <w:highlight w:val="none"/>
        </w:rPr>
        <w:t>结算金额并开具</w:t>
      </w:r>
      <w:r>
        <w:rPr>
          <w:rFonts w:hint="eastAsia" w:ascii="仿宋" w:hAnsi="仿宋" w:eastAsia="仿宋" w:cs="仿宋"/>
          <w:color w:val="auto"/>
          <w:sz w:val="20"/>
          <w:szCs w:val="20"/>
          <w:highlight w:val="none"/>
          <w:lang w:eastAsia="zh-CN"/>
        </w:rPr>
        <w:t>相应金额正规</w:t>
      </w:r>
      <w:r>
        <w:rPr>
          <w:rFonts w:hint="eastAsia" w:ascii="仿宋" w:hAnsi="仿宋" w:eastAsia="仿宋" w:cs="仿宋"/>
          <w:color w:val="auto"/>
          <w:sz w:val="20"/>
          <w:szCs w:val="20"/>
          <w:highlight w:val="none"/>
        </w:rPr>
        <w:t>发票，经</w:t>
      </w:r>
      <w:r>
        <w:rPr>
          <w:rFonts w:hint="eastAsia" w:ascii="仿宋" w:hAnsi="仿宋" w:eastAsia="仿宋" w:cs="仿宋"/>
          <w:color w:val="auto"/>
          <w:sz w:val="20"/>
          <w:szCs w:val="20"/>
          <w:highlight w:val="none"/>
          <w:lang w:eastAsia="zh-CN"/>
        </w:rPr>
        <w:t>甲方审核无误后，按</w:t>
      </w:r>
      <w:r>
        <w:rPr>
          <w:rFonts w:hint="eastAsia" w:ascii="仿宋" w:hAnsi="仿宋" w:eastAsia="仿宋" w:cs="仿宋"/>
          <w:color w:val="auto"/>
          <w:sz w:val="20"/>
          <w:szCs w:val="20"/>
          <w:highlight w:val="none"/>
          <w:lang w:val="en-US" w:eastAsia="zh-Hans"/>
        </w:rPr>
        <w:t>甲方相关财务</w:t>
      </w:r>
      <w:r>
        <w:rPr>
          <w:rFonts w:hint="eastAsia" w:ascii="仿宋" w:hAnsi="仿宋" w:eastAsia="仿宋" w:cs="仿宋"/>
          <w:color w:val="auto"/>
          <w:sz w:val="20"/>
          <w:szCs w:val="20"/>
          <w:highlight w:val="none"/>
          <w:lang w:val="en-US" w:eastAsia="zh-CN"/>
        </w:rPr>
        <w:t>要求</w:t>
      </w:r>
      <w:r>
        <w:rPr>
          <w:rFonts w:hint="eastAsia" w:ascii="仿宋" w:hAnsi="仿宋" w:eastAsia="仿宋" w:cs="仿宋"/>
          <w:color w:val="auto"/>
          <w:sz w:val="20"/>
          <w:szCs w:val="20"/>
          <w:highlight w:val="none"/>
          <w:lang w:val="en-US" w:eastAsia="zh-Hans"/>
        </w:rPr>
        <w:t>结算</w:t>
      </w:r>
      <w:r>
        <w:rPr>
          <w:rFonts w:hint="eastAsia" w:ascii="仿宋" w:hAnsi="仿宋" w:eastAsia="仿宋" w:cs="仿宋"/>
          <w:color w:val="auto"/>
          <w:sz w:val="20"/>
          <w:szCs w:val="20"/>
          <w:highlight w:val="none"/>
        </w:rPr>
        <w:t xml:space="preserve">。如果本月有违约罚款或月度评价不合格，该月结算金额需扣除违约罚款或评价扣款后再行支付。 </w:t>
      </w:r>
    </w:p>
    <w:p w14:paraId="1C7066DE">
      <w:pPr>
        <w:pStyle w:val="82"/>
        <w:keepNext w:val="0"/>
        <w:keepLines w:val="0"/>
        <w:pageBreakBefore w:val="0"/>
        <w:widowControl w:val="0"/>
        <w:kinsoku/>
        <w:wordWrap/>
        <w:overflowPunct/>
        <w:topLinePunct w:val="0"/>
        <w:autoSpaceDE w:val="0"/>
        <w:autoSpaceDN w:val="0"/>
        <w:bidi w:val="0"/>
        <w:adjustRightInd w:val="0"/>
        <w:snapToGrid/>
        <w:spacing w:beforeLines="0" w:afterLines="0" w:line="38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（二）乙方应先提供当期结算金额相对应的合法有效的增值税发票，否则甲方有权暂不付款，且不承担逾期付款的违约责任。</w:t>
      </w:r>
    </w:p>
    <w:p w14:paraId="41D38C66">
      <w:pPr>
        <w:pStyle w:val="82"/>
        <w:keepNext w:val="0"/>
        <w:keepLines w:val="0"/>
        <w:pageBreakBefore w:val="0"/>
        <w:widowControl w:val="0"/>
        <w:kinsoku/>
        <w:wordWrap/>
        <w:overflowPunct/>
        <w:topLinePunct w:val="0"/>
        <w:autoSpaceDE w:val="0"/>
        <w:autoSpaceDN w:val="0"/>
        <w:bidi w:val="0"/>
        <w:adjustRightInd w:val="0"/>
        <w:snapToGrid/>
        <w:spacing w:beforeLines="0" w:afterLines="0" w:line="38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（三）支付方式：银行转账。</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90B6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vAlign w:val="top"/>
          </w:tcPr>
          <w:p w14:paraId="3010D596">
            <w:pPr>
              <w:pStyle w:val="79"/>
              <w:keepNext w:val="0"/>
              <w:keepLines w:val="0"/>
              <w:pageBreakBefore w:val="0"/>
              <w:kinsoku/>
              <w:wordWrap/>
              <w:overflowPunct/>
              <w:topLinePunct w:val="0"/>
              <w:bidi w:val="0"/>
              <w:spacing w:line="400" w:lineRule="exact"/>
              <w:ind w:firstLine="400" w:firstLineChars="200"/>
              <w:jc w:val="both"/>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CN"/>
              </w:rPr>
              <w:t>乙方收款账户信息：</w:t>
            </w:r>
          </w:p>
        </w:tc>
      </w:tr>
      <w:tr w14:paraId="2E8D0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vAlign w:val="top"/>
          </w:tcPr>
          <w:p w14:paraId="42A17A49">
            <w:pPr>
              <w:pStyle w:val="79"/>
              <w:keepNext w:val="0"/>
              <w:keepLines w:val="0"/>
              <w:pageBreakBefore w:val="0"/>
              <w:kinsoku/>
              <w:wordWrap/>
              <w:overflowPunct/>
              <w:topLinePunct w:val="0"/>
              <w:bidi w:val="0"/>
              <w:spacing w:line="400" w:lineRule="exact"/>
              <w:ind w:firstLine="400" w:firstLineChars="200"/>
              <w:jc w:val="both"/>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CN"/>
              </w:rPr>
              <w:t>开户行：</w:t>
            </w:r>
          </w:p>
        </w:tc>
      </w:tr>
      <w:tr w14:paraId="4CE2D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vAlign w:val="top"/>
          </w:tcPr>
          <w:p w14:paraId="670D2CAC">
            <w:pPr>
              <w:pStyle w:val="79"/>
              <w:keepNext w:val="0"/>
              <w:keepLines w:val="0"/>
              <w:pageBreakBefore w:val="0"/>
              <w:kinsoku/>
              <w:wordWrap/>
              <w:overflowPunct/>
              <w:topLinePunct w:val="0"/>
              <w:bidi w:val="0"/>
              <w:spacing w:line="400" w:lineRule="exact"/>
              <w:ind w:firstLine="400" w:firstLineChars="200"/>
              <w:jc w:val="both"/>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开户名称：</w:t>
            </w:r>
          </w:p>
        </w:tc>
      </w:tr>
      <w:tr w14:paraId="13501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vAlign w:val="top"/>
          </w:tcPr>
          <w:p w14:paraId="2C72FC82">
            <w:pPr>
              <w:pStyle w:val="79"/>
              <w:keepNext w:val="0"/>
              <w:keepLines w:val="0"/>
              <w:pageBreakBefore w:val="0"/>
              <w:kinsoku/>
              <w:wordWrap/>
              <w:overflowPunct/>
              <w:topLinePunct w:val="0"/>
              <w:bidi w:val="0"/>
              <w:spacing w:line="400" w:lineRule="exact"/>
              <w:ind w:firstLine="400" w:firstLineChars="200"/>
              <w:jc w:val="both"/>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CN"/>
              </w:rPr>
              <w:t>开户</w:t>
            </w:r>
            <w:r>
              <w:rPr>
                <w:rFonts w:hint="eastAsia" w:ascii="仿宋_GB2312" w:hAnsi="仿宋_GB2312" w:eastAsia="仿宋_GB2312" w:cs="仿宋_GB2312"/>
                <w:color w:val="auto"/>
                <w:sz w:val="20"/>
                <w:szCs w:val="20"/>
                <w:highlight w:val="none"/>
                <w:lang w:val="en-US" w:eastAsia="zh-Hans"/>
              </w:rPr>
              <w:t xml:space="preserve">账号: </w:t>
            </w:r>
            <w:r>
              <w:rPr>
                <w:rFonts w:hint="eastAsia" w:ascii="仿宋_GB2312" w:hAnsi="仿宋_GB2312" w:eastAsia="仿宋_GB2312" w:cs="仿宋_GB2312"/>
                <w:color w:val="auto"/>
                <w:sz w:val="20"/>
                <w:szCs w:val="20"/>
                <w:highlight w:val="none"/>
                <w:lang w:val="en-US" w:eastAsia="zh-CN"/>
              </w:rPr>
              <w:t xml:space="preserve"> </w:t>
            </w:r>
          </w:p>
        </w:tc>
      </w:tr>
      <w:tr w14:paraId="01F8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vAlign w:val="top"/>
          </w:tcPr>
          <w:p w14:paraId="3B8FFFCF">
            <w:pPr>
              <w:pStyle w:val="79"/>
              <w:keepNext w:val="0"/>
              <w:keepLines w:val="0"/>
              <w:pageBreakBefore w:val="0"/>
              <w:kinsoku/>
              <w:wordWrap/>
              <w:overflowPunct/>
              <w:topLinePunct w:val="0"/>
              <w:bidi w:val="0"/>
              <w:spacing w:line="400" w:lineRule="exact"/>
              <w:ind w:firstLine="400" w:firstLineChars="200"/>
              <w:jc w:val="both"/>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开户行地址：</w:t>
            </w:r>
          </w:p>
        </w:tc>
      </w:tr>
      <w:tr w14:paraId="6E38D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vAlign w:val="top"/>
          </w:tcPr>
          <w:p w14:paraId="4909D6C1">
            <w:pPr>
              <w:pStyle w:val="79"/>
              <w:keepNext w:val="0"/>
              <w:keepLines w:val="0"/>
              <w:pageBreakBefore w:val="0"/>
              <w:kinsoku/>
              <w:wordWrap/>
              <w:overflowPunct/>
              <w:topLinePunct w:val="0"/>
              <w:bidi w:val="0"/>
              <w:spacing w:line="400" w:lineRule="exact"/>
              <w:ind w:firstLine="400" w:firstLineChars="200"/>
              <w:jc w:val="both"/>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 xml:space="preserve">联行号码: </w:t>
            </w:r>
          </w:p>
        </w:tc>
      </w:tr>
    </w:tbl>
    <w:p w14:paraId="2F139787">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p>
    <w:p w14:paraId="2520073C">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四、质量保证</w:t>
      </w:r>
    </w:p>
    <w:p w14:paraId="116718E4">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（一）保证所供产品应按国内外通行的现行标准相应的技术规范，以及质量、安全、环保标准和要求执行，这些标准和技术规范应为合同签订日最新公布发行的标准和技术规范。</w:t>
      </w:r>
    </w:p>
    <w:p w14:paraId="62F7A4DA">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（二）保证所供产品进货渠道正规，无假货、水货</w:t>
      </w:r>
      <w:r>
        <w:rPr>
          <w:rFonts w:hint="eastAsia" w:ascii="仿宋_GB2312" w:hAnsi="仿宋_GB2312" w:eastAsia="仿宋_GB2312" w:cs="仿宋_GB2312"/>
          <w:color w:val="auto"/>
          <w:sz w:val="20"/>
          <w:szCs w:val="20"/>
          <w:highlight w:val="none"/>
          <w:lang w:val="en-US" w:eastAsia="zh-CN"/>
        </w:rPr>
        <w:t>和</w:t>
      </w:r>
      <w:r>
        <w:rPr>
          <w:rFonts w:hint="eastAsia" w:ascii="仿宋_GB2312" w:hAnsi="仿宋_GB2312" w:eastAsia="仿宋_GB2312" w:cs="仿宋_GB2312"/>
          <w:color w:val="auto"/>
          <w:sz w:val="20"/>
          <w:szCs w:val="20"/>
          <w:highlight w:val="none"/>
          <w:lang w:val="en-US" w:eastAsia="zh-Hans"/>
        </w:rPr>
        <w:t>翻新货，并能按期交付</w:t>
      </w:r>
      <w:r>
        <w:rPr>
          <w:rFonts w:hint="eastAsia" w:ascii="仿宋_GB2312" w:hAnsi="仿宋_GB2312" w:eastAsia="仿宋_GB2312" w:cs="仿宋_GB2312"/>
          <w:color w:val="auto"/>
          <w:sz w:val="20"/>
          <w:szCs w:val="20"/>
          <w:highlight w:val="none"/>
          <w:lang w:val="en-US" w:eastAsia="zh-CN"/>
        </w:rPr>
        <w:t>，</w:t>
      </w:r>
      <w:r>
        <w:rPr>
          <w:rFonts w:hint="eastAsia" w:ascii="仿宋" w:hAnsi="仿宋" w:eastAsia="仿宋" w:cs="仿宋"/>
          <w:color w:val="auto"/>
          <w:sz w:val="20"/>
          <w:szCs w:val="20"/>
          <w:highlight w:val="none"/>
        </w:rPr>
        <w:t>若</w:t>
      </w:r>
      <w:r>
        <w:rPr>
          <w:rFonts w:hint="eastAsia" w:ascii="仿宋" w:hAnsi="仿宋" w:eastAsia="仿宋" w:cs="仿宋"/>
          <w:color w:val="auto"/>
          <w:sz w:val="20"/>
          <w:szCs w:val="20"/>
          <w:highlight w:val="none"/>
          <w:lang w:eastAsia="zh-CN"/>
        </w:rPr>
        <w:t>乙方</w:t>
      </w:r>
      <w:r>
        <w:rPr>
          <w:rFonts w:hint="eastAsia" w:ascii="仿宋" w:hAnsi="仿宋" w:eastAsia="仿宋" w:cs="仿宋"/>
          <w:color w:val="auto"/>
          <w:sz w:val="20"/>
          <w:szCs w:val="20"/>
          <w:highlight w:val="none"/>
        </w:rPr>
        <w:t>提供翻新货、假货、副厂产品等，发现一次罚款5万元，发现两次</w:t>
      </w:r>
      <w:r>
        <w:rPr>
          <w:rFonts w:hint="eastAsia" w:ascii="仿宋" w:hAnsi="仿宋" w:eastAsia="仿宋" w:cs="仿宋"/>
          <w:color w:val="auto"/>
          <w:sz w:val="20"/>
          <w:szCs w:val="20"/>
          <w:highlight w:val="none"/>
          <w:lang w:eastAsia="zh-CN"/>
        </w:rPr>
        <w:t>甲方</w:t>
      </w:r>
      <w:r>
        <w:rPr>
          <w:rFonts w:hint="eastAsia" w:ascii="仿宋" w:hAnsi="仿宋" w:eastAsia="仿宋" w:cs="仿宋"/>
          <w:color w:val="auto"/>
          <w:sz w:val="20"/>
          <w:szCs w:val="20"/>
          <w:highlight w:val="none"/>
        </w:rPr>
        <w:t>有权更换供应商</w:t>
      </w:r>
      <w:r>
        <w:rPr>
          <w:rFonts w:hint="eastAsia" w:ascii="仿宋_GB2312" w:hAnsi="仿宋_GB2312" w:eastAsia="仿宋_GB2312" w:cs="仿宋_GB2312"/>
          <w:color w:val="auto"/>
          <w:sz w:val="20"/>
          <w:szCs w:val="20"/>
          <w:highlight w:val="none"/>
          <w:lang w:val="en-US" w:eastAsia="zh-Hans"/>
        </w:rPr>
        <w:t>。</w:t>
      </w:r>
    </w:p>
    <w:p w14:paraId="71BE91C7">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（三）保证所供产品在装卸、运输和仓储过程中有足够的包装保护，防止产品受潮、变形、遭受冲撞及其他不可预见的损坏。</w:t>
      </w:r>
    </w:p>
    <w:p w14:paraId="69B02CB3">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（四）乙方所供产品因侵权而产生的一切后果由乙方负责，甲方保留索赔权力。</w:t>
      </w:r>
    </w:p>
    <w:p w14:paraId="03437022">
      <w:pPr>
        <w:spacing w:line="460" w:lineRule="exact"/>
        <w:ind w:right="-252" w:rightChars="-120"/>
        <w:rPr>
          <w:rFonts w:hint="eastAsia"/>
          <w:color w:val="auto"/>
          <w:highlight w:val="none"/>
          <w:lang w:val="en-US" w:eastAsia="zh-Hans"/>
        </w:rPr>
      </w:pPr>
      <w:r>
        <w:rPr>
          <w:rFonts w:hint="eastAsia" w:ascii="仿宋_GB2312" w:hAnsi="仿宋_GB2312" w:eastAsia="仿宋_GB2312" w:cs="仿宋_GB2312"/>
          <w:color w:val="auto"/>
          <w:sz w:val="20"/>
          <w:szCs w:val="20"/>
          <w:highlight w:val="none"/>
          <w:lang w:val="en-US" w:eastAsia="zh-Hans"/>
        </w:rPr>
        <w:t>（</w:t>
      </w:r>
      <w:r>
        <w:rPr>
          <w:rFonts w:hint="eastAsia" w:ascii="仿宋_GB2312" w:hAnsi="仿宋_GB2312" w:eastAsia="仿宋_GB2312" w:cs="仿宋_GB2312"/>
          <w:color w:val="auto"/>
          <w:sz w:val="20"/>
          <w:szCs w:val="20"/>
          <w:highlight w:val="none"/>
          <w:lang w:val="en-US" w:eastAsia="zh-CN"/>
        </w:rPr>
        <w:t>五</w:t>
      </w:r>
      <w:r>
        <w:rPr>
          <w:rFonts w:hint="eastAsia" w:ascii="仿宋_GB2312" w:hAnsi="仿宋_GB2312" w:eastAsia="仿宋_GB2312" w:cs="仿宋_GB2312"/>
          <w:color w:val="auto"/>
          <w:sz w:val="20"/>
          <w:szCs w:val="20"/>
          <w:highlight w:val="none"/>
          <w:lang w:val="en-US" w:eastAsia="zh-Hans"/>
        </w:rPr>
        <w:t>）</w:t>
      </w:r>
      <w:r>
        <w:rPr>
          <w:rFonts w:hint="eastAsia" w:ascii="仿宋" w:hAnsi="仿宋" w:eastAsia="仿宋" w:cs="仿宋"/>
          <w:color w:val="auto"/>
          <w:sz w:val="20"/>
          <w:szCs w:val="20"/>
          <w:highlight w:val="none"/>
          <w:lang w:val="en-US" w:eastAsia="zh-CN"/>
        </w:rPr>
        <w:t>合同生效后，为保证服务质量，甲方每月对乙方的供货情况进行评分。评分标准详见拟签订合同文本附件《供应商供货情况月度评价表》。若月度评分达到80分以上且满足付款条件，甲方将支付当月全额货款；若月度评分在60分至80分之间（含60分）且满足付款条件，甲方仅支付当月货款的80%；若月度评分低于60分且满足付款条件，甲方支付当月货款的50%。若乙方连续三次月度评分低于60分，甲方有权与供应商解除采购合同。</w:t>
      </w:r>
    </w:p>
    <w:p w14:paraId="19676E51">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五、运输和储运</w:t>
      </w:r>
    </w:p>
    <w:p w14:paraId="5895934F">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（一）产品的包装应为出厂时的原包装，包装内应附有详细的装箱清单、出厂合格证明及其他相关资料。</w:t>
      </w:r>
    </w:p>
    <w:p w14:paraId="0E0EE15E">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Hans"/>
        </w:rPr>
        <w:t>（二）运输由乙方负责，运杂费已包含在合同单价内，包括</w:t>
      </w:r>
      <w:r>
        <w:rPr>
          <w:rFonts w:hint="eastAsia" w:ascii="仿宋_GB2312" w:hAnsi="仿宋_GB2312" w:eastAsia="仿宋_GB2312" w:cs="仿宋_GB2312"/>
          <w:color w:val="auto"/>
          <w:sz w:val="20"/>
          <w:szCs w:val="20"/>
          <w:highlight w:val="none"/>
          <w:lang w:val="en-US" w:eastAsia="zh-CN"/>
        </w:rPr>
        <w:t>但不限于</w:t>
      </w:r>
      <w:r>
        <w:rPr>
          <w:rFonts w:hint="eastAsia" w:ascii="仿宋_GB2312" w:hAnsi="仿宋_GB2312" w:eastAsia="仿宋_GB2312" w:cs="仿宋_GB2312"/>
          <w:color w:val="auto"/>
          <w:sz w:val="20"/>
          <w:szCs w:val="20"/>
          <w:highlight w:val="none"/>
          <w:lang w:val="en-US" w:eastAsia="zh-Hans"/>
        </w:rPr>
        <w:t>从产品供应地点运送至交付地点所含的运输费、装卸费、仓储费、保险费等。</w:t>
      </w:r>
      <w:r>
        <w:rPr>
          <w:rFonts w:hint="eastAsia" w:ascii="仿宋_GB2312" w:hAnsi="仿宋_GB2312" w:eastAsia="仿宋_GB2312" w:cs="仿宋_GB2312"/>
          <w:color w:val="auto"/>
          <w:sz w:val="20"/>
          <w:szCs w:val="20"/>
          <w:highlight w:val="none"/>
          <w:lang w:val="en-US" w:eastAsia="zh-CN"/>
        </w:rPr>
        <w:t>甲方不再另行支付。</w:t>
      </w:r>
    </w:p>
    <w:p w14:paraId="220EB557">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（三）运输方式由乙方自行选择，但必须保证按期交付。</w:t>
      </w:r>
    </w:p>
    <w:p w14:paraId="38503B72">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（四）产品到达甲方指定地点后，乙方应按有关技术规程和甲方要求进行存放和保管。</w:t>
      </w:r>
    </w:p>
    <w:p w14:paraId="3FDCEB96">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六、双方的权利和义务</w:t>
      </w:r>
    </w:p>
    <w:p w14:paraId="1AFA0E76">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（一）甲方的权利和义务</w:t>
      </w:r>
    </w:p>
    <w:p w14:paraId="633FC373">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1、甲方有权要求乙方供货的项目内容符合国家相关规范，符合甲方验收标准。</w:t>
      </w:r>
    </w:p>
    <w:p w14:paraId="34A7311E">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2、甲方应积极配合货物的收货以及验收，不得无故拒收货物。</w:t>
      </w:r>
    </w:p>
    <w:p w14:paraId="5954158F">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3、甲方有义务保证按合同所规定的内容及时间支付乙方相关费用。</w:t>
      </w:r>
    </w:p>
    <w:p w14:paraId="2588B033">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（二）乙方的权利和义务</w:t>
      </w:r>
    </w:p>
    <w:p w14:paraId="5FEA715D">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1、乙方应保证甲方在使用该货物时不受第三方提出侵犯其专利权、版权、商标权或其他权利的起诉。</w:t>
      </w:r>
    </w:p>
    <w:p w14:paraId="034C51D0">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2、乙方保证所供产品进货渠道正规，完全符合国家规范及双方确定的响应文件、本合同关于货物数量、质量的要求；无假货、水货或翻新货，并能按期交付。</w:t>
      </w:r>
    </w:p>
    <w:p w14:paraId="5F17909C">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3、乙方提交的货物应符合谈判文件中所记载的详细配置、技术参数、参数及性能，并应附有此类货物完整、详细的技术资料和说明文件。</w:t>
      </w:r>
    </w:p>
    <w:p w14:paraId="6E6D2816">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4、乙方保证货物不存在危及人身及财产安全的产品缺陷，否则应承担全部法律责任。</w:t>
      </w:r>
    </w:p>
    <w:p w14:paraId="4B04CB81">
      <w:pPr>
        <w:pStyle w:val="82"/>
        <w:keepNext w:val="0"/>
        <w:keepLines w:val="0"/>
        <w:pageBreakBefore w:val="0"/>
        <w:kinsoku/>
        <w:wordWrap/>
        <w:overflowPunct/>
        <w:topLinePunct w:val="0"/>
        <w:bidi w:val="0"/>
        <w:spacing w:beforeLines="0" w:afterLines="0" w:line="400" w:lineRule="exact"/>
        <w:ind w:firstLine="200" w:firstLineChars="100"/>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5、乙方所供产品因侵权而产生的一切后果由乙方负责，甲方保留索赔权力。</w:t>
      </w:r>
    </w:p>
    <w:p w14:paraId="4E365AD0">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七、知识产权及承诺</w:t>
      </w:r>
    </w:p>
    <w:p w14:paraId="29F22714">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（一）乙方保证所提供的货物或其任何一部分均不会侵犯任何第三方的专利权、商标权、著作权或其他合法权益，否则视为乙方违约，由此产生的一切损失由乙方承担。</w:t>
      </w:r>
    </w:p>
    <w:p w14:paraId="0980AAD1">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（二）经甲乙双方协商一致，本项目产生的知识产权归甲方拥有。</w:t>
      </w:r>
    </w:p>
    <w:p w14:paraId="57E4C8EB">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八、验收</w:t>
      </w:r>
    </w:p>
    <w:p w14:paraId="6CB1C176">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（一）现场验收：产品到达甲方指定地点后，甲方根据合同要求，在乙方和甲方相关负责人双方同时在场的情况下，进行外观验收，确认产地、规格、型号和数量。</w:t>
      </w:r>
    </w:p>
    <w:p w14:paraId="7CC277F0">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（二）验收要求现行的国家标准或国家行政部门颁布的法律法规、规章制度等，是项目验收的另一个重要依据。没有国家标准的，参考行业标准。</w:t>
      </w:r>
    </w:p>
    <w:p w14:paraId="2B9BE8DD">
      <w:pPr>
        <w:pStyle w:val="82"/>
        <w:keepNext w:val="0"/>
        <w:keepLines w:val="0"/>
        <w:pageBreakBefore w:val="0"/>
        <w:kinsoku/>
        <w:wordWrap/>
        <w:overflowPunct/>
        <w:topLinePunct w:val="0"/>
        <w:bidi w:val="0"/>
        <w:spacing w:beforeLines="0" w:afterLines="0"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（三）验收依据：</w:t>
      </w:r>
    </w:p>
    <w:p w14:paraId="0302E1A5">
      <w:pPr>
        <w:keepNext w:val="0"/>
        <w:keepLines w:val="0"/>
        <w:pageBreakBefore w:val="0"/>
        <w:kinsoku/>
        <w:wordWrap/>
        <w:overflowPunct/>
        <w:topLinePunct w:val="0"/>
        <w:bidi w:val="0"/>
        <w:spacing w:beforeLines="0" w:after="2"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1．磋商文件、响应文件、澄清表（函）；</w:t>
      </w:r>
    </w:p>
    <w:p w14:paraId="60FC64AE">
      <w:pPr>
        <w:keepNext w:val="0"/>
        <w:keepLines w:val="0"/>
        <w:pageBreakBefore w:val="0"/>
        <w:kinsoku/>
        <w:wordWrap/>
        <w:overflowPunct/>
        <w:topLinePunct w:val="0"/>
        <w:bidi w:val="0"/>
        <w:spacing w:beforeLines="0"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2．本合同及附件文本；</w:t>
      </w:r>
    </w:p>
    <w:p w14:paraId="76AC93FC">
      <w:pPr>
        <w:keepNext w:val="0"/>
        <w:keepLines w:val="0"/>
        <w:pageBreakBefore w:val="0"/>
        <w:kinsoku/>
        <w:wordWrap/>
        <w:overflowPunct/>
        <w:topLinePunct w:val="0"/>
        <w:bidi w:val="0"/>
        <w:spacing w:beforeLines="0"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3．国家相应的标准、规范。</w:t>
      </w:r>
    </w:p>
    <w:p w14:paraId="35567FCC">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九、售后服务</w:t>
      </w:r>
    </w:p>
    <w:p w14:paraId="4B58E257">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（一）货物在使用过程中如遇到质量问题，乙方应在接到甲方的通知后</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lang w:val="en-US" w:eastAsia="zh-Hans"/>
        </w:rPr>
        <w:t>小时内响应，</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lang w:val="en-US" w:eastAsia="zh-Hans"/>
        </w:rPr>
        <w:t>小时内</w:t>
      </w:r>
      <w:r>
        <w:rPr>
          <w:rFonts w:hint="eastAsia" w:ascii="仿宋_GB2312" w:hAnsi="仿宋_GB2312" w:eastAsia="仿宋_GB2312" w:cs="仿宋_GB2312"/>
          <w:color w:val="auto"/>
          <w:sz w:val="20"/>
          <w:szCs w:val="20"/>
          <w:highlight w:val="none"/>
          <w:lang w:val="en-US" w:eastAsia="zh-CN"/>
        </w:rPr>
        <w:t>免费</w:t>
      </w:r>
      <w:r>
        <w:rPr>
          <w:rFonts w:hint="eastAsia" w:ascii="仿宋_GB2312" w:hAnsi="仿宋_GB2312" w:eastAsia="仿宋_GB2312" w:cs="仿宋_GB2312"/>
          <w:color w:val="auto"/>
          <w:sz w:val="20"/>
          <w:szCs w:val="20"/>
          <w:highlight w:val="none"/>
          <w:lang w:val="en-US" w:eastAsia="zh-Hans"/>
        </w:rPr>
        <w:t>完成货物配送</w:t>
      </w:r>
      <w:r>
        <w:rPr>
          <w:rFonts w:hint="eastAsia" w:ascii="仿宋_GB2312" w:hAnsi="仿宋_GB2312" w:eastAsia="仿宋_GB2312" w:cs="仿宋_GB2312"/>
          <w:color w:val="auto"/>
          <w:sz w:val="20"/>
          <w:szCs w:val="20"/>
          <w:highlight w:val="none"/>
          <w:lang w:val="en-US" w:eastAsia="zh-CN"/>
        </w:rPr>
        <w:t>及更换服务</w:t>
      </w:r>
      <w:r>
        <w:rPr>
          <w:rFonts w:hint="eastAsia" w:ascii="仿宋_GB2312" w:hAnsi="仿宋_GB2312" w:eastAsia="仿宋_GB2312" w:cs="仿宋_GB2312"/>
          <w:color w:val="auto"/>
          <w:sz w:val="20"/>
          <w:szCs w:val="20"/>
          <w:highlight w:val="none"/>
          <w:lang w:val="en-US" w:eastAsia="zh-Hans"/>
        </w:rPr>
        <w:t>。如遇使用问题，乙方应在接到甲方通知后</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lang w:val="en-US" w:eastAsia="zh-Hans"/>
        </w:rPr>
        <w:t>小时内响应，</w:t>
      </w:r>
      <w:r>
        <w:rPr>
          <w:rFonts w:hint="eastAsia" w:ascii="仿宋_GB2312" w:hAnsi="仿宋_GB2312" w:eastAsia="仿宋_GB2312" w:cs="仿宋_GB2312"/>
          <w:color w:val="auto"/>
          <w:sz w:val="20"/>
          <w:szCs w:val="20"/>
          <w:highlight w:val="none"/>
          <w:u w:val="single"/>
          <w:lang w:val="en-US" w:eastAsia="zh-CN"/>
        </w:rPr>
        <w:t xml:space="preserve">   </w:t>
      </w:r>
      <w:r>
        <w:rPr>
          <w:rFonts w:hint="eastAsia" w:ascii="仿宋_GB2312" w:hAnsi="仿宋_GB2312" w:eastAsia="仿宋_GB2312" w:cs="仿宋_GB2312"/>
          <w:color w:val="auto"/>
          <w:sz w:val="20"/>
          <w:szCs w:val="20"/>
          <w:highlight w:val="none"/>
          <w:lang w:val="en-US" w:eastAsia="zh-Hans"/>
        </w:rPr>
        <w:t>小时内完成无条件协助。</w:t>
      </w:r>
    </w:p>
    <w:p w14:paraId="7D021283">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（二）质量保证期：每批货物自甲方验收合格之日起</w:t>
      </w:r>
      <w:r>
        <w:rPr>
          <w:rFonts w:hint="eastAsia" w:ascii="仿宋_GB2312" w:hAnsi="仿宋_GB2312" w:eastAsia="仿宋_GB2312" w:cs="仿宋_GB2312"/>
          <w:color w:val="auto"/>
          <w:sz w:val="20"/>
          <w:szCs w:val="20"/>
          <w:highlight w:val="none"/>
          <w:lang w:val="en-US" w:eastAsia="zh-CN"/>
        </w:rPr>
        <w:t>1年</w:t>
      </w:r>
      <w:r>
        <w:rPr>
          <w:rFonts w:hint="eastAsia" w:ascii="仿宋_GB2312" w:hAnsi="仿宋_GB2312" w:eastAsia="仿宋_GB2312" w:cs="仿宋_GB2312"/>
          <w:color w:val="auto"/>
          <w:sz w:val="20"/>
          <w:szCs w:val="20"/>
          <w:highlight w:val="none"/>
          <w:lang w:val="en-US" w:eastAsia="zh-Hans"/>
        </w:rPr>
        <w:t>。</w:t>
      </w:r>
    </w:p>
    <w:p w14:paraId="259B7430">
      <w:pPr>
        <w:pStyle w:val="3"/>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（三）乙方应满足甲方合理的调换货要求，退换近效期产品。</w:t>
      </w:r>
    </w:p>
    <w:p w14:paraId="27E7F46F">
      <w:pPr>
        <w:pStyle w:val="3"/>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（四）每批次货物未使用或使用中出现质量问题，进行等额更换。</w:t>
      </w:r>
    </w:p>
    <w:p w14:paraId="00128FC2">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十、技术与服务</w:t>
      </w:r>
    </w:p>
    <w:p w14:paraId="3038F687">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（一）技术资料</w:t>
      </w:r>
    </w:p>
    <w:p w14:paraId="6BAFFF6C">
      <w:pPr>
        <w:keepNext w:val="0"/>
        <w:keepLines w:val="0"/>
        <w:pageBreakBefore w:val="0"/>
        <w:kinsoku/>
        <w:wordWrap/>
        <w:overflowPunct/>
        <w:topLinePunct w:val="0"/>
        <w:bidi w:val="0"/>
        <w:spacing w:beforeLines="0"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1、质量合格证；</w:t>
      </w:r>
    </w:p>
    <w:p w14:paraId="1A3C320B">
      <w:pPr>
        <w:keepNext w:val="0"/>
        <w:keepLines w:val="0"/>
        <w:pageBreakBefore w:val="0"/>
        <w:kinsoku/>
        <w:wordWrap/>
        <w:overflowPunct/>
        <w:topLinePunct w:val="0"/>
        <w:bidi w:val="0"/>
        <w:spacing w:beforeLines="0"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2、检测报告；</w:t>
      </w:r>
    </w:p>
    <w:p w14:paraId="6A05B1F5">
      <w:pPr>
        <w:keepNext w:val="0"/>
        <w:keepLines w:val="0"/>
        <w:pageBreakBefore w:val="0"/>
        <w:kinsoku/>
        <w:wordWrap/>
        <w:overflowPunct/>
        <w:topLinePunct w:val="0"/>
        <w:bidi w:val="0"/>
        <w:spacing w:beforeLines="0"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4、其它资料。</w:t>
      </w:r>
    </w:p>
    <w:p w14:paraId="2D7BC638">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（二）服务承诺以响应文件、澄清表（函）、合同和货物的相关文件为准。</w:t>
      </w:r>
    </w:p>
    <w:p w14:paraId="21C48A27">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十一、违约责任</w:t>
      </w:r>
    </w:p>
    <w:p w14:paraId="4EDFF08B">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未按合同要求提供货物或货物质量不能满足合同要求，甲方应当将服务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70F75111">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（二）由双方按《民法典》中的平等原则协商后补充。</w:t>
      </w:r>
    </w:p>
    <w:p w14:paraId="09319781">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十二、合同的变更和修改、中止和终止</w:t>
      </w:r>
    </w:p>
    <w:p w14:paraId="72E862F2">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7CBFC4A2">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Hans"/>
        </w:rPr>
        <w:t>（二）甲方因乙方不履约或乙方其他原因而解除合同的，乙方须返还甲方全部费用、赔偿甲方由此产生的损失并承担其他相关责任</w:t>
      </w:r>
      <w:r>
        <w:rPr>
          <w:rFonts w:hint="eastAsia" w:ascii="仿宋_GB2312" w:hAnsi="仿宋_GB2312" w:eastAsia="仿宋_GB2312" w:cs="仿宋_GB2312"/>
          <w:color w:val="auto"/>
          <w:sz w:val="20"/>
          <w:szCs w:val="20"/>
          <w:highlight w:val="none"/>
          <w:lang w:val="en-US" w:eastAsia="zh-CN"/>
        </w:rPr>
        <w:t>。</w:t>
      </w:r>
    </w:p>
    <w:p w14:paraId="06605BAB">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（三）乙方因甲方不履约或甲方其他原因而解除合同的，乙方不予返还甲方已付乙方已提供相应服务的费用款项，甲方赔偿乙方由此产生的损失并承担其他相关责任。</w:t>
      </w:r>
    </w:p>
    <w:p w14:paraId="4CC107EA">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十三、保密条款</w:t>
      </w:r>
    </w:p>
    <w:p w14:paraId="4A610AAF">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（一）乙方应遵守国家有关保密的法律法规和行业规定，并对甲方提供的资料负有保密义务。</w:t>
      </w:r>
    </w:p>
    <w:p w14:paraId="12E4A2D6">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（二）本条款为独立条款，本合同的无效、变更、解除和终止均不影响本条款的效力。</w:t>
      </w:r>
    </w:p>
    <w:p w14:paraId="18AD4DFC">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十四、争议解决</w:t>
      </w:r>
    </w:p>
    <w:p w14:paraId="6CF1EF11">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（一）本合同适用法律为中华人民共和国法律。</w:t>
      </w:r>
    </w:p>
    <w:p w14:paraId="302E91DC">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（二）凡与本合同有关的一切争议，双方应通过友好协商解决。如协商后仍不能达成协议时，按下列第</w:t>
      </w:r>
      <w:r>
        <w:rPr>
          <w:rFonts w:hint="eastAsia" w:ascii="仿宋_GB2312" w:hAnsi="仿宋_GB2312" w:eastAsia="仿宋_GB2312" w:cs="仿宋_GB2312"/>
          <w:color w:val="auto"/>
          <w:sz w:val="20"/>
          <w:szCs w:val="20"/>
          <w:highlight w:val="none"/>
          <w:u w:val="single"/>
          <w:lang w:val="en-US" w:eastAsia="zh-CN"/>
        </w:rPr>
        <w:t>2</w:t>
      </w:r>
      <w:r>
        <w:rPr>
          <w:rFonts w:hint="eastAsia" w:ascii="仿宋_GB2312" w:hAnsi="仿宋_GB2312" w:eastAsia="仿宋_GB2312" w:cs="仿宋_GB2312"/>
          <w:color w:val="auto"/>
          <w:sz w:val="20"/>
          <w:szCs w:val="20"/>
          <w:highlight w:val="none"/>
          <w:lang w:val="en-US" w:eastAsia="zh-Hans"/>
        </w:rPr>
        <w:t>种方式解决。</w:t>
      </w:r>
    </w:p>
    <w:p w14:paraId="3734C9D3">
      <w:pPr>
        <w:keepNext w:val="0"/>
        <w:keepLines w:val="0"/>
        <w:pageBreakBefore w:val="0"/>
        <w:kinsoku/>
        <w:wordWrap/>
        <w:overflowPunct/>
        <w:topLinePunct w:val="0"/>
        <w:bidi w:val="0"/>
        <w:spacing w:beforeLines="0" w:after="2"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1．提交西安仲裁委员会。</w:t>
      </w:r>
    </w:p>
    <w:p w14:paraId="0C15C222">
      <w:pPr>
        <w:keepNext w:val="0"/>
        <w:keepLines w:val="0"/>
        <w:pageBreakBefore w:val="0"/>
        <w:kinsoku/>
        <w:wordWrap/>
        <w:overflowPunct/>
        <w:topLinePunct w:val="0"/>
        <w:bidi w:val="0"/>
        <w:spacing w:beforeLines="0" w:afterLines="0" w:line="400" w:lineRule="exact"/>
        <w:ind w:firstLine="200" w:firstLineChars="100"/>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2．依法向甲方所在地有管辖权的人民法院提起诉讼</w:t>
      </w:r>
    </w:p>
    <w:p w14:paraId="22E06795">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十</w:t>
      </w:r>
      <w:r>
        <w:rPr>
          <w:rFonts w:hint="eastAsia" w:ascii="仿宋_GB2312" w:hAnsi="仿宋_GB2312" w:eastAsia="仿宋_GB2312" w:cs="仿宋_GB2312"/>
          <w:color w:val="auto"/>
          <w:sz w:val="20"/>
          <w:szCs w:val="20"/>
          <w:highlight w:val="none"/>
          <w:lang w:val="en-US" w:eastAsia="zh-CN"/>
        </w:rPr>
        <w:t>五</w:t>
      </w:r>
      <w:r>
        <w:rPr>
          <w:rFonts w:hint="eastAsia" w:ascii="仿宋_GB2312" w:hAnsi="仿宋_GB2312" w:eastAsia="仿宋_GB2312" w:cs="仿宋_GB2312"/>
          <w:color w:val="auto"/>
          <w:sz w:val="20"/>
          <w:szCs w:val="20"/>
          <w:highlight w:val="none"/>
          <w:lang w:val="en-US" w:eastAsia="zh-Hans"/>
        </w:rPr>
        <w:t>、合同生效及其他</w:t>
      </w:r>
    </w:p>
    <w:p w14:paraId="73BB0E25">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（一）本合同自</w:t>
      </w:r>
      <w:r>
        <w:rPr>
          <w:rFonts w:hint="eastAsia" w:ascii="仿宋_GB2312" w:hAnsi="仿宋_GB2312" w:eastAsia="仿宋_GB2312" w:cs="仿宋_GB2312"/>
          <w:color w:val="auto"/>
          <w:sz w:val="20"/>
          <w:szCs w:val="20"/>
          <w:highlight w:val="none"/>
          <w:lang w:val="en-US" w:eastAsia="zh-CN"/>
        </w:rPr>
        <w:t>甲乙双方签字并盖公章</w:t>
      </w:r>
      <w:r>
        <w:rPr>
          <w:rFonts w:hint="eastAsia" w:ascii="仿宋_GB2312" w:hAnsi="仿宋_GB2312" w:eastAsia="仿宋_GB2312" w:cs="仿宋_GB2312"/>
          <w:color w:val="auto"/>
          <w:sz w:val="20"/>
          <w:szCs w:val="20"/>
          <w:highlight w:val="none"/>
          <w:lang w:val="en-US" w:eastAsia="zh-Hans"/>
        </w:rPr>
        <w:t>之日起生效。</w:t>
      </w:r>
    </w:p>
    <w:p w14:paraId="41FAF20D">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（二）合同一式</w:t>
      </w:r>
      <w:r>
        <w:rPr>
          <w:rFonts w:hint="eastAsia" w:ascii="仿宋_GB2312" w:hAnsi="仿宋_GB2312" w:eastAsia="仿宋_GB2312" w:cs="仿宋_GB2312"/>
          <w:color w:val="auto"/>
          <w:sz w:val="20"/>
          <w:szCs w:val="20"/>
          <w:highlight w:val="none"/>
          <w:lang w:val="en-US" w:eastAsia="zh-CN"/>
        </w:rPr>
        <w:t>伍</w:t>
      </w:r>
      <w:r>
        <w:rPr>
          <w:rFonts w:hint="eastAsia" w:ascii="仿宋_GB2312" w:hAnsi="仿宋_GB2312" w:eastAsia="仿宋_GB2312" w:cs="仿宋_GB2312"/>
          <w:color w:val="auto"/>
          <w:sz w:val="20"/>
          <w:szCs w:val="20"/>
          <w:highlight w:val="none"/>
          <w:lang w:val="en-US" w:eastAsia="zh-Hans"/>
        </w:rPr>
        <w:t>份，甲方</w:t>
      </w:r>
      <w:r>
        <w:rPr>
          <w:rFonts w:hint="eastAsia" w:ascii="仿宋_GB2312" w:hAnsi="仿宋_GB2312" w:eastAsia="仿宋_GB2312" w:cs="仿宋_GB2312"/>
          <w:color w:val="auto"/>
          <w:sz w:val="20"/>
          <w:szCs w:val="20"/>
          <w:highlight w:val="none"/>
          <w:lang w:val="en-US" w:eastAsia="zh-CN"/>
        </w:rPr>
        <w:t>肆份，</w:t>
      </w:r>
      <w:r>
        <w:rPr>
          <w:rFonts w:hint="eastAsia" w:ascii="仿宋_GB2312" w:hAnsi="仿宋_GB2312" w:eastAsia="仿宋_GB2312" w:cs="仿宋_GB2312"/>
          <w:color w:val="auto"/>
          <w:sz w:val="20"/>
          <w:szCs w:val="20"/>
          <w:highlight w:val="none"/>
          <w:lang w:val="en-US" w:eastAsia="zh-Hans"/>
        </w:rPr>
        <w:t xml:space="preserve">乙方执 </w:t>
      </w:r>
      <w:r>
        <w:rPr>
          <w:rFonts w:hint="eastAsia" w:ascii="仿宋_GB2312" w:hAnsi="仿宋_GB2312" w:eastAsia="仿宋_GB2312" w:cs="仿宋_GB2312"/>
          <w:color w:val="auto"/>
          <w:sz w:val="20"/>
          <w:szCs w:val="20"/>
          <w:highlight w:val="none"/>
          <w:lang w:val="en-US" w:eastAsia="zh-CN"/>
        </w:rPr>
        <w:t xml:space="preserve">壹 </w:t>
      </w:r>
      <w:r>
        <w:rPr>
          <w:rFonts w:hint="eastAsia" w:ascii="仿宋_GB2312" w:hAnsi="仿宋_GB2312" w:eastAsia="仿宋_GB2312" w:cs="仿宋_GB2312"/>
          <w:color w:val="auto"/>
          <w:sz w:val="20"/>
          <w:szCs w:val="20"/>
          <w:highlight w:val="none"/>
          <w:lang w:val="en-US" w:eastAsia="zh-Hans"/>
        </w:rPr>
        <w:t>份。</w:t>
      </w:r>
    </w:p>
    <w:p w14:paraId="2C4FBE6A">
      <w:pPr>
        <w:keepNext w:val="0"/>
        <w:keepLines w:val="0"/>
        <w:pageBreakBefore w:val="0"/>
        <w:kinsoku/>
        <w:wordWrap/>
        <w:overflowPunct/>
        <w:topLinePunct w:val="0"/>
        <w:bidi w:val="0"/>
        <w:spacing w:beforeLines="0" w:afterLines="0" w:line="400" w:lineRule="exact"/>
        <w:jc w:val="lef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（三）未尽事宜由双方在签订合同时具体明确或签订补充合同。</w:t>
      </w:r>
    </w:p>
    <w:p w14:paraId="5A3671CE">
      <w:pPr>
        <w:pStyle w:val="3"/>
        <w:rPr>
          <w:rFonts w:hint="eastAsia" w:ascii="仿宋_GB2312" w:hAnsi="仿宋_GB2312" w:eastAsia="仿宋_GB2312" w:cs="仿宋_GB2312"/>
          <w:color w:val="auto"/>
          <w:sz w:val="20"/>
          <w:szCs w:val="20"/>
          <w:highlight w:val="none"/>
          <w:lang w:val="en-US" w:eastAsia="zh-Hans"/>
        </w:rPr>
      </w:pPr>
    </w:p>
    <w:p w14:paraId="2AD414E1">
      <w:pPr>
        <w:pStyle w:val="3"/>
        <w:rPr>
          <w:rFonts w:hint="eastAsia" w:ascii="仿宋_GB2312" w:hAnsi="仿宋_GB2312" w:eastAsia="仿宋_GB2312" w:cs="仿宋_GB2312"/>
          <w:color w:val="auto"/>
          <w:sz w:val="20"/>
          <w:szCs w:val="20"/>
          <w:highlight w:val="none"/>
          <w:lang w:val="en-US" w:eastAsia="zh-Hans"/>
        </w:rPr>
      </w:pPr>
    </w:p>
    <w:p w14:paraId="13B6DB3F">
      <w:pPr>
        <w:pStyle w:val="3"/>
        <w:rPr>
          <w:rFonts w:hint="eastAsia" w:ascii="仿宋_GB2312" w:hAnsi="仿宋_GB2312" w:eastAsia="仿宋_GB2312" w:cs="仿宋_GB2312"/>
          <w:color w:val="auto"/>
          <w:sz w:val="20"/>
          <w:szCs w:val="20"/>
          <w:highlight w:val="none"/>
          <w:lang w:val="en-US" w:eastAsia="zh-Hans"/>
        </w:rPr>
      </w:pPr>
    </w:p>
    <w:tbl>
      <w:tblPr>
        <w:tblStyle w:val="5"/>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36"/>
        <w:gridCol w:w="4544"/>
      </w:tblGrid>
      <w:tr w14:paraId="7937B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2" w:hRule="atLeast"/>
        </w:trPr>
        <w:tc>
          <w:tcPr>
            <w:tcW w:w="4636" w:type="dxa"/>
            <w:tcBorders>
              <w:top w:val="nil"/>
              <w:left w:val="nil"/>
              <w:bottom w:val="nil"/>
              <w:right w:val="nil"/>
            </w:tcBorders>
            <w:noWrap w:val="0"/>
            <w:vAlign w:val="top"/>
          </w:tcPr>
          <w:p w14:paraId="2228C70A">
            <w:pPr>
              <w:keepNext w:val="0"/>
              <w:keepLines w:val="0"/>
              <w:pageBreakBefore w:val="0"/>
              <w:tabs>
                <w:tab w:val="left" w:pos="480"/>
              </w:tabs>
              <w:kinsoku/>
              <w:wordWrap/>
              <w:overflowPunct/>
              <w:topLinePunct w:val="0"/>
              <w:bidi w:val="0"/>
              <w:adjustRightInd w:val="0"/>
              <w:snapToGrid w:val="0"/>
              <w:spacing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甲方（法人公章）</w:t>
            </w:r>
          </w:p>
          <w:p w14:paraId="1677F99B">
            <w:pPr>
              <w:keepNext w:val="0"/>
              <w:keepLines w:val="0"/>
              <w:pageBreakBefore w:val="0"/>
              <w:tabs>
                <w:tab w:val="left" w:pos="480"/>
              </w:tabs>
              <w:kinsoku/>
              <w:wordWrap/>
              <w:overflowPunct/>
              <w:topLinePunct w:val="0"/>
              <w:bidi w:val="0"/>
              <w:adjustRightInd w:val="0"/>
              <w:snapToGrid w:val="0"/>
              <w:spacing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单位名称：西安市胸科医院</w:t>
            </w:r>
          </w:p>
          <w:p w14:paraId="338D514F">
            <w:pPr>
              <w:keepNext w:val="0"/>
              <w:keepLines w:val="0"/>
              <w:pageBreakBefore w:val="0"/>
              <w:tabs>
                <w:tab w:val="left" w:pos="480"/>
              </w:tabs>
              <w:kinsoku/>
              <w:wordWrap/>
              <w:overflowPunct/>
              <w:topLinePunct w:val="0"/>
              <w:bidi w:val="0"/>
              <w:adjustRightInd w:val="0"/>
              <w:snapToGrid w:val="0"/>
              <w:spacing w:line="400" w:lineRule="exact"/>
              <w:textAlignment w:val="auto"/>
              <w:rPr>
                <w:rFonts w:hint="eastAsia" w:ascii="仿宋_GB2312" w:hAnsi="仿宋_GB2312" w:eastAsia="仿宋_GB2312" w:cs="仿宋_GB2312"/>
                <w:color w:val="auto"/>
                <w:sz w:val="20"/>
                <w:szCs w:val="20"/>
                <w:highlight w:val="none"/>
                <w:lang w:val="en-US" w:eastAsia="zh-Hans"/>
              </w:rPr>
            </w:pPr>
          </w:p>
        </w:tc>
        <w:tc>
          <w:tcPr>
            <w:tcW w:w="4544" w:type="dxa"/>
            <w:tcBorders>
              <w:top w:val="nil"/>
              <w:left w:val="nil"/>
              <w:bottom w:val="nil"/>
              <w:right w:val="nil"/>
            </w:tcBorders>
            <w:noWrap w:val="0"/>
            <w:vAlign w:val="top"/>
          </w:tcPr>
          <w:p w14:paraId="6A754664">
            <w:pPr>
              <w:keepNext w:val="0"/>
              <w:keepLines w:val="0"/>
              <w:pageBreakBefore w:val="0"/>
              <w:tabs>
                <w:tab w:val="left" w:pos="480"/>
              </w:tabs>
              <w:kinsoku/>
              <w:wordWrap/>
              <w:overflowPunct/>
              <w:topLinePunct w:val="0"/>
              <w:bidi w:val="0"/>
              <w:adjustRightInd w:val="0"/>
              <w:snapToGrid w:val="0"/>
              <w:spacing w:line="400" w:lineRule="exact"/>
              <w:textAlignment w:val="auto"/>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乙方（法人公章）</w:t>
            </w:r>
          </w:p>
          <w:p w14:paraId="3320D79F">
            <w:pPr>
              <w:keepNext w:val="0"/>
              <w:keepLines w:val="0"/>
              <w:pageBreakBefore w:val="0"/>
              <w:tabs>
                <w:tab w:val="left" w:pos="480"/>
              </w:tabs>
              <w:kinsoku/>
              <w:wordWrap/>
              <w:overflowPunct/>
              <w:topLinePunct w:val="0"/>
              <w:bidi w:val="0"/>
              <w:adjustRightInd w:val="0"/>
              <w:snapToGrid w:val="0"/>
              <w:spacing w:line="400" w:lineRule="exact"/>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Hans"/>
              </w:rPr>
              <w:t>单位名称：</w:t>
            </w:r>
          </w:p>
        </w:tc>
      </w:tr>
      <w:tr w14:paraId="2F040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6" w:hRule="atLeast"/>
        </w:trPr>
        <w:tc>
          <w:tcPr>
            <w:tcW w:w="4636" w:type="dxa"/>
            <w:tcBorders>
              <w:top w:val="nil"/>
              <w:left w:val="nil"/>
              <w:bottom w:val="nil"/>
              <w:right w:val="nil"/>
            </w:tcBorders>
            <w:noWrap w:val="0"/>
            <w:vAlign w:val="top"/>
          </w:tcPr>
          <w:p w14:paraId="3213896F">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地  址：西安市长安区航天大道东段</w:t>
            </w:r>
          </w:p>
          <w:p w14:paraId="2CC07C9A">
            <w:pPr>
              <w:tabs>
                <w:tab w:val="left" w:pos="480"/>
              </w:tabs>
              <w:adjustRightInd w:val="0"/>
              <w:snapToGrid w:val="0"/>
              <w:spacing w:line="500" w:lineRule="exact"/>
              <w:ind w:firstLine="800" w:firstLineChars="400"/>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杜陵西路2000号</w:t>
            </w:r>
          </w:p>
        </w:tc>
        <w:tc>
          <w:tcPr>
            <w:tcW w:w="4544" w:type="dxa"/>
            <w:tcBorders>
              <w:top w:val="nil"/>
              <w:left w:val="nil"/>
              <w:bottom w:val="nil"/>
              <w:right w:val="nil"/>
            </w:tcBorders>
            <w:noWrap w:val="0"/>
            <w:vAlign w:val="top"/>
          </w:tcPr>
          <w:p w14:paraId="17838BAE">
            <w:pPr>
              <w:tabs>
                <w:tab w:val="left" w:pos="480"/>
              </w:tabs>
              <w:adjustRightInd w:val="0"/>
              <w:snapToGrid w:val="0"/>
              <w:spacing w:line="500" w:lineRule="exac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Hans"/>
              </w:rPr>
              <w:t>地  址：</w:t>
            </w:r>
          </w:p>
        </w:tc>
      </w:tr>
      <w:tr w14:paraId="17134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trPr>
        <w:tc>
          <w:tcPr>
            <w:tcW w:w="4636" w:type="dxa"/>
            <w:tcBorders>
              <w:top w:val="nil"/>
              <w:left w:val="nil"/>
              <w:bottom w:val="nil"/>
              <w:right w:val="nil"/>
            </w:tcBorders>
            <w:noWrap w:val="0"/>
            <w:vAlign w:val="top"/>
          </w:tcPr>
          <w:p w14:paraId="1AD82B18">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法定代表人：</w:t>
            </w:r>
          </w:p>
        </w:tc>
        <w:tc>
          <w:tcPr>
            <w:tcW w:w="4544" w:type="dxa"/>
            <w:tcBorders>
              <w:top w:val="nil"/>
              <w:left w:val="nil"/>
              <w:bottom w:val="nil"/>
              <w:right w:val="nil"/>
            </w:tcBorders>
            <w:noWrap w:val="0"/>
            <w:vAlign w:val="top"/>
          </w:tcPr>
          <w:p w14:paraId="2C1EF03B">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法定代表人：</w:t>
            </w:r>
          </w:p>
        </w:tc>
      </w:tr>
      <w:tr w14:paraId="7D304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 w:hRule="atLeast"/>
        </w:trPr>
        <w:tc>
          <w:tcPr>
            <w:tcW w:w="4636" w:type="dxa"/>
            <w:tcBorders>
              <w:top w:val="nil"/>
              <w:left w:val="nil"/>
              <w:bottom w:val="nil"/>
              <w:right w:val="nil"/>
            </w:tcBorders>
            <w:noWrap w:val="0"/>
            <w:vAlign w:val="top"/>
          </w:tcPr>
          <w:p w14:paraId="5984346E">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代理人：</w:t>
            </w:r>
          </w:p>
        </w:tc>
        <w:tc>
          <w:tcPr>
            <w:tcW w:w="4544" w:type="dxa"/>
            <w:tcBorders>
              <w:top w:val="nil"/>
              <w:left w:val="nil"/>
              <w:bottom w:val="nil"/>
              <w:right w:val="nil"/>
            </w:tcBorders>
            <w:noWrap w:val="0"/>
            <w:vAlign w:val="top"/>
          </w:tcPr>
          <w:p w14:paraId="489C7043">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代理人：</w:t>
            </w:r>
          </w:p>
        </w:tc>
      </w:tr>
      <w:tr w14:paraId="1F3AE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4636" w:type="dxa"/>
            <w:tcBorders>
              <w:top w:val="nil"/>
              <w:left w:val="nil"/>
              <w:bottom w:val="nil"/>
              <w:right w:val="nil"/>
            </w:tcBorders>
            <w:noWrap w:val="0"/>
            <w:vAlign w:val="top"/>
          </w:tcPr>
          <w:p w14:paraId="75AE5064">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项目主管部门负责人：</w:t>
            </w:r>
          </w:p>
        </w:tc>
        <w:tc>
          <w:tcPr>
            <w:tcW w:w="4544" w:type="dxa"/>
            <w:tcBorders>
              <w:top w:val="nil"/>
              <w:left w:val="nil"/>
              <w:bottom w:val="nil"/>
              <w:right w:val="nil"/>
            </w:tcBorders>
            <w:noWrap w:val="0"/>
            <w:vAlign w:val="top"/>
          </w:tcPr>
          <w:p w14:paraId="1D9D0D46">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经办人：</w:t>
            </w:r>
          </w:p>
        </w:tc>
      </w:tr>
      <w:tr w14:paraId="4E444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4636" w:type="dxa"/>
            <w:tcBorders>
              <w:top w:val="nil"/>
              <w:left w:val="nil"/>
              <w:bottom w:val="nil"/>
              <w:right w:val="nil"/>
            </w:tcBorders>
            <w:noWrap w:val="0"/>
            <w:vAlign w:val="top"/>
          </w:tcPr>
          <w:p w14:paraId="492D2043">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招采办负责人：</w:t>
            </w:r>
          </w:p>
        </w:tc>
        <w:tc>
          <w:tcPr>
            <w:tcW w:w="4544" w:type="dxa"/>
            <w:tcBorders>
              <w:top w:val="nil"/>
              <w:left w:val="nil"/>
              <w:bottom w:val="nil"/>
              <w:right w:val="nil"/>
            </w:tcBorders>
            <w:noWrap w:val="0"/>
            <w:vAlign w:val="top"/>
          </w:tcPr>
          <w:p w14:paraId="75AFA16F">
            <w:pPr>
              <w:tabs>
                <w:tab w:val="left" w:pos="480"/>
              </w:tabs>
              <w:adjustRightInd w:val="0"/>
              <w:snapToGrid w:val="0"/>
              <w:spacing w:line="500" w:lineRule="exact"/>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Hans"/>
              </w:rPr>
              <w:t>联系电话：</w:t>
            </w:r>
          </w:p>
        </w:tc>
      </w:tr>
      <w:tr w14:paraId="15C75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4636" w:type="dxa"/>
            <w:tcBorders>
              <w:top w:val="nil"/>
              <w:left w:val="nil"/>
              <w:bottom w:val="nil"/>
              <w:right w:val="nil"/>
            </w:tcBorders>
            <w:noWrap w:val="0"/>
            <w:vAlign w:val="top"/>
          </w:tcPr>
          <w:p w14:paraId="7CB50245">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联系电话：029-62500115</w:t>
            </w:r>
          </w:p>
        </w:tc>
        <w:tc>
          <w:tcPr>
            <w:tcW w:w="4544" w:type="dxa"/>
            <w:tcBorders>
              <w:top w:val="nil"/>
              <w:left w:val="nil"/>
              <w:bottom w:val="nil"/>
              <w:right w:val="nil"/>
            </w:tcBorders>
            <w:noWrap w:val="0"/>
            <w:vAlign w:val="top"/>
          </w:tcPr>
          <w:p w14:paraId="53FC2D86">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开 户 行：</w:t>
            </w:r>
          </w:p>
        </w:tc>
      </w:tr>
      <w:tr w14:paraId="01FCE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36" w:type="dxa"/>
            <w:tcBorders>
              <w:top w:val="nil"/>
              <w:left w:val="nil"/>
              <w:bottom w:val="nil"/>
              <w:right w:val="nil"/>
            </w:tcBorders>
            <w:noWrap w:val="0"/>
            <w:vAlign w:val="top"/>
          </w:tcPr>
          <w:p w14:paraId="5B70CBB3">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p>
        </w:tc>
        <w:tc>
          <w:tcPr>
            <w:tcW w:w="4544" w:type="dxa"/>
            <w:tcBorders>
              <w:top w:val="nil"/>
              <w:left w:val="nil"/>
              <w:bottom w:val="nil"/>
              <w:right w:val="nil"/>
            </w:tcBorders>
            <w:noWrap w:val="0"/>
            <w:vAlign w:val="top"/>
          </w:tcPr>
          <w:p w14:paraId="6E275549">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账    号：</w:t>
            </w:r>
          </w:p>
        </w:tc>
      </w:tr>
      <w:tr w14:paraId="04C23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36" w:type="dxa"/>
            <w:tcBorders>
              <w:top w:val="nil"/>
              <w:left w:val="nil"/>
              <w:bottom w:val="nil"/>
              <w:right w:val="nil"/>
            </w:tcBorders>
            <w:noWrap w:val="0"/>
            <w:vAlign w:val="top"/>
          </w:tcPr>
          <w:p w14:paraId="48DE3B62">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签订日期：</w:t>
            </w:r>
            <w:r>
              <w:rPr>
                <w:rFonts w:hint="eastAsia" w:ascii="仿宋_GB2312" w:hAnsi="仿宋_GB2312" w:eastAsia="仿宋_GB2312" w:cs="仿宋_GB2312"/>
                <w:color w:val="auto"/>
                <w:sz w:val="20"/>
                <w:szCs w:val="20"/>
                <w:highlight w:val="none"/>
                <w:lang w:val="en-US" w:eastAsia="zh-CN"/>
              </w:rPr>
              <w:t xml:space="preserve">202  </w:t>
            </w:r>
            <w:r>
              <w:rPr>
                <w:rFonts w:hint="eastAsia" w:ascii="仿宋_GB2312" w:hAnsi="仿宋_GB2312" w:eastAsia="仿宋_GB2312" w:cs="仿宋_GB2312"/>
                <w:color w:val="auto"/>
                <w:sz w:val="20"/>
                <w:szCs w:val="20"/>
                <w:highlight w:val="none"/>
                <w:lang w:val="en-US" w:eastAsia="zh-Hans"/>
              </w:rPr>
              <w:t>年</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lang w:val="en-US" w:eastAsia="zh-Hans"/>
              </w:rPr>
              <w:t>月</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lang w:val="en-US" w:eastAsia="zh-Hans"/>
              </w:rPr>
              <w:t xml:space="preserve">日  </w:t>
            </w:r>
          </w:p>
        </w:tc>
        <w:tc>
          <w:tcPr>
            <w:tcW w:w="4544" w:type="dxa"/>
            <w:tcBorders>
              <w:top w:val="nil"/>
              <w:left w:val="nil"/>
              <w:bottom w:val="nil"/>
              <w:right w:val="nil"/>
            </w:tcBorders>
            <w:noWrap w:val="0"/>
            <w:vAlign w:val="top"/>
          </w:tcPr>
          <w:p w14:paraId="2B51FE87">
            <w:pPr>
              <w:tabs>
                <w:tab w:val="left" w:pos="480"/>
              </w:tabs>
              <w:adjustRightInd w:val="0"/>
              <w:snapToGrid w:val="0"/>
              <w:spacing w:line="500" w:lineRule="exact"/>
              <w:rPr>
                <w:rFonts w:hint="eastAsia" w:ascii="仿宋_GB2312" w:hAnsi="仿宋_GB2312" w:eastAsia="仿宋_GB2312" w:cs="仿宋_GB2312"/>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签订日期：</w:t>
            </w:r>
            <w:r>
              <w:rPr>
                <w:rFonts w:hint="eastAsia" w:ascii="仿宋_GB2312" w:hAnsi="仿宋_GB2312" w:eastAsia="仿宋_GB2312" w:cs="仿宋_GB2312"/>
                <w:color w:val="auto"/>
                <w:sz w:val="20"/>
                <w:szCs w:val="20"/>
                <w:highlight w:val="none"/>
                <w:lang w:val="en-US" w:eastAsia="zh-CN"/>
              </w:rPr>
              <w:t xml:space="preserve">202  </w:t>
            </w:r>
            <w:r>
              <w:rPr>
                <w:rFonts w:hint="eastAsia" w:ascii="仿宋_GB2312" w:hAnsi="仿宋_GB2312" w:eastAsia="仿宋_GB2312" w:cs="仿宋_GB2312"/>
                <w:color w:val="auto"/>
                <w:sz w:val="20"/>
                <w:szCs w:val="20"/>
                <w:highlight w:val="none"/>
                <w:lang w:val="en-US" w:eastAsia="zh-Hans"/>
              </w:rPr>
              <w:t>年</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lang w:val="en-US" w:eastAsia="zh-Hans"/>
              </w:rPr>
              <w:t>月</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lang w:val="en-US" w:eastAsia="zh-Hans"/>
              </w:rPr>
              <w:t xml:space="preserve">日 </w:t>
            </w:r>
          </w:p>
        </w:tc>
      </w:tr>
    </w:tbl>
    <w:p w14:paraId="15230DBC">
      <w:pPr>
        <w:adjustRightInd w:val="0"/>
        <w:snapToGrid w:val="0"/>
        <w:spacing w:line="288" w:lineRule="auto"/>
        <w:jc w:val="left"/>
        <w:outlineLvl w:val="0"/>
        <w:rPr>
          <w:rFonts w:hint="eastAsia" w:ascii="仿宋" w:hAnsi="仿宋" w:eastAsia="仿宋" w:cs="仿宋"/>
          <w:b/>
          <w:color w:val="auto"/>
          <w:szCs w:val="21"/>
          <w:highlight w:val="none"/>
        </w:rPr>
      </w:pPr>
      <w:bookmarkStart w:id="3" w:name="heading_0"/>
      <w:r>
        <w:rPr>
          <w:rFonts w:hint="eastAsia" w:ascii="仿宋" w:hAnsi="仿宋" w:eastAsia="仿宋" w:cs="仿宋"/>
          <w:b/>
          <w:color w:val="auto"/>
          <w:szCs w:val="21"/>
          <w:highlight w:val="none"/>
        </w:rPr>
        <w:t>附件：</w:t>
      </w:r>
    </w:p>
    <w:p w14:paraId="15230DBD">
      <w:pPr>
        <w:adjustRightInd w:val="0"/>
        <w:snapToGrid w:val="0"/>
        <w:spacing w:line="288" w:lineRule="auto"/>
        <w:jc w:val="center"/>
        <w:outlineLvl w:val="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供应商供货情况月度评价表</w:t>
      </w:r>
      <w:bookmarkEnd w:id="3"/>
    </w:p>
    <w:p w14:paraId="15230DBE">
      <w:pPr>
        <w:adjustRightInd w:val="0"/>
        <w:snapToGrid w:val="0"/>
        <w:spacing w:line="288" w:lineRule="auto"/>
        <w:jc w:val="lef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评价月份：    年</w:t>
      </w:r>
      <w:r>
        <w:rPr>
          <w:rFonts w:hint="eastAsia" w:ascii="仿宋" w:hAnsi="仿宋" w:eastAsia="仿宋" w:cs="仿宋"/>
          <w:b/>
          <w:i/>
          <w:color w:val="auto"/>
          <w:szCs w:val="21"/>
          <w:highlight w:val="none"/>
        </w:rPr>
        <w:t xml:space="preserve">   </w:t>
      </w:r>
      <w:r>
        <w:rPr>
          <w:rFonts w:hint="eastAsia" w:ascii="仿宋" w:hAnsi="仿宋" w:eastAsia="仿宋" w:cs="仿宋"/>
          <w:b/>
          <w:color w:val="auto"/>
          <w:szCs w:val="21"/>
          <w:highlight w:val="none"/>
        </w:rPr>
        <w:t>月</w:t>
      </w:r>
      <w:r>
        <w:rPr>
          <w:rFonts w:hint="eastAsia" w:ascii="仿宋" w:hAnsi="仿宋" w:eastAsia="仿宋" w:cs="仿宋"/>
          <w:color w:val="auto"/>
          <w:szCs w:val="21"/>
          <w:highlight w:val="none"/>
        </w:rPr>
        <w:br w:type="textWrapping"/>
      </w:r>
      <w:r>
        <w:rPr>
          <w:rFonts w:hint="eastAsia" w:ascii="仿宋" w:hAnsi="仿宋" w:eastAsia="仿宋" w:cs="仿宋"/>
          <w:b/>
          <w:color w:val="auto"/>
          <w:szCs w:val="21"/>
          <w:highlight w:val="none"/>
        </w:rPr>
        <w:t>项目名称：</w:t>
      </w:r>
      <w:r>
        <w:rPr>
          <w:rFonts w:hint="eastAsia" w:ascii="仿宋" w:hAnsi="仿宋" w:eastAsia="仿宋" w:cs="仿宋"/>
          <w:color w:val="auto"/>
          <w:szCs w:val="21"/>
          <w:highlight w:val="none"/>
        </w:rPr>
        <w:br w:type="textWrapping"/>
      </w:r>
      <w:r>
        <w:rPr>
          <w:rFonts w:hint="eastAsia" w:ascii="仿宋" w:hAnsi="仿宋" w:eastAsia="仿宋" w:cs="仿宋"/>
          <w:b/>
          <w:color w:val="auto"/>
          <w:szCs w:val="21"/>
          <w:highlight w:val="none"/>
        </w:rPr>
        <w:t>合同编号：</w:t>
      </w:r>
      <w:r>
        <w:rPr>
          <w:rFonts w:hint="eastAsia" w:ascii="仿宋" w:hAnsi="仿宋" w:eastAsia="仿宋" w:cs="仿宋"/>
          <w:color w:val="auto"/>
          <w:szCs w:val="21"/>
          <w:highlight w:val="none"/>
        </w:rPr>
        <w:br w:type="textWrapping"/>
      </w:r>
      <w:r>
        <w:rPr>
          <w:rFonts w:hint="eastAsia" w:ascii="仿宋" w:hAnsi="仿宋" w:eastAsia="仿宋" w:cs="仿宋"/>
          <w:b/>
          <w:color w:val="auto"/>
          <w:szCs w:val="21"/>
          <w:highlight w:val="none"/>
        </w:rPr>
        <w:t>供应商名称：</w:t>
      </w:r>
      <w:r>
        <w:rPr>
          <w:rFonts w:hint="eastAsia" w:ascii="仿宋" w:hAnsi="仿宋" w:eastAsia="仿宋" w:cs="仿宋"/>
          <w:color w:val="auto"/>
          <w:szCs w:val="21"/>
          <w:highlight w:val="none"/>
        </w:rPr>
        <w:br w:type="textWrapping"/>
      </w:r>
      <w:r>
        <w:rPr>
          <w:rFonts w:hint="eastAsia" w:ascii="仿宋" w:hAnsi="仿宋" w:eastAsia="仿宋" w:cs="仿宋"/>
          <w:b/>
          <w:color w:val="auto"/>
          <w:szCs w:val="21"/>
          <w:highlight w:val="none"/>
        </w:rPr>
        <w:t>联系人 / 电话：</w:t>
      </w:r>
    </w:p>
    <w:p w14:paraId="15230DBF">
      <w:pPr>
        <w:spacing w:line="288" w:lineRule="auto"/>
        <w:jc w:val="left"/>
        <w:outlineLvl w:val="1"/>
        <w:rPr>
          <w:rFonts w:hint="eastAsia" w:ascii="仿宋" w:hAnsi="仿宋" w:eastAsia="仿宋" w:cs="仿宋"/>
          <w:color w:val="auto"/>
          <w:szCs w:val="21"/>
          <w:highlight w:val="none"/>
        </w:rPr>
      </w:pPr>
      <w:bookmarkStart w:id="4" w:name="heading_1"/>
      <w:r>
        <w:rPr>
          <w:rFonts w:hint="eastAsia" w:ascii="仿宋" w:hAnsi="仿宋" w:eastAsia="仿宋" w:cs="仿宋"/>
          <w:b/>
          <w:color w:val="auto"/>
          <w:szCs w:val="21"/>
          <w:highlight w:val="none"/>
        </w:rPr>
        <w:t>一、基础供货履约评价（总分 50 分）</w:t>
      </w:r>
      <w:bookmarkEnd w:id="4"/>
    </w:p>
    <w:tbl>
      <w:tblPr>
        <w:tblStyle w:val="5"/>
        <w:tblW w:w="9972" w:type="dxa"/>
        <w:tblInd w:w="-488"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10" w:type="dxa"/>
          <w:bottom w:w="0" w:type="dxa"/>
          <w:right w:w="10" w:type="dxa"/>
        </w:tblCellMar>
      </w:tblPr>
      <w:tblGrid>
        <w:gridCol w:w="993"/>
        <w:gridCol w:w="1611"/>
        <w:gridCol w:w="2525"/>
        <w:gridCol w:w="1526"/>
        <w:gridCol w:w="1234"/>
        <w:gridCol w:w="2083"/>
      </w:tblGrid>
      <w:tr w14:paraId="15230DC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993" w:type="dxa"/>
            <w:tcBorders>
              <w:tl2br w:val="nil"/>
              <w:tr2bl w:val="nil"/>
            </w:tcBorders>
            <w:tcMar>
              <w:top w:w="60" w:type="dxa"/>
              <w:left w:w="120" w:type="dxa"/>
              <w:bottom w:w="30" w:type="dxa"/>
              <w:right w:w="120" w:type="dxa"/>
            </w:tcMar>
          </w:tcPr>
          <w:p w14:paraId="15230DC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611" w:type="dxa"/>
            <w:tcBorders>
              <w:tl2br w:val="nil"/>
              <w:tr2bl w:val="nil"/>
            </w:tcBorders>
            <w:tcMar>
              <w:top w:w="60" w:type="dxa"/>
              <w:left w:w="120" w:type="dxa"/>
              <w:bottom w:w="30" w:type="dxa"/>
              <w:right w:w="120" w:type="dxa"/>
            </w:tcMar>
          </w:tcPr>
          <w:p w14:paraId="15230DC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评价项目</w:t>
            </w:r>
          </w:p>
        </w:tc>
        <w:tc>
          <w:tcPr>
            <w:tcW w:w="2525" w:type="dxa"/>
            <w:tcBorders>
              <w:tl2br w:val="nil"/>
              <w:tr2bl w:val="nil"/>
            </w:tcBorders>
            <w:tcMar>
              <w:top w:w="60" w:type="dxa"/>
              <w:left w:w="120" w:type="dxa"/>
              <w:bottom w:w="30" w:type="dxa"/>
              <w:right w:w="120" w:type="dxa"/>
            </w:tcMar>
          </w:tcPr>
          <w:p w14:paraId="15230DC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评分标准</w:t>
            </w:r>
          </w:p>
        </w:tc>
        <w:tc>
          <w:tcPr>
            <w:tcW w:w="1526" w:type="dxa"/>
            <w:tcBorders>
              <w:tl2br w:val="nil"/>
              <w:tr2bl w:val="nil"/>
            </w:tcBorders>
            <w:tcMar>
              <w:top w:w="60" w:type="dxa"/>
              <w:left w:w="120" w:type="dxa"/>
              <w:bottom w:w="30" w:type="dxa"/>
              <w:right w:w="120" w:type="dxa"/>
            </w:tcMar>
          </w:tcPr>
          <w:p w14:paraId="15230DC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分值</w:t>
            </w:r>
          </w:p>
        </w:tc>
        <w:tc>
          <w:tcPr>
            <w:tcW w:w="1234" w:type="dxa"/>
            <w:tcBorders>
              <w:tl2br w:val="nil"/>
              <w:tr2bl w:val="nil"/>
            </w:tcBorders>
            <w:tcMar>
              <w:top w:w="60" w:type="dxa"/>
              <w:left w:w="120" w:type="dxa"/>
              <w:bottom w:w="30" w:type="dxa"/>
              <w:right w:w="120" w:type="dxa"/>
            </w:tcMar>
          </w:tcPr>
          <w:p w14:paraId="15230DC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实得分</w:t>
            </w:r>
          </w:p>
        </w:tc>
        <w:tc>
          <w:tcPr>
            <w:tcW w:w="2083" w:type="dxa"/>
            <w:tcBorders>
              <w:tl2br w:val="nil"/>
              <w:tr2bl w:val="nil"/>
            </w:tcBorders>
            <w:tcMar>
              <w:top w:w="60" w:type="dxa"/>
              <w:left w:w="120" w:type="dxa"/>
              <w:bottom w:w="30" w:type="dxa"/>
              <w:right w:w="120" w:type="dxa"/>
            </w:tcMar>
          </w:tcPr>
          <w:p w14:paraId="15230DC5">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 / 佐证说明</w:t>
            </w:r>
          </w:p>
        </w:tc>
      </w:tr>
      <w:tr w14:paraId="15230DCD">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993" w:type="dxa"/>
            <w:tcBorders>
              <w:tl2br w:val="nil"/>
              <w:tr2bl w:val="nil"/>
            </w:tcBorders>
            <w:tcMar>
              <w:top w:w="60" w:type="dxa"/>
              <w:left w:w="120" w:type="dxa"/>
              <w:bottom w:w="30" w:type="dxa"/>
              <w:right w:w="120" w:type="dxa"/>
            </w:tcMar>
          </w:tcPr>
          <w:p w14:paraId="15230DC7">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611" w:type="dxa"/>
            <w:tcBorders>
              <w:tl2br w:val="nil"/>
              <w:tr2bl w:val="nil"/>
            </w:tcBorders>
            <w:tcMar>
              <w:top w:w="60" w:type="dxa"/>
              <w:left w:w="120" w:type="dxa"/>
              <w:bottom w:w="30" w:type="dxa"/>
              <w:right w:w="120" w:type="dxa"/>
            </w:tcMar>
          </w:tcPr>
          <w:p w14:paraId="15230DC8">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供货及时性</w:t>
            </w:r>
          </w:p>
        </w:tc>
        <w:tc>
          <w:tcPr>
            <w:tcW w:w="2525" w:type="dxa"/>
            <w:tcBorders>
              <w:tl2br w:val="nil"/>
              <w:tr2bl w:val="nil"/>
            </w:tcBorders>
            <w:tcMar>
              <w:top w:w="60" w:type="dxa"/>
              <w:left w:w="120" w:type="dxa"/>
              <w:bottom w:w="30" w:type="dxa"/>
              <w:right w:w="120" w:type="dxa"/>
            </w:tcMar>
          </w:tcPr>
          <w:p w14:paraId="15230DC9">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按合同 / 订单约定时间到货；逾期一次扣 5–10 分，严重延误不得分</w:t>
            </w:r>
          </w:p>
        </w:tc>
        <w:tc>
          <w:tcPr>
            <w:tcW w:w="1526" w:type="dxa"/>
            <w:tcBorders>
              <w:tl2br w:val="nil"/>
              <w:tr2bl w:val="nil"/>
            </w:tcBorders>
            <w:tcMar>
              <w:top w:w="60" w:type="dxa"/>
              <w:left w:w="120" w:type="dxa"/>
              <w:bottom w:w="30" w:type="dxa"/>
              <w:right w:w="120" w:type="dxa"/>
            </w:tcMar>
          </w:tcPr>
          <w:p w14:paraId="15230DC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15</w:t>
            </w:r>
          </w:p>
        </w:tc>
        <w:tc>
          <w:tcPr>
            <w:tcW w:w="1234" w:type="dxa"/>
            <w:tcBorders>
              <w:tl2br w:val="nil"/>
              <w:tr2bl w:val="nil"/>
            </w:tcBorders>
            <w:tcMar>
              <w:top w:w="60" w:type="dxa"/>
              <w:left w:w="120" w:type="dxa"/>
              <w:bottom w:w="30" w:type="dxa"/>
              <w:right w:w="120" w:type="dxa"/>
            </w:tcMar>
          </w:tcPr>
          <w:p w14:paraId="15230DCB">
            <w:pPr>
              <w:jc w:val="left"/>
              <w:rPr>
                <w:rFonts w:hint="eastAsia" w:ascii="仿宋" w:hAnsi="仿宋" w:eastAsia="仿宋" w:cs="仿宋"/>
                <w:color w:val="auto"/>
                <w:szCs w:val="21"/>
                <w:highlight w:val="none"/>
              </w:rPr>
            </w:pPr>
          </w:p>
        </w:tc>
        <w:tc>
          <w:tcPr>
            <w:tcW w:w="2083" w:type="dxa"/>
            <w:tcBorders>
              <w:tl2br w:val="nil"/>
              <w:tr2bl w:val="nil"/>
            </w:tcBorders>
            <w:tcMar>
              <w:top w:w="60" w:type="dxa"/>
              <w:left w:w="120" w:type="dxa"/>
              <w:bottom w:w="30" w:type="dxa"/>
              <w:right w:w="120" w:type="dxa"/>
            </w:tcMar>
          </w:tcPr>
          <w:p w14:paraId="15230DCC">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附到货签收单 / 送货单</w:t>
            </w:r>
          </w:p>
        </w:tc>
      </w:tr>
      <w:tr w14:paraId="15230DD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993" w:type="dxa"/>
            <w:tcBorders>
              <w:tl2br w:val="nil"/>
              <w:tr2bl w:val="nil"/>
            </w:tcBorders>
            <w:tcMar>
              <w:top w:w="60" w:type="dxa"/>
              <w:left w:w="120" w:type="dxa"/>
              <w:bottom w:w="30" w:type="dxa"/>
              <w:right w:w="120" w:type="dxa"/>
            </w:tcMar>
          </w:tcPr>
          <w:p w14:paraId="15230DC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611" w:type="dxa"/>
            <w:tcBorders>
              <w:tl2br w:val="nil"/>
              <w:tr2bl w:val="nil"/>
            </w:tcBorders>
            <w:tcMar>
              <w:top w:w="60" w:type="dxa"/>
              <w:left w:w="120" w:type="dxa"/>
              <w:bottom w:w="30" w:type="dxa"/>
              <w:right w:w="120" w:type="dxa"/>
            </w:tcMar>
          </w:tcPr>
          <w:p w14:paraId="15230DCF">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供货完整性</w:t>
            </w:r>
          </w:p>
        </w:tc>
        <w:tc>
          <w:tcPr>
            <w:tcW w:w="2525" w:type="dxa"/>
            <w:tcBorders>
              <w:tl2br w:val="nil"/>
              <w:tr2bl w:val="nil"/>
            </w:tcBorders>
            <w:tcMar>
              <w:top w:w="60" w:type="dxa"/>
              <w:left w:w="120" w:type="dxa"/>
              <w:bottom w:w="30" w:type="dxa"/>
              <w:right w:w="120" w:type="dxa"/>
            </w:tcMar>
          </w:tcPr>
          <w:p w14:paraId="15230DD0">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型号、规格、数量与清单一致；缺件、漏发、错发每项扣分</w:t>
            </w:r>
          </w:p>
        </w:tc>
        <w:tc>
          <w:tcPr>
            <w:tcW w:w="1526" w:type="dxa"/>
            <w:tcBorders>
              <w:tl2br w:val="nil"/>
              <w:tr2bl w:val="nil"/>
            </w:tcBorders>
            <w:tcMar>
              <w:top w:w="60" w:type="dxa"/>
              <w:left w:w="120" w:type="dxa"/>
              <w:bottom w:w="30" w:type="dxa"/>
              <w:right w:w="120" w:type="dxa"/>
            </w:tcMar>
          </w:tcPr>
          <w:p w14:paraId="15230DD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15</w:t>
            </w:r>
          </w:p>
        </w:tc>
        <w:tc>
          <w:tcPr>
            <w:tcW w:w="1234" w:type="dxa"/>
            <w:tcBorders>
              <w:tl2br w:val="nil"/>
              <w:tr2bl w:val="nil"/>
            </w:tcBorders>
            <w:tcMar>
              <w:top w:w="60" w:type="dxa"/>
              <w:left w:w="120" w:type="dxa"/>
              <w:bottom w:w="30" w:type="dxa"/>
              <w:right w:w="120" w:type="dxa"/>
            </w:tcMar>
          </w:tcPr>
          <w:p w14:paraId="15230DD2">
            <w:pPr>
              <w:jc w:val="left"/>
              <w:rPr>
                <w:rFonts w:hint="eastAsia" w:ascii="仿宋" w:hAnsi="仿宋" w:eastAsia="仿宋" w:cs="仿宋"/>
                <w:color w:val="auto"/>
                <w:szCs w:val="21"/>
                <w:highlight w:val="none"/>
              </w:rPr>
            </w:pPr>
          </w:p>
        </w:tc>
        <w:tc>
          <w:tcPr>
            <w:tcW w:w="2083" w:type="dxa"/>
            <w:tcBorders>
              <w:tl2br w:val="nil"/>
              <w:tr2bl w:val="nil"/>
            </w:tcBorders>
            <w:tcMar>
              <w:top w:w="60" w:type="dxa"/>
              <w:left w:w="120" w:type="dxa"/>
              <w:bottom w:w="30" w:type="dxa"/>
              <w:right w:w="120" w:type="dxa"/>
            </w:tcMar>
          </w:tcPr>
          <w:p w14:paraId="15230DD3">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核对当月供货明细</w:t>
            </w:r>
          </w:p>
        </w:tc>
      </w:tr>
      <w:tr w14:paraId="15230DDB">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993" w:type="dxa"/>
            <w:tcBorders>
              <w:tl2br w:val="nil"/>
              <w:tr2bl w:val="nil"/>
            </w:tcBorders>
            <w:tcMar>
              <w:top w:w="60" w:type="dxa"/>
              <w:left w:w="120" w:type="dxa"/>
              <w:bottom w:w="30" w:type="dxa"/>
              <w:right w:w="120" w:type="dxa"/>
            </w:tcMar>
          </w:tcPr>
          <w:p w14:paraId="15230DD5">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611" w:type="dxa"/>
            <w:tcBorders>
              <w:tl2br w:val="nil"/>
              <w:tr2bl w:val="nil"/>
            </w:tcBorders>
            <w:tcMar>
              <w:top w:w="60" w:type="dxa"/>
              <w:left w:w="120" w:type="dxa"/>
              <w:bottom w:w="30" w:type="dxa"/>
              <w:right w:w="120" w:type="dxa"/>
            </w:tcMar>
          </w:tcPr>
          <w:p w14:paraId="15230DD6">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产品合规性</w:t>
            </w:r>
          </w:p>
        </w:tc>
        <w:tc>
          <w:tcPr>
            <w:tcW w:w="2525" w:type="dxa"/>
            <w:tcBorders>
              <w:tl2br w:val="nil"/>
              <w:tr2bl w:val="nil"/>
            </w:tcBorders>
            <w:tcMar>
              <w:top w:w="60" w:type="dxa"/>
              <w:left w:w="120" w:type="dxa"/>
              <w:bottom w:w="30" w:type="dxa"/>
              <w:right w:w="120" w:type="dxa"/>
            </w:tcMar>
          </w:tcPr>
          <w:p w14:paraId="15230DD7">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产品资质、证照齐全有效</w:t>
            </w:r>
          </w:p>
        </w:tc>
        <w:tc>
          <w:tcPr>
            <w:tcW w:w="1526" w:type="dxa"/>
            <w:tcBorders>
              <w:tl2br w:val="nil"/>
              <w:tr2bl w:val="nil"/>
            </w:tcBorders>
            <w:tcMar>
              <w:top w:w="60" w:type="dxa"/>
              <w:left w:w="120" w:type="dxa"/>
              <w:bottom w:w="30" w:type="dxa"/>
              <w:right w:w="120" w:type="dxa"/>
            </w:tcMar>
          </w:tcPr>
          <w:p w14:paraId="15230DD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4" w:type="dxa"/>
            <w:tcBorders>
              <w:tl2br w:val="nil"/>
              <w:tr2bl w:val="nil"/>
            </w:tcBorders>
            <w:tcMar>
              <w:top w:w="60" w:type="dxa"/>
              <w:left w:w="120" w:type="dxa"/>
              <w:bottom w:w="30" w:type="dxa"/>
              <w:right w:w="120" w:type="dxa"/>
            </w:tcMar>
          </w:tcPr>
          <w:p w14:paraId="15230DD9">
            <w:pPr>
              <w:jc w:val="left"/>
              <w:rPr>
                <w:rFonts w:hint="eastAsia" w:ascii="仿宋" w:hAnsi="仿宋" w:eastAsia="仿宋" w:cs="仿宋"/>
                <w:color w:val="auto"/>
                <w:szCs w:val="21"/>
                <w:highlight w:val="none"/>
              </w:rPr>
            </w:pPr>
          </w:p>
        </w:tc>
        <w:tc>
          <w:tcPr>
            <w:tcW w:w="2083" w:type="dxa"/>
            <w:tcBorders>
              <w:tl2br w:val="nil"/>
              <w:tr2bl w:val="nil"/>
            </w:tcBorders>
            <w:tcMar>
              <w:top w:w="60" w:type="dxa"/>
              <w:left w:w="120" w:type="dxa"/>
              <w:bottom w:w="30" w:type="dxa"/>
              <w:right w:w="120" w:type="dxa"/>
            </w:tcMar>
          </w:tcPr>
          <w:p w14:paraId="15230DDA">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厂家授权、质检资料</w:t>
            </w:r>
          </w:p>
        </w:tc>
      </w:tr>
      <w:tr w14:paraId="15230DE2">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993" w:type="dxa"/>
            <w:tcBorders>
              <w:tl2br w:val="nil"/>
              <w:tr2bl w:val="nil"/>
            </w:tcBorders>
            <w:tcMar>
              <w:top w:w="60" w:type="dxa"/>
              <w:left w:w="120" w:type="dxa"/>
              <w:bottom w:w="30" w:type="dxa"/>
              <w:right w:w="120" w:type="dxa"/>
            </w:tcMar>
          </w:tcPr>
          <w:p w14:paraId="15230DD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611" w:type="dxa"/>
            <w:tcBorders>
              <w:tl2br w:val="nil"/>
              <w:tr2bl w:val="nil"/>
            </w:tcBorders>
            <w:tcMar>
              <w:top w:w="60" w:type="dxa"/>
              <w:left w:w="120" w:type="dxa"/>
              <w:bottom w:w="30" w:type="dxa"/>
              <w:right w:w="120" w:type="dxa"/>
            </w:tcMar>
          </w:tcPr>
          <w:p w14:paraId="15230DDD">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包装运输质量</w:t>
            </w:r>
          </w:p>
        </w:tc>
        <w:tc>
          <w:tcPr>
            <w:tcW w:w="2525" w:type="dxa"/>
            <w:tcBorders>
              <w:tl2br w:val="nil"/>
              <w:tr2bl w:val="nil"/>
            </w:tcBorders>
            <w:tcMar>
              <w:top w:w="60" w:type="dxa"/>
              <w:left w:w="120" w:type="dxa"/>
              <w:bottom w:w="30" w:type="dxa"/>
              <w:right w:w="120" w:type="dxa"/>
            </w:tcMar>
          </w:tcPr>
          <w:p w14:paraId="15230DDE">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包装完好、无破损、防潮防震；运输无磕碰损坏</w:t>
            </w:r>
          </w:p>
        </w:tc>
        <w:tc>
          <w:tcPr>
            <w:tcW w:w="1526" w:type="dxa"/>
            <w:tcBorders>
              <w:tl2br w:val="nil"/>
              <w:tr2bl w:val="nil"/>
            </w:tcBorders>
            <w:tcMar>
              <w:top w:w="60" w:type="dxa"/>
              <w:left w:w="120" w:type="dxa"/>
              <w:bottom w:w="30" w:type="dxa"/>
              <w:right w:w="120" w:type="dxa"/>
            </w:tcMar>
          </w:tcPr>
          <w:p w14:paraId="15230DDF">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4" w:type="dxa"/>
            <w:tcBorders>
              <w:tl2br w:val="nil"/>
              <w:tr2bl w:val="nil"/>
            </w:tcBorders>
            <w:tcMar>
              <w:top w:w="60" w:type="dxa"/>
              <w:left w:w="120" w:type="dxa"/>
              <w:bottom w:w="30" w:type="dxa"/>
              <w:right w:w="120" w:type="dxa"/>
            </w:tcMar>
          </w:tcPr>
          <w:p w14:paraId="15230DE0">
            <w:pPr>
              <w:jc w:val="left"/>
              <w:rPr>
                <w:rFonts w:hint="eastAsia" w:ascii="仿宋" w:hAnsi="仿宋" w:eastAsia="仿宋" w:cs="仿宋"/>
                <w:color w:val="auto"/>
                <w:szCs w:val="21"/>
                <w:highlight w:val="none"/>
              </w:rPr>
            </w:pPr>
          </w:p>
        </w:tc>
        <w:tc>
          <w:tcPr>
            <w:tcW w:w="2083" w:type="dxa"/>
            <w:tcBorders>
              <w:tl2br w:val="nil"/>
              <w:tr2bl w:val="nil"/>
            </w:tcBorders>
            <w:tcMar>
              <w:top w:w="60" w:type="dxa"/>
              <w:left w:w="120" w:type="dxa"/>
              <w:bottom w:w="30" w:type="dxa"/>
              <w:right w:w="120" w:type="dxa"/>
            </w:tcMar>
          </w:tcPr>
          <w:p w14:paraId="15230DE1">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现场验收照片 / 异常记录</w:t>
            </w:r>
          </w:p>
        </w:tc>
      </w:tr>
    </w:tbl>
    <w:p w14:paraId="15230DE3">
      <w:pPr>
        <w:spacing w:line="288" w:lineRule="auto"/>
        <w:jc w:val="left"/>
        <w:outlineLvl w:val="1"/>
        <w:rPr>
          <w:rFonts w:hint="eastAsia" w:ascii="仿宋" w:hAnsi="仿宋" w:eastAsia="仿宋" w:cs="仿宋"/>
          <w:color w:val="auto"/>
          <w:szCs w:val="21"/>
          <w:highlight w:val="none"/>
        </w:rPr>
      </w:pPr>
      <w:bookmarkStart w:id="5" w:name="heading_2"/>
      <w:r>
        <w:rPr>
          <w:rFonts w:hint="eastAsia" w:ascii="仿宋" w:hAnsi="仿宋" w:eastAsia="仿宋" w:cs="仿宋"/>
          <w:b/>
          <w:color w:val="auto"/>
          <w:szCs w:val="21"/>
          <w:highlight w:val="none"/>
        </w:rPr>
        <w:t>二、产品质量与验收评价（总分 30 分）</w:t>
      </w:r>
      <w:bookmarkEnd w:id="5"/>
    </w:p>
    <w:tbl>
      <w:tblPr>
        <w:tblStyle w:val="5"/>
        <w:tblW w:w="9987" w:type="dxa"/>
        <w:tblInd w:w="-501"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10" w:type="dxa"/>
          <w:bottom w:w="0" w:type="dxa"/>
          <w:right w:w="10" w:type="dxa"/>
        </w:tblCellMar>
      </w:tblPr>
      <w:tblGrid>
        <w:gridCol w:w="1006"/>
        <w:gridCol w:w="1626"/>
        <w:gridCol w:w="2503"/>
        <w:gridCol w:w="1561"/>
        <w:gridCol w:w="1239"/>
        <w:gridCol w:w="2052"/>
      </w:tblGrid>
      <w:tr w14:paraId="15230DEA">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06" w:type="dxa"/>
            <w:tcBorders>
              <w:tl2br w:val="nil"/>
              <w:tr2bl w:val="nil"/>
            </w:tcBorders>
            <w:tcMar>
              <w:top w:w="60" w:type="dxa"/>
              <w:left w:w="120" w:type="dxa"/>
              <w:bottom w:w="30" w:type="dxa"/>
              <w:right w:w="120" w:type="dxa"/>
            </w:tcMar>
          </w:tcPr>
          <w:p w14:paraId="15230DE4">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626" w:type="dxa"/>
            <w:tcBorders>
              <w:tl2br w:val="nil"/>
              <w:tr2bl w:val="nil"/>
            </w:tcBorders>
            <w:tcMar>
              <w:top w:w="60" w:type="dxa"/>
              <w:left w:w="120" w:type="dxa"/>
              <w:bottom w:w="30" w:type="dxa"/>
              <w:right w:w="120" w:type="dxa"/>
            </w:tcMar>
          </w:tcPr>
          <w:p w14:paraId="15230DE5">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评价项目</w:t>
            </w:r>
          </w:p>
        </w:tc>
        <w:tc>
          <w:tcPr>
            <w:tcW w:w="2503" w:type="dxa"/>
            <w:tcBorders>
              <w:tl2br w:val="nil"/>
              <w:tr2bl w:val="nil"/>
            </w:tcBorders>
            <w:tcMar>
              <w:top w:w="60" w:type="dxa"/>
              <w:left w:w="120" w:type="dxa"/>
              <w:bottom w:w="30" w:type="dxa"/>
              <w:right w:w="120" w:type="dxa"/>
            </w:tcMar>
          </w:tcPr>
          <w:p w14:paraId="15230DE6">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评分标准</w:t>
            </w:r>
          </w:p>
        </w:tc>
        <w:tc>
          <w:tcPr>
            <w:tcW w:w="1561" w:type="dxa"/>
            <w:tcBorders>
              <w:tl2br w:val="nil"/>
              <w:tr2bl w:val="nil"/>
            </w:tcBorders>
            <w:tcMar>
              <w:top w:w="60" w:type="dxa"/>
              <w:left w:w="120" w:type="dxa"/>
              <w:bottom w:w="30" w:type="dxa"/>
              <w:right w:w="120" w:type="dxa"/>
            </w:tcMar>
          </w:tcPr>
          <w:p w14:paraId="15230DE7">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分值</w:t>
            </w:r>
          </w:p>
        </w:tc>
        <w:tc>
          <w:tcPr>
            <w:tcW w:w="1239" w:type="dxa"/>
            <w:tcBorders>
              <w:tl2br w:val="nil"/>
              <w:tr2bl w:val="nil"/>
            </w:tcBorders>
            <w:tcMar>
              <w:top w:w="60" w:type="dxa"/>
              <w:left w:w="120" w:type="dxa"/>
              <w:bottom w:w="30" w:type="dxa"/>
              <w:right w:w="120" w:type="dxa"/>
            </w:tcMar>
          </w:tcPr>
          <w:p w14:paraId="15230DE8">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实得分</w:t>
            </w:r>
          </w:p>
        </w:tc>
        <w:tc>
          <w:tcPr>
            <w:tcW w:w="2052" w:type="dxa"/>
            <w:tcBorders>
              <w:tl2br w:val="nil"/>
              <w:tr2bl w:val="nil"/>
            </w:tcBorders>
            <w:tcMar>
              <w:top w:w="60" w:type="dxa"/>
              <w:left w:w="120" w:type="dxa"/>
              <w:bottom w:w="30" w:type="dxa"/>
              <w:right w:w="120" w:type="dxa"/>
            </w:tcMar>
          </w:tcPr>
          <w:p w14:paraId="15230DE9">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 / 佐证说明</w:t>
            </w:r>
          </w:p>
        </w:tc>
      </w:tr>
      <w:tr w14:paraId="15230DF1">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06" w:type="dxa"/>
            <w:tcBorders>
              <w:tl2br w:val="nil"/>
              <w:tr2bl w:val="nil"/>
            </w:tcBorders>
            <w:tcMar>
              <w:top w:w="60" w:type="dxa"/>
              <w:left w:w="120" w:type="dxa"/>
              <w:bottom w:w="30" w:type="dxa"/>
              <w:right w:w="120" w:type="dxa"/>
            </w:tcMar>
          </w:tcPr>
          <w:p w14:paraId="15230DEB">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626" w:type="dxa"/>
            <w:tcBorders>
              <w:tl2br w:val="nil"/>
              <w:tr2bl w:val="nil"/>
            </w:tcBorders>
            <w:tcMar>
              <w:top w:w="60" w:type="dxa"/>
              <w:left w:w="120" w:type="dxa"/>
              <w:bottom w:w="30" w:type="dxa"/>
              <w:right w:w="120" w:type="dxa"/>
            </w:tcMar>
          </w:tcPr>
          <w:p w14:paraId="15230DEC">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到货验收合格率</w:t>
            </w:r>
          </w:p>
        </w:tc>
        <w:tc>
          <w:tcPr>
            <w:tcW w:w="2503" w:type="dxa"/>
            <w:tcBorders>
              <w:tl2br w:val="nil"/>
              <w:tr2bl w:val="nil"/>
            </w:tcBorders>
            <w:tcMar>
              <w:top w:w="60" w:type="dxa"/>
              <w:left w:w="120" w:type="dxa"/>
              <w:bottom w:w="30" w:type="dxa"/>
              <w:right w:w="120" w:type="dxa"/>
            </w:tcMar>
          </w:tcPr>
          <w:p w14:paraId="15230DED">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当月到货一次性验收合格；返修 / 换货酌情扣分</w:t>
            </w:r>
          </w:p>
        </w:tc>
        <w:tc>
          <w:tcPr>
            <w:tcW w:w="1561" w:type="dxa"/>
            <w:tcBorders>
              <w:tl2br w:val="nil"/>
              <w:tr2bl w:val="nil"/>
            </w:tcBorders>
            <w:tcMar>
              <w:top w:w="60" w:type="dxa"/>
              <w:left w:w="120" w:type="dxa"/>
              <w:bottom w:w="30" w:type="dxa"/>
              <w:right w:w="120" w:type="dxa"/>
            </w:tcMar>
          </w:tcPr>
          <w:p w14:paraId="15230DEE">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15</w:t>
            </w:r>
          </w:p>
        </w:tc>
        <w:tc>
          <w:tcPr>
            <w:tcW w:w="1239" w:type="dxa"/>
            <w:tcBorders>
              <w:tl2br w:val="nil"/>
              <w:tr2bl w:val="nil"/>
            </w:tcBorders>
            <w:tcMar>
              <w:top w:w="60" w:type="dxa"/>
              <w:left w:w="120" w:type="dxa"/>
              <w:bottom w:w="30" w:type="dxa"/>
              <w:right w:w="120" w:type="dxa"/>
            </w:tcMar>
          </w:tcPr>
          <w:p w14:paraId="15230DEF">
            <w:pPr>
              <w:spacing w:line="288" w:lineRule="auto"/>
              <w:jc w:val="left"/>
              <w:rPr>
                <w:rFonts w:hint="eastAsia" w:ascii="仿宋" w:hAnsi="仿宋" w:eastAsia="仿宋" w:cs="仿宋"/>
                <w:color w:val="auto"/>
                <w:szCs w:val="21"/>
                <w:highlight w:val="none"/>
              </w:rPr>
            </w:pPr>
          </w:p>
        </w:tc>
        <w:tc>
          <w:tcPr>
            <w:tcW w:w="2052" w:type="dxa"/>
            <w:tcBorders>
              <w:tl2br w:val="nil"/>
              <w:tr2bl w:val="nil"/>
            </w:tcBorders>
            <w:tcMar>
              <w:top w:w="60" w:type="dxa"/>
              <w:left w:w="120" w:type="dxa"/>
              <w:bottom w:w="30" w:type="dxa"/>
              <w:right w:w="120" w:type="dxa"/>
            </w:tcMar>
          </w:tcPr>
          <w:p w14:paraId="15230DF0">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验收单、不合格整改记录</w:t>
            </w:r>
          </w:p>
        </w:tc>
      </w:tr>
      <w:tr w14:paraId="15230DF8">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06" w:type="dxa"/>
            <w:tcBorders>
              <w:tl2br w:val="nil"/>
              <w:tr2bl w:val="nil"/>
            </w:tcBorders>
            <w:tcMar>
              <w:top w:w="60" w:type="dxa"/>
              <w:left w:w="120" w:type="dxa"/>
              <w:bottom w:w="30" w:type="dxa"/>
              <w:right w:w="120" w:type="dxa"/>
            </w:tcMar>
          </w:tcPr>
          <w:p w14:paraId="15230DF2">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626" w:type="dxa"/>
            <w:tcBorders>
              <w:tl2br w:val="nil"/>
              <w:tr2bl w:val="nil"/>
            </w:tcBorders>
            <w:tcMar>
              <w:top w:w="60" w:type="dxa"/>
              <w:left w:w="120" w:type="dxa"/>
              <w:bottom w:w="30" w:type="dxa"/>
              <w:right w:w="120" w:type="dxa"/>
            </w:tcMar>
          </w:tcPr>
          <w:p w14:paraId="15230DF3">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技术参数符合性</w:t>
            </w:r>
          </w:p>
        </w:tc>
        <w:tc>
          <w:tcPr>
            <w:tcW w:w="2503" w:type="dxa"/>
            <w:tcBorders>
              <w:tl2br w:val="nil"/>
              <w:tr2bl w:val="nil"/>
            </w:tcBorders>
            <w:tcMar>
              <w:top w:w="60" w:type="dxa"/>
              <w:left w:w="120" w:type="dxa"/>
              <w:bottom w:w="30" w:type="dxa"/>
              <w:right w:w="120" w:type="dxa"/>
            </w:tcMar>
          </w:tcPr>
          <w:p w14:paraId="15230DF4">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设备 / 货物参数响应招标及合同要求，无偏离 / 虚标</w:t>
            </w:r>
          </w:p>
        </w:tc>
        <w:tc>
          <w:tcPr>
            <w:tcW w:w="1561" w:type="dxa"/>
            <w:tcBorders>
              <w:tl2br w:val="nil"/>
              <w:tr2bl w:val="nil"/>
            </w:tcBorders>
            <w:tcMar>
              <w:top w:w="60" w:type="dxa"/>
              <w:left w:w="120" w:type="dxa"/>
              <w:bottom w:w="30" w:type="dxa"/>
              <w:right w:w="120" w:type="dxa"/>
            </w:tcMar>
          </w:tcPr>
          <w:p w14:paraId="15230DF5">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9" w:type="dxa"/>
            <w:tcBorders>
              <w:tl2br w:val="nil"/>
              <w:tr2bl w:val="nil"/>
            </w:tcBorders>
            <w:tcMar>
              <w:top w:w="60" w:type="dxa"/>
              <w:left w:w="120" w:type="dxa"/>
              <w:bottom w:w="30" w:type="dxa"/>
              <w:right w:w="120" w:type="dxa"/>
            </w:tcMar>
          </w:tcPr>
          <w:p w14:paraId="15230DF6">
            <w:pPr>
              <w:spacing w:line="288" w:lineRule="auto"/>
              <w:jc w:val="left"/>
              <w:rPr>
                <w:rFonts w:hint="eastAsia" w:ascii="仿宋" w:hAnsi="仿宋" w:eastAsia="仿宋" w:cs="仿宋"/>
                <w:color w:val="auto"/>
                <w:szCs w:val="21"/>
                <w:highlight w:val="none"/>
              </w:rPr>
            </w:pPr>
          </w:p>
        </w:tc>
        <w:tc>
          <w:tcPr>
            <w:tcW w:w="2052" w:type="dxa"/>
            <w:tcBorders>
              <w:tl2br w:val="nil"/>
              <w:tr2bl w:val="nil"/>
            </w:tcBorders>
            <w:tcMar>
              <w:top w:w="60" w:type="dxa"/>
              <w:left w:w="120" w:type="dxa"/>
              <w:bottom w:w="30" w:type="dxa"/>
              <w:right w:w="120" w:type="dxa"/>
            </w:tcMar>
          </w:tcPr>
          <w:p w14:paraId="15230DF7">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参数比对表</w:t>
            </w:r>
          </w:p>
        </w:tc>
      </w:tr>
      <w:tr w14:paraId="15230DF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06" w:type="dxa"/>
            <w:tcBorders>
              <w:tl2br w:val="nil"/>
              <w:tr2bl w:val="nil"/>
            </w:tcBorders>
            <w:tcMar>
              <w:top w:w="60" w:type="dxa"/>
              <w:left w:w="120" w:type="dxa"/>
              <w:bottom w:w="30" w:type="dxa"/>
              <w:right w:w="120" w:type="dxa"/>
            </w:tcMar>
          </w:tcPr>
          <w:p w14:paraId="15230DF9">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626" w:type="dxa"/>
            <w:tcBorders>
              <w:tl2br w:val="nil"/>
              <w:tr2bl w:val="nil"/>
            </w:tcBorders>
            <w:tcMar>
              <w:top w:w="60" w:type="dxa"/>
              <w:left w:w="120" w:type="dxa"/>
              <w:bottom w:w="30" w:type="dxa"/>
              <w:right w:w="120" w:type="dxa"/>
            </w:tcMar>
          </w:tcPr>
          <w:p w14:paraId="15230DFA">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资料交付完整性</w:t>
            </w:r>
          </w:p>
        </w:tc>
        <w:tc>
          <w:tcPr>
            <w:tcW w:w="2503" w:type="dxa"/>
            <w:tcBorders>
              <w:tl2br w:val="nil"/>
              <w:tr2bl w:val="nil"/>
            </w:tcBorders>
            <w:tcMar>
              <w:top w:w="60" w:type="dxa"/>
              <w:left w:w="120" w:type="dxa"/>
              <w:bottom w:w="30" w:type="dxa"/>
              <w:right w:w="120" w:type="dxa"/>
            </w:tcMar>
          </w:tcPr>
          <w:p w14:paraId="15230DFB">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合格证、说明书、检测报告、归档资料同步交付</w:t>
            </w:r>
          </w:p>
        </w:tc>
        <w:tc>
          <w:tcPr>
            <w:tcW w:w="1561" w:type="dxa"/>
            <w:tcBorders>
              <w:tl2br w:val="nil"/>
              <w:tr2bl w:val="nil"/>
            </w:tcBorders>
            <w:tcMar>
              <w:top w:w="60" w:type="dxa"/>
              <w:left w:w="120" w:type="dxa"/>
              <w:bottom w:w="30" w:type="dxa"/>
              <w:right w:w="120" w:type="dxa"/>
            </w:tcMar>
          </w:tcPr>
          <w:p w14:paraId="15230DFC">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9" w:type="dxa"/>
            <w:tcBorders>
              <w:tl2br w:val="nil"/>
              <w:tr2bl w:val="nil"/>
            </w:tcBorders>
            <w:tcMar>
              <w:top w:w="60" w:type="dxa"/>
              <w:left w:w="120" w:type="dxa"/>
              <w:bottom w:w="30" w:type="dxa"/>
              <w:right w:w="120" w:type="dxa"/>
            </w:tcMar>
          </w:tcPr>
          <w:p w14:paraId="15230DFD">
            <w:pPr>
              <w:spacing w:line="288" w:lineRule="auto"/>
              <w:jc w:val="left"/>
              <w:rPr>
                <w:rFonts w:hint="eastAsia" w:ascii="仿宋" w:hAnsi="仿宋" w:eastAsia="仿宋" w:cs="仿宋"/>
                <w:color w:val="auto"/>
                <w:szCs w:val="21"/>
                <w:highlight w:val="none"/>
              </w:rPr>
            </w:pPr>
          </w:p>
        </w:tc>
        <w:tc>
          <w:tcPr>
            <w:tcW w:w="2052" w:type="dxa"/>
            <w:tcBorders>
              <w:tl2br w:val="nil"/>
              <w:tr2bl w:val="nil"/>
            </w:tcBorders>
            <w:tcMar>
              <w:top w:w="60" w:type="dxa"/>
              <w:left w:w="120" w:type="dxa"/>
              <w:bottom w:w="30" w:type="dxa"/>
              <w:right w:w="120" w:type="dxa"/>
            </w:tcMar>
          </w:tcPr>
          <w:p w14:paraId="15230DFE">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资料移交清单</w:t>
            </w:r>
          </w:p>
        </w:tc>
      </w:tr>
    </w:tbl>
    <w:p w14:paraId="15230E00">
      <w:pPr>
        <w:spacing w:line="288" w:lineRule="auto"/>
        <w:jc w:val="left"/>
        <w:outlineLvl w:val="1"/>
        <w:rPr>
          <w:rFonts w:hint="eastAsia" w:ascii="仿宋" w:hAnsi="仿宋" w:eastAsia="仿宋" w:cs="仿宋"/>
          <w:color w:val="auto"/>
          <w:szCs w:val="21"/>
          <w:highlight w:val="none"/>
        </w:rPr>
      </w:pPr>
      <w:bookmarkStart w:id="6" w:name="heading_3"/>
      <w:r>
        <w:rPr>
          <w:rFonts w:hint="eastAsia" w:ascii="仿宋" w:hAnsi="仿宋" w:eastAsia="仿宋" w:cs="仿宋"/>
          <w:b/>
          <w:color w:val="auto"/>
          <w:szCs w:val="21"/>
          <w:highlight w:val="none"/>
        </w:rPr>
        <w:t>三、售后服务与配合评价（总分 20 分）</w:t>
      </w:r>
      <w:bookmarkEnd w:id="6"/>
    </w:p>
    <w:tbl>
      <w:tblPr>
        <w:tblStyle w:val="5"/>
        <w:tblW w:w="10052" w:type="dxa"/>
        <w:tblInd w:w="-566"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10" w:type="dxa"/>
          <w:bottom w:w="0" w:type="dxa"/>
          <w:right w:w="10" w:type="dxa"/>
        </w:tblCellMar>
      </w:tblPr>
      <w:tblGrid>
        <w:gridCol w:w="1045"/>
        <w:gridCol w:w="1665"/>
        <w:gridCol w:w="2477"/>
        <w:gridCol w:w="1562"/>
        <w:gridCol w:w="1264"/>
        <w:gridCol w:w="2039"/>
      </w:tblGrid>
      <w:tr w14:paraId="15230E07">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45" w:type="dxa"/>
            <w:tcBorders>
              <w:tl2br w:val="nil"/>
              <w:tr2bl w:val="nil"/>
            </w:tcBorders>
            <w:tcMar>
              <w:top w:w="60" w:type="dxa"/>
              <w:left w:w="120" w:type="dxa"/>
              <w:bottom w:w="30" w:type="dxa"/>
              <w:right w:w="120" w:type="dxa"/>
            </w:tcMar>
          </w:tcPr>
          <w:p w14:paraId="15230E01">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665" w:type="dxa"/>
            <w:tcBorders>
              <w:tl2br w:val="nil"/>
              <w:tr2bl w:val="nil"/>
            </w:tcBorders>
            <w:tcMar>
              <w:top w:w="60" w:type="dxa"/>
              <w:left w:w="120" w:type="dxa"/>
              <w:bottom w:w="30" w:type="dxa"/>
              <w:right w:w="120" w:type="dxa"/>
            </w:tcMar>
          </w:tcPr>
          <w:p w14:paraId="15230E02">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评价项目</w:t>
            </w:r>
          </w:p>
        </w:tc>
        <w:tc>
          <w:tcPr>
            <w:tcW w:w="2477" w:type="dxa"/>
            <w:tcBorders>
              <w:tl2br w:val="nil"/>
              <w:tr2bl w:val="nil"/>
            </w:tcBorders>
            <w:tcMar>
              <w:top w:w="60" w:type="dxa"/>
              <w:left w:w="120" w:type="dxa"/>
              <w:bottom w:w="30" w:type="dxa"/>
              <w:right w:w="120" w:type="dxa"/>
            </w:tcMar>
          </w:tcPr>
          <w:p w14:paraId="15230E03">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评分标准</w:t>
            </w:r>
          </w:p>
        </w:tc>
        <w:tc>
          <w:tcPr>
            <w:tcW w:w="1562" w:type="dxa"/>
            <w:tcBorders>
              <w:tl2br w:val="nil"/>
              <w:tr2bl w:val="nil"/>
            </w:tcBorders>
            <w:tcMar>
              <w:top w:w="60" w:type="dxa"/>
              <w:left w:w="120" w:type="dxa"/>
              <w:bottom w:w="30" w:type="dxa"/>
              <w:right w:w="120" w:type="dxa"/>
            </w:tcMar>
          </w:tcPr>
          <w:p w14:paraId="15230E04">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分值</w:t>
            </w:r>
          </w:p>
        </w:tc>
        <w:tc>
          <w:tcPr>
            <w:tcW w:w="1264" w:type="dxa"/>
            <w:tcBorders>
              <w:tl2br w:val="nil"/>
              <w:tr2bl w:val="nil"/>
            </w:tcBorders>
            <w:tcMar>
              <w:top w:w="60" w:type="dxa"/>
              <w:left w:w="120" w:type="dxa"/>
              <w:bottom w:w="30" w:type="dxa"/>
              <w:right w:w="120" w:type="dxa"/>
            </w:tcMar>
          </w:tcPr>
          <w:p w14:paraId="15230E05">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实得分</w:t>
            </w:r>
          </w:p>
        </w:tc>
        <w:tc>
          <w:tcPr>
            <w:tcW w:w="2039" w:type="dxa"/>
            <w:tcBorders>
              <w:tl2br w:val="nil"/>
              <w:tr2bl w:val="nil"/>
            </w:tcBorders>
            <w:tcMar>
              <w:top w:w="60" w:type="dxa"/>
              <w:left w:w="120" w:type="dxa"/>
              <w:bottom w:w="30" w:type="dxa"/>
              <w:right w:w="120" w:type="dxa"/>
            </w:tcMar>
          </w:tcPr>
          <w:p w14:paraId="15230E06">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 / 佐证说明</w:t>
            </w:r>
          </w:p>
        </w:tc>
      </w:tr>
      <w:tr w14:paraId="15230E0E">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45" w:type="dxa"/>
            <w:tcBorders>
              <w:tl2br w:val="nil"/>
              <w:tr2bl w:val="nil"/>
            </w:tcBorders>
            <w:tcMar>
              <w:top w:w="60" w:type="dxa"/>
              <w:left w:w="120" w:type="dxa"/>
              <w:bottom w:w="30" w:type="dxa"/>
              <w:right w:w="120" w:type="dxa"/>
            </w:tcMar>
          </w:tcPr>
          <w:p w14:paraId="15230E08">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665" w:type="dxa"/>
            <w:tcBorders>
              <w:tl2br w:val="nil"/>
              <w:tr2bl w:val="nil"/>
            </w:tcBorders>
            <w:tcMar>
              <w:top w:w="60" w:type="dxa"/>
              <w:left w:w="120" w:type="dxa"/>
              <w:bottom w:w="30" w:type="dxa"/>
              <w:right w:w="120" w:type="dxa"/>
            </w:tcMar>
          </w:tcPr>
          <w:p w14:paraId="15230E09">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响应时效</w:t>
            </w:r>
          </w:p>
        </w:tc>
        <w:tc>
          <w:tcPr>
            <w:tcW w:w="2477" w:type="dxa"/>
            <w:tcBorders>
              <w:tl2br w:val="nil"/>
              <w:tr2bl w:val="nil"/>
            </w:tcBorders>
            <w:tcMar>
              <w:top w:w="60" w:type="dxa"/>
              <w:left w:w="120" w:type="dxa"/>
              <w:bottom w:w="30" w:type="dxa"/>
              <w:right w:w="120" w:type="dxa"/>
            </w:tcMar>
          </w:tcPr>
          <w:p w14:paraId="15230E0A">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咨询、故障、报修响应及时，按约定时限到场 / 回复</w:t>
            </w:r>
          </w:p>
        </w:tc>
        <w:tc>
          <w:tcPr>
            <w:tcW w:w="1562" w:type="dxa"/>
            <w:tcBorders>
              <w:tl2br w:val="nil"/>
              <w:tr2bl w:val="nil"/>
            </w:tcBorders>
            <w:tcMar>
              <w:top w:w="60" w:type="dxa"/>
              <w:left w:w="120" w:type="dxa"/>
              <w:bottom w:w="30" w:type="dxa"/>
              <w:right w:w="120" w:type="dxa"/>
            </w:tcMar>
          </w:tcPr>
          <w:p w14:paraId="15230E0B">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64" w:type="dxa"/>
            <w:tcBorders>
              <w:tl2br w:val="nil"/>
              <w:tr2bl w:val="nil"/>
            </w:tcBorders>
            <w:tcMar>
              <w:top w:w="60" w:type="dxa"/>
              <w:left w:w="120" w:type="dxa"/>
              <w:bottom w:w="30" w:type="dxa"/>
              <w:right w:w="120" w:type="dxa"/>
            </w:tcMar>
          </w:tcPr>
          <w:p w14:paraId="15230E0C">
            <w:pPr>
              <w:spacing w:line="288" w:lineRule="auto"/>
              <w:jc w:val="left"/>
              <w:rPr>
                <w:rFonts w:hint="eastAsia" w:ascii="仿宋" w:hAnsi="仿宋" w:eastAsia="仿宋" w:cs="仿宋"/>
                <w:color w:val="auto"/>
                <w:szCs w:val="21"/>
                <w:highlight w:val="none"/>
              </w:rPr>
            </w:pPr>
          </w:p>
        </w:tc>
        <w:tc>
          <w:tcPr>
            <w:tcW w:w="2039" w:type="dxa"/>
            <w:tcBorders>
              <w:tl2br w:val="nil"/>
              <w:tr2bl w:val="nil"/>
            </w:tcBorders>
            <w:tcMar>
              <w:top w:w="60" w:type="dxa"/>
              <w:left w:w="120" w:type="dxa"/>
              <w:bottom w:w="30" w:type="dxa"/>
              <w:right w:w="120" w:type="dxa"/>
            </w:tcMar>
          </w:tcPr>
          <w:p w14:paraId="15230E0D">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报修记录、沟通台账</w:t>
            </w:r>
          </w:p>
        </w:tc>
      </w:tr>
      <w:tr w14:paraId="15230E15">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45" w:type="dxa"/>
            <w:tcBorders>
              <w:tl2br w:val="nil"/>
              <w:tr2bl w:val="nil"/>
            </w:tcBorders>
            <w:tcMar>
              <w:top w:w="60" w:type="dxa"/>
              <w:left w:w="120" w:type="dxa"/>
              <w:bottom w:w="30" w:type="dxa"/>
              <w:right w:w="120" w:type="dxa"/>
            </w:tcMar>
          </w:tcPr>
          <w:p w14:paraId="15230E0F">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665" w:type="dxa"/>
            <w:tcBorders>
              <w:tl2br w:val="nil"/>
              <w:tr2bl w:val="nil"/>
            </w:tcBorders>
            <w:tcMar>
              <w:top w:w="60" w:type="dxa"/>
              <w:left w:w="120" w:type="dxa"/>
              <w:bottom w:w="30" w:type="dxa"/>
              <w:right w:w="120" w:type="dxa"/>
            </w:tcMar>
          </w:tcPr>
          <w:p w14:paraId="15230E10">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安装调试 / 培训</w:t>
            </w:r>
          </w:p>
        </w:tc>
        <w:tc>
          <w:tcPr>
            <w:tcW w:w="2477" w:type="dxa"/>
            <w:tcBorders>
              <w:tl2br w:val="nil"/>
              <w:tr2bl w:val="nil"/>
            </w:tcBorders>
            <w:tcMar>
              <w:top w:w="60" w:type="dxa"/>
              <w:left w:w="120" w:type="dxa"/>
              <w:bottom w:w="30" w:type="dxa"/>
              <w:right w:w="120" w:type="dxa"/>
            </w:tcMar>
          </w:tcPr>
          <w:p w14:paraId="15230E11">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按需完成安装、调试、操作培训、交底到位</w:t>
            </w:r>
          </w:p>
        </w:tc>
        <w:tc>
          <w:tcPr>
            <w:tcW w:w="1562" w:type="dxa"/>
            <w:tcBorders>
              <w:tl2br w:val="nil"/>
              <w:tr2bl w:val="nil"/>
            </w:tcBorders>
            <w:tcMar>
              <w:top w:w="60" w:type="dxa"/>
              <w:left w:w="120" w:type="dxa"/>
              <w:bottom w:w="30" w:type="dxa"/>
              <w:right w:w="120" w:type="dxa"/>
            </w:tcMar>
          </w:tcPr>
          <w:p w14:paraId="15230E12">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64" w:type="dxa"/>
            <w:tcBorders>
              <w:tl2br w:val="nil"/>
              <w:tr2bl w:val="nil"/>
            </w:tcBorders>
            <w:tcMar>
              <w:top w:w="60" w:type="dxa"/>
              <w:left w:w="120" w:type="dxa"/>
              <w:bottom w:w="30" w:type="dxa"/>
              <w:right w:w="120" w:type="dxa"/>
            </w:tcMar>
          </w:tcPr>
          <w:p w14:paraId="15230E13">
            <w:pPr>
              <w:spacing w:line="288" w:lineRule="auto"/>
              <w:jc w:val="left"/>
              <w:rPr>
                <w:rFonts w:hint="eastAsia" w:ascii="仿宋" w:hAnsi="仿宋" w:eastAsia="仿宋" w:cs="仿宋"/>
                <w:color w:val="auto"/>
                <w:szCs w:val="21"/>
                <w:highlight w:val="none"/>
              </w:rPr>
            </w:pPr>
          </w:p>
        </w:tc>
        <w:tc>
          <w:tcPr>
            <w:tcW w:w="2039" w:type="dxa"/>
            <w:tcBorders>
              <w:tl2br w:val="nil"/>
              <w:tr2bl w:val="nil"/>
            </w:tcBorders>
            <w:tcMar>
              <w:top w:w="60" w:type="dxa"/>
              <w:left w:w="120" w:type="dxa"/>
              <w:bottom w:w="30" w:type="dxa"/>
              <w:right w:w="120" w:type="dxa"/>
            </w:tcMar>
          </w:tcPr>
          <w:p w14:paraId="15230E14">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培训签到表 / 调试记录</w:t>
            </w:r>
          </w:p>
        </w:tc>
      </w:tr>
      <w:tr w14:paraId="15230E1C">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045" w:type="dxa"/>
            <w:tcBorders>
              <w:tl2br w:val="nil"/>
              <w:tr2bl w:val="nil"/>
            </w:tcBorders>
            <w:tcMar>
              <w:top w:w="60" w:type="dxa"/>
              <w:left w:w="120" w:type="dxa"/>
              <w:bottom w:w="30" w:type="dxa"/>
              <w:right w:w="120" w:type="dxa"/>
            </w:tcMar>
          </w:tcPr>
          <w:p w14:paraId="15230E16">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665" w:type="dxa"/>
            <w:tcBorders>
              <w:tl2br w:val="nil"/>
              <w:tr2bl w:val="nil"/>
            </w:tcBorders>
            <w:tcMar>
              <w:top w:w="60" w:type="dxa"/>
              <w:left w:w="120" w:type="dxa"/>
              <w:bottom w:w="30" w:type="dxa"/>
              <w:right w:w="120" w:type="dxa"/>
            </w:tcMar>
          </w:tcPr>
          <w:p w14:paraId="15230E17">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现场配合与服务态度</w:t>
            </w:r>
          </w:p>
        </w:tc>
        <w:tc>
          <w:tcPr>
            <w:tcW w:w="2477" w:type="dxa"/>
            <w:tcBorders>
              <w:tl2br w:val="nil"/>
              <w:tr2bl w:val="nil"/>
            </w:tcBorders>
            <w:tcMar>
              <w:top w:w="60" w:type="dxa"/>
              <w:left w:w="120" w:type="dxa"/>
              <w:bottom w:w="30" w:type="dxa"/>
              <w:right w:w="120" w:type="dxa"/>
            </w:tcMar>
          </w:tcPr>
          <w:p w14:paraId="15230E18">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配合甲方管理、整改积极、沟通顺畅、履约规范</w:t>
            </w:r>
            <w:bookmarkStart w:id="11" w:name="_GoBack"/>
            <w:bookmarkEnd w:id="11"/>
          </w:p>
        </w:tc>
        <w:tc>
          <w:tcPr>
            <w:tcW w:w="1562" w:type="dxa"/>
            <w:tcBorders>
              <w:tl2br w:val="nil"/>
              <w:tr2bl w:val="nil"/>
            </w:tcBorders>
            <w:tcMar>
              <w:top w:w="60" w:type="dxa"/>
              <w:left w:w="120" w:type="dxa"/>
              <w:bottom w:w="30" w:type="dxa"/>
              <w:right w:w="120" w:type="dxa"/>
            </w:tcMar>
          </w:tcPr>
          <w:p w14:paraId="15230E19">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64" w:type="dxa"/>
            <w:tcBorders>
              <w:tl2br w:val="nil"/>
              <w:tr2bl w:val="nil"/>
            </w:tcBorders>
            <w:tcMar>
              <w:top w:w="60" w:type="dxa"/>
              <w:left w:w="120" w:type="dxa"/>
              <w:bottom w:w="30" w:type="dxa"/>
              <w:right w:w="120" w:type="dxa"/>
            </w:tcMar>
          </w:tcPr>
          <w:p w14:paraId="15230E1A">
            <w:pPr>
              <w:spacing w:line="288" w:lineRule="auto"/>
              <w:jc w:val="left"/>
              <w:rPr>
                <w:rFonts w:hint="eastAsia" w:ascii="仿宋" w:hAnsi="仿宋" w:eastAsia="仿宋" w:cs="仿宋"/>
                <w:color w:val="auto"/>
                <w:szCs w:val="21"/>
                <w:highlight w:val="none"/>
              </w:rPr>
            </w:pPr>
          </w:p>
        </w:tc>
        <w:tc>
          <w:tcPr>
            <w:tcW w:w="2039" w:type="dxa"/>
            <w:tcBorders>
              <w:tl2br w:val="nil"/>
              <w:tr2bl w:val="nil"/>
            </w:tcBorders>
            <w:tcMar>
              <w:top w:w="60" w:type="dxa"/>
              <w:left w:w="120" w:type="dxa"/>
              <w:bottom w:w="30" w:type="dxa"/>
              <w:right w:w="120" w:type="dxa"/>
            </w:tcMar>
          </w:tcPr>
          <w:p w14:paraId="15230E1B">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日常工作沟通记录</w:t>
            </w:r>
          </w:p>
        </w:tc>
      </w:tr>
    </w:tbl>
    <w:p w14:paraId="15230E1D">
      <w:pPr>
        <w:spacing w:line="288" w:lineRule="auto"/>
        <w:jc w:val="left"/>
        <w:outlineLvl w:val="1"/>
        <w:rPr>
          <w:rFonts w:hint="eastAsia" w:ascii="仿宋" w:hAnsi="仿宋" w:eastAsia="仿宋" w:cs="仿宋"/>
          <w:color w:val="auto"/>
          <w:szCs w:val="21"/>
          <w:highlight w:val="none"/>
        </w:rPr>
      </w:pPr>
      <w:bookmarkStart w:id="7" w:name="heading_4"/>
      <w:r>
        <w:rPr>
          <w:rFonts w:hint="eastAsia" w:ascii="仿宋" w:hAnsi="仿宋" w:eastAsia="仿宋" w:cs="仿宋"/>
          <w:b/>
          <w:color w:val="auto"/>
          <w:szCs w:val="21"/>
          <w:highlight w:val="none"/>
        </w:rPr>
        <w:t>四、加减分项（单独备注）</w:t>
      </w:r>
      <w:bookmarkEnd w:id="7"/>
    </w:p>
    <w:p w14:paraId="15230E1E">
      <w:pPr>
        <w:numPr>
          <w:ilvl w:val="0"/>
          <w:numId w:val="0"/>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lang w:val="en-US" w:eastAsia="zh-CN" w:bidi="ar-SA"/>
        </w:rPr>
        <w:t>1.</w:t>
      </w:r>
      <w:r>
        <w:rPr>
          <w:rFonts w:hint="eastAsia" w:ascii="仿宋" w:hAnsi="仿宋" w:eastAsia="仿宋" w:cs="仿宋"/>
          <w:color w:val="auto"/>
          <w:szCs w:val="21"/>
          <w:highlight w:val="none"/>
        </w:rPr>
        <w:t>加分项：主动优化供货、提前备货、应急保障、优质增值服务（+1～5 分）</w:t>
      </w:r>
    </w:p>
    <w:p w14:paraId="15230E1F">
      <w:pPr>
        <w:numPr>
          <w:ilvl w:val="0"/>
          <w:numId w:val="0"/>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lang w:val="en-US" w:eastAsia="zh-CN" w:bidi="ar-SA"/>
        </w:rPr>
        <w:t>2.</w:t>
      </w:r>
      <w:r>
        <w:rPr>
          <w:rFonts w:hint="eastAsia" w:ascii="仿宋" w:hAnsi="仿宋" w:eastAsia="仿宋" w:cs="仿宋"/>
          <w:color w:val="auto"/>
          <w:szCs w:val="21"/>
          <w:highlight w:val="none"/>
        </w:rPr>
        <w:t>扣分项：投诉属实、整改拖延、资质造假、串供违规、屡次逾期（-5～20 分，严重直接不合格）</w:t>
      </w:r>
    </w:p>
    <w:p w14:paraId="15230E20">
      <w:pPr>
        <w:spacing w:line="288" w:lineRule="auto"/>
        <w:jc w:val="left"/>
        <w:outlineLvl w:val="1"/>
        <w:rPr>
          <w:rFonts w:hint="eastAsia" w:ascii="仿宋" w:hAnsi="仿宋" w:eastAsia="仿宋" w:cs="仿宋"/>
          <w:color w:val="auto"/>
          <w:szCs w:val="21"/>
          <w:highlight w:val="none"/>
        </w:rPr>
      </w:pPr>
      <w:bookmarkStart w:id="8" w:name="heading_5"/>
      <w:r>
        <w:rPr>
          <w:rFonts w:hint="eastAsia" w:ascii="仿宋" w:hAnsi="仿宋" w:eastAsia="仿宋" w:cs="仿宋"/>
          <w:b/>
          <w:color w:val="auto"/>
          <w:szCs w:val="21"/>
          <w:highlight w:val="none"/>
        </w:rPr>
        <w:t>五、综合评分结果</w:t>
      </w:r>
      <w:bookmarkEnd w:id="8"/>
    </w:p>
    <w:p w14:paraId="15230E21">
      <w:pPr>
        <w:numPr>
          <w:ilvl w:val="0"/>
          <w:numId w:val="0"/>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lang w:val="en-US" w:eastAsia="zh-CN" w:bidi="ar-SA"/>
        </w:rPr>
        <w:t>1.</w:t>
      </w:r>
      <w:r>
        <w:rPr>
          <w:rFonts w:hint="eastAsia" w:ascii="仿宋" w:hAnsi="仿宋" w:eastAsia="仿宋" w:cs="仿宋"/>
          <w:color w:val="auto"/>
          <w:szCs w:val="21"/>
          <w:highlight w:val="none"/>
        </w:rPr>
        <w:t>基础得分：</w:t>
      </w:r>
    </w:p>
    <w:p w14:paraId="15230E22">
      <w:pPr>
        <w:numPr>
          <w:ilvl w:val="0"/>
          <w:numId w:val="0"/>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lang w:val="en-US" w:eastAsia="zh-CN" w:bidi="ar-SA"/>
        </w:rPr>
        <w:t>2.</w:t>
      </w:r>
      <w:r>
        <w:rPr>
          <w:rFonts w:hint="eastAsia" w:ascii="仿宋" w:hAnsi="仿宋" w:eastAsia="仿宋" w:cs="仿宋"/>
          <w:b/>
          <w:color w:val="auto"/>
          <w:szCs w:val="21"/>
          <w:highlight w:val="none"/>
        </w:rPr>
        <w:t>本月综合总分：</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 100 分</w:t>
      </w:r>
    </w:p>
    <w:p w14:paraId="15230E23">
      <w:pPr>
        <w:numPr>
          <w:ilvl w:val="0"/>
          <w:numId w:val="0"/>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lang w:val="en-US" w:eastAsia="zh-CN" w:bidi="ar-SA"/>
        </w:rPr>
        <w:t>3.</w:t>
      </w:r>
      <w:r>
        <w:rPr>
          <w:rFonts w:hint="eastAsia" w:ascii="仿宋" w:hAnsi="仿宋" w:eastAsia="仿宋" w:cs="仿宋"/>
          <w:color w:val="auto"/>
          <w:szCs w:val="21"/>
          <w:highlight w:val="none"/>
        </w:rPr>
        <w:t>评价等级：</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□优秀（90 分及以上） □良好（80–89 分） □合格（60–79 分） □不合格（60 分以下）</w:t>
      </w:r>
    </w:p>
    <w:p w14:paraId="15230E24">
      <w:pPr>
        <w:spacing w:line="288" w:lineRule="auto"/>
        <w:jc w:val="left"/>
        <w:outlineLvl w:val="1"/>
        <w:rPr>
          <w:rFonts w:hint="eastAsia" w:ascii="仿宋" w:hAnsi="仿宋" w:eastAsia="仿宋" w:cs="仿宋"/>
          <w:color w:val="auto"/>
          <w:szCs w:val="21"/>
          <w:highlight w:val="none"/>
        </w:rPr>
      </w:pPr>
      <w:bookmarkStart w:id="9" w:name="heading_6"/>
      <w:r>
        <w:rPr>
          <w:rFonts w:hint="eastAsia" w:ascii="仿宋" w:hAnsi="仿宋" w:eastAsia="仿宋" w:cs="仿宋"/>
          <w:b/>
          <w:color w:val="auto"/>
          <w:szCs w:val="21"/>
          <w:highlight w:val="none"/>
        </w:rPr>
        <w:t>六、问题整改与下月要求</w:t>
      </w:r>
      <w:bookmarkEnd w:id="9"/>
    </w:p>
    <w:p w14:paraId="15230E25">
      <w:pPr>
        <w:numPr>
          <w:ilvl w:val="0"/>
          <w:numId w:val="3"/>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本月存在问题：</w:t>
      </w:r>
    </w:p>
    <w:p w14:paraId="15230E26">
      <w:pPr>
        <w:numPr>
          <w:ilvl w:val="0"/>
          <w:numId w:val="4"/>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整改完成时限：   年   月 </w:t>
      </w:r>
      <w:r>
        <w:rPr>
          <w:rFonts w:hint="eastAsia" w:ascii="仿宋" w:hAnsi="仿宋" w:eastAsia="仿宋" w:cs="仿宋"/>
          <w:i/>
          <w:color w:val="auto"/>
          <w:szCs w:val="21"/>
          <w:highlight w:val="none"/>
        </w:rPr>
        <w:t xml:space="preserve">  </w:t>
      </w:r>
      <w:r>
        <w:rPr>
          <w:rFonts w:hint="eastAsia" w:ascii="仿宋" w:hAnsi="仿宋" w:eastAsia="仿宋" w:cs="仿宋"/>
          <w:color w:val="auto"/>
          <w:szCs w:val="21"/>
          <w:highlight w:val="none"/>
        </w:rPr>
        <w:t>日前</w:t>
      </w:r>
    </w:p>
    <w:p w14:paraId="15230E27">
      <w:pPr>
        <w:numPr>
          <w:ilvl w:val="0"/>
          <w:numId w:val="5"/>
        </w:num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下月重点管控 / 服务要求：</w:t>
      </w:r>
    </w:p>
    <w:p w14:paraId="15230E28">
      <w:pPr>
        <w:spacing w:line="288" w:lineRule="auto"/>
        <w:jc w:val="left"/>
        <w:outlineLvl w:val="1"/>
        <w:rPr>
          <w:rFonts w:hint="eastAsia" w:ascii="仿宋" w:hAnsi="仿宋" w:eastAsia="仿宋" w:cs="仿宋"/>
          <w:color w:val="auto"/>
          <w:szCs w:val="21"/>
          <w:highlight w:val="none"/>
        </w:rPr>
      </w:pPr>
      <w:bookmarkStart w:id="10" w:name="heading_7"/>
      <w:r>
        <w:rPr>
          <w:rFonts w:hint="eastAsia" w:ascii="仿宋" w:hAnsi="仿宋" w:eastAsia="仿宋" w:cs="仿宋"/>
          <w:b/>
          <w:color w:val="auto"/>
          <w:szCs w:val="21"/>
          <w:highlight w:val="none"/>
        </w:rPr>
        <w:t>七、签字确认</w:t>
      </w:r>
      <w:bookmarkEnd w:id="10"/>
    </w:p>
    <w:p w14:paraId="15230E29">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使用部门 / 采购经办人：       日期：    </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xml:space="preserve">项目负责人审核：              日期：  </w:t>
      </w:r>
    </w:p>
    <w:p w14:paraId="15230E2A">
      <w:pPr>
        <w:spacing w:line="288"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供应商对接人确认：            日期：</w:t>
      </w:r>
    </w:p>
    <w:p w14:paraId="15230E2B">
      <w:pPr>
        <w:pStyle w:val="16"/>
        <w:rPr>
          <w:rFonts w:hint="eastAsia" w:ascii="仿宋" w:hAnsi="仿宋" w:eastAsia="仿宋" w:cs="仿宋"/>
          <w:color w:val="auto"/>
          <w:highlight w:val="none"/>
        </w:rPr>
      </w:pPr>
    </w:p>
    <w:p w14:paraId="5FD49CB0">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2ECE"/>
    <w:multiLevelType w:val="singleLevel"/>
    <w:tmpl w:val="03D62ECE"/>
    <w:lvl w:ilvl="0" w:tentative="0">
      <w:start w:val="1"/>
      <w:numFmt w:val="decimal"/>
      <w:lvlText w:val="%1."/>
      <w:lvlJc w:val="left"/>
      <w:rPr>
        <w:color w:val="3370FF"/>
      </w:rPr>
    </w:lvl>
  </w:abstractNum>
  <w:abstractNum w:abstractNumId="1">
    <w:nsid w:val="1E9FB91E"/>
    <w:multiLevelType w:val="singleLevel"/>
    <w:tmpl w:val="1E9FB91E"/>
    <w:lvl w:ilvl="0" w:tentative="0">
      <w:start w:val="1"/>
      <w:numFmt w:val="chineseCounting"/>
      <w:suff w:val="nothing"/>
      <w:lvlText w:val="（%1）"/>
      <w:lvlJc w:val="left"/>
      <w:rPr>
        <w:rFonts w:hint="eastAsia"/>
      </w:rPr>
    </w:lvl>
  </w:abstractNum>
  <w:abstractNum w:abstractNumId="2">
    <w:nsid w:val="23C19F31"/>
    <w:multiLevelType w:val="singleLevel"/>
    <w:tmpl w:val="23C19F31"/>
    <w:lvl w:ilvl="0" w:tentative="0">
      <w:start w:val="1"/>
      <w:numFmt w:val="chineseCounting"/>
      <w:suff w:val="nothing"/>
      <w:lvlText w:val="（%1）"/>
      <w:lvlJc w:val="left"/>
      <w:rPr>
        <w:rFonts w:hint="eastAsia"/>
      </w:rPr>
    </w:lvl>
  </w:abstractNum>
  <w:abstractNum w:abstractNumId="3">
    <w:nsid w:val="25B654F3"/>
    <w:multiLevelType w:val="singleLevel"/>
    <w:tmpl w:val="25B654F3"/>
    <w:lvl w:ilvl="0" w:tentative="0">
      <w:start w:val="2"/>
      <w:numFmt w:val="decimal"/>
      <w:lvlText w:val="%1."/>
      <w:lvlJc w:val="left"/>
      <w:rPr>
        <w:color w:val="3370FF"/>
      </w:rPr>
    </w:lvl>
  </w:abstractNum>
  <w:abstractNum w:abstractNumId="4">
    <w:nsid w:val="72183CF9"/>
    <w:multiLevelType w:val="singleLevel"/>
    <w:tmpl w:val="72183CF9"/>
    <w:lvl w:ilvl="0" w:tentative="0">
      <w:start w:val="3"/>
      <w:numFmt w:val="decimal"/>
      <w:lvlText w:val="%1."/>
      <w:lvlJc w:val="left"/>
      <w:rPr>
        <w:color w:val="3370FF"/>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wOThkNDVmNWE5YmE2OTk5YzUwNzFhYzJkNGIwMGUifQ=="/>
  </w:docVars>
  <w:rsids>
    <w:rsidRoot w:val="00CB0042"/>
    <w:rsid w:val="00153219"/>
    <w:rsid w:val="00362A6F"/>
    <w:rsid w:val="004D5397"/>
    <w:rsid w:val="00520080"/>
    <w:rsid w:val="00524F16"/>
    <w:rsid w:val="0054394E"/>
    <w:rsid w:val="005C06D6"/>
    <w:rsid w:val="005F30CF"/>
    <w:rsid w:val="00627D17"/>
    <w:rsid w:val="006B0402"/>
    <w:rsid w:val="00833F09"/>
    <w:rsid w:val="008B03A3"/>
    <w:rsid w:val="0093049F"/>
    <w:rsid w:val="00A92D42"/>
    <w:rsid w:val="00BA0674"/>
    <w:rsid w:val="00C40C8A"/>
    <w:rsid w:val="00C45378"/>
    <w:rsid w:val="00CB0042"/>
    <w:rsid w:val="00D06F2B"/>
    <w:rsid w:val="00F11AD8"/>
    <w:rsid w:val="00F842FC"/>
    <w:rsid w:val="0D9C0FE3"/>
    <w:rsid w:val="10684C93"/>
    <w:rsid w:val="14BE1B62"/>
    <w:rsid w:val="17F04582"/>
    <w:rsid w:val="26B70E7C"/>
    <w:rsid w:val="3B0C4879"/>
    <w:rsid w:val="40A561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pPr>
      <w:jc w:val="left"/>
    </w:pPr>
    <w:rPr>
      <w:rFonts w:ascii="Times New Roman" w:hAnsi="Times New Roman" w:eastAsia="Times New Roman" w:cs="Times New Roman"/>
      <w:color w:val="000000"/>
      <w:kern w:val="0"/>
      <w:sz w:val="18"/>
      <w:szCs w:val="18"/>
      <w:lang w:eastAsia="en-US" w:bidi="en-US"/>
    </w:rPr>
  </w:style>
  <w:style w:type="paragraph" w:styleId="3">
    <w:name w:val="footer"/>
    <w:basedOn w:val="1"/>
    <w:link w:val="14"/>
    <w:autoRedefine/>
    <w:unhideWhenUsed/>
    <w:qFormat/>
    <w:uiPriority w:val="99"/>
    <w:pPr>
      <w:widowControl w:val="0"/>
      <w:tabs>
        <w:tab w:val="center" w:pos="4153"/>
        <w:tab w:val="right" w:pos="8306"/>
      </w:tabs>
      <w:snapToGrid w:val="0"/>
    </w:pPr>
    <w:rPr>
      <w:rFonts w:ascii="Calibri" w:hAnsi="Calibri" w:eastAsia="宋体" w:cs="Times New Roman"/>
      <w:kern w:val="2"/>
      <w:sz w:val="18"/>
      <w:szCs w:val="18"/>
      <w:lang w:val="en-US" w:eastAsia="zh-CN" w:bidi="ar-SA"/>
    </w:rPr>
  </w:style>
  <w:style w:type="paragraph" w:styleId="4">
    <w:name w:val="header"/>
    <w:basedOn w:val="1"/>
    <w:link w:val="11"/>
    <w:qFormat/>
    <w:uiPriority w:val="99"/>
    <w:pP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unhideWhenUsed/>
    <w:qFormat/>
    <w:uiPriority w:val="99"/>
    <w:rPr>
      <w:color w:val="954F72"/>
      <w:u w:val="single"/>
    </w:rPr>
  </w:style>
  <w:style w:type="character" w:styleId="9">
    <w:name w:val="Hyperlink"/>
    <w:basedOn w:val="7"/>
    <w:unhideWhenUsed/>
    <w:qFormat/>
    <w:uiPriority w:val="99"/>
    <w:rPr>
      <w:color w:val="0563C1"/>
      <w:u w:val="single"/>
    </w:rPr>
  </w:style>
  <w:style w:type="paragraph" w:customStyle="1" w:styleId="10">
    <w:name w:val="其他"/>
    <w:qFormat/>
    <w:uiPriority w:val="0"/>
    <w:pPr>
      <w:widowControl w:val="0"/>
    </w:pPr>
    <w:rPr>
      <w:rFonts w:ascii="宋体" w:hAnsi="宋体" w:eastAsia="宋体" w:cs="宋体"/>
      <w:kern w:val="2"/>
      <w:sz w:val="21"/>
      <w:szCs w:val="22"/>
      <w:lang w:val="zh-CN" w:eastAsia="zh-CN" w:bidi="zh-CN"/>
    </w:rPr>
  </w:style>
  <w:style w:type="character" w:customStyle="1" w:styleId="11">
    <w:name w:val="页眉 字符"/>
    <w:basedOn w:val="7"/>
    <w:link w:val="4"/>
    <w:qFormat/>
    <w:uiPriority w:val="99"/>
    <w:rPr>
      <w:rFonts w:asciiTheme="minorHAnsi" w:hAnsiTheme="minorHAnsi" w:eastAsiaTheme="minorEastAsia" w:cstheme="minorBidi"/>
      <w:kern w:val="2"/>
      <w:sz w:val="18"/>
      <w:szCs w:val="18"/>
    </w:rPr>
  </w:style>
  <w:style w:type="paragraph" w:styleId="12">
    <w:name w:val="List Paragraph"/>
    <w:basedOn w:val="1"/>
    <w:unhideWhenUsed/>
    <w:qFormat/>
    <w:uiPriority w:val="34"/>
    <w:pPr>
      <w:ind w:firstLine="420" w:firstLineChars="200"/>
    </w:p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4">
    <w:name w:val="页脚 字符"/>
    <w:basedOn w:val="7"/>
    <w:link w:val="3"/>
    <w:qFormat/>
    <w:uiPriority w:val="99"/>
    <w:rPr>
      <w:rFonts w:ascii="Calibri" w:hAnsi="Calibri"/>
      <w:kern w:val="2"/>
      <w:sz w:val="18"/>
      <w:szCs w:val="18"/>
    </w:rPr>
  </w:style>
  <w:style w:type="character" w:customStyle="1" w:styleId="15">
    <w:name w:val="批注框文本 字符"/>
    <w:basedOn w:val="7"/>
    <w:link w:val="2"/>
    <w:qFormat/>
    <w:uiPriority w:val="99"/>
    <w:rPr>
      <w:rFonts w:eastAsia="Times New Roman"/>
      <w:color w:val="000000"/>
      <w:sz w:val="18"/>
      <w:szCs w:val="18"/>
      <w:lang w:eastAsia="en-US" w:bidi="en-US"/>
    </w:rPr>
  </w:style>
  <w:style w:type="paragraph" w:customStyle="1" w:styleId="16">
    <w:name w:val="null3"/>
    <w:qFormat/>
    <w:uiPriority w:val="0"/>
    <w:rPr>
      <w:rFonts w:asciiTheme="minorHAnsi" w:hAnsiTheme="minorHAnsi" w:eastAsiaTheme="minorEastAsia" w:cstheme="minorBidi"/>
      <w:lang w:val="en-US" w:eastAsia="zh-CN" w:bidi="ar-SA"/>
    </w:rPr>
  </w:style>
  <w:style w:type="character" w:customStyle="1" w:styleId="17">
    <w:name w:val="Heading #3|1_"/>
    <w:basedOn w:val="7"/>
    <w:link w:val="18"/>
    <w:qFormat/>
    <w:locked/>
    <w:uiPriority w:val="0"/>
    <w:rPr>
      <w:rFonts w:ascii="宋体" w:hAnsi="宋体" w:cs="宋体"/>
      <w:sz w:val="32"/>
      <w:szCs w:val="32"/>
      <w:lang w:val="zh-TW" w:eastAsia="zh-TW" w:bidi="zh-TW"/>
    </w:rPr>
  </w:style>
  <w:style w:type="paragraph" w:customStyle="1" w:styleId="18">
    <w:name w:val="Heading #3|1"/>
    <w:basedOn w:val="1"/>
    <w:link w:val="17"/>
    <w:qFormat/>
    <w:uiPriority w:val="0"/>
    <w:pPr>
      <w:spacing w:after="140"/>
      <w:ind w:firstLine="500"/>
      <w:jc w:val="left"/>
      <w:outlineLvl w:val="2"/>
    </w:pPr>
    <w:rPr>
      <w:rFonts w:ascii="宋体" w:hAnsi="宋体" w:eastAsia="宋体" w:cs="宋体"/>
      <w:kern w:val="0"/>
      <w:sz w:val="32"/>
      <w:szCs w:val="32"/>
      <w:lang w:val="zh-TW" w:eastAsia="zh-TW" w:bidi="zh-TW"/>
    </w:rPr>
  </w:style>
  <w:style w:type="character" w:customStyle="1" w:styleId="19">
    <w:name w:val="Other|1_"/>
    <w:basedOn w:val="7"/>
    <w:link w:val="20"/>
    <w:qFormat/>
    <w:locked/>
    <w:uiPriority w:val="0"/>
    <w:rPr>
      <w:rFonts w:ascii="宋体" w:hAnsi="宋体" w:cs="宋体"/>
      <w:sz w:val="28"/>
      <w:szCs w:val="28"/>
      <w:lang w:val="zh-TW" w:eastAsia="zh-TW" w:bidi="zh-TW"/>
    </w:rPr>
  </w:style>
  <w:style w:type="paragraph" w:customStyle="1" w:styleId="20">
    <w:name w:val="Other|1"/>
    <w:basedOn w:val="1"/>
    <w:link w:val="19"/>
    <w:qFormat/>
    <w:uiPriority w:val="0"/>
    <w:pPr>
      <w:spacing w:line="432" w:lineRule="auto"/>
      <w:ind w:firstLine="400"/>
      <w:jc w:val="left"/>
    </w:pPr>
    <w:rPr>
      <w:rFonts w:ascii="宋体" w:hAnsi="宋体" w:eastAsia="宋体" w:cs="宋体"/>
      <w:kern w:val="0"/>
      <w:sz w:val="28"/>
      <w:szCs w:val="28"/>
      <w:lang w:val="zh-TW" w:eastAsia="zh-TW" w:bidi="zh-TW"/>
    </w:rPr>
  </w:style>
  <w:style w:type="character" w:customStyle="1" w:styleId="21">
    <w:name w:val="Body text|2_"/>
    <w:basedOn w:val="7"/>
    <w:link w:val="22"/>
    <w:qFormat/>
    <w:locked/>
    <w:uiPriority w:val="0"/>
    <w:rPr>
      <w:rFonts w:ascii="宋体" w:hAnsi="宋体" w:cs="宋体"/>
      <w:lang w:val="zh-TW" w:eastAsia="zh-TW" w:bidi="zh-TW"/>
    </w:rPr>
  </w:style>
  <w:style w:type="paragraph" w:customStyle="1" w:styleId="22">
    <w:name w:val="Body text|2"/>
    <w:basedOn w:val="1"/>
    <w:link w:val="21"/>
    <w:qFormat/>
    <w:uiPriority w:val="0"/>
    <w:pPr>
      <w:spacing w:after="90" w:line="400" w:lineRule="exact"/>
      <w:ind w:left="470" w:firstLine="580"/>
      <w:jc w:val="left"/>
    </w:pPr>
    <w:rPr>
      <w:rFonts w:ascii="宋体" w:hAnsi="宋体" w:eastAsia="宋体" w:cs="宋体"/>
      <w:kern w:val="0"/>
      <w:sz w:val="20"/>
      <w:szCs w:val="20"/>
      <w:lang w:val="zh-TW" w:eastAsia="zh-TW" w:bidi="zh-TW"/>
    </w:rPr>
  </w:style>
  <w:style w:type="character" w:customStyle="1" w:styleId="23">
    <w:name w:val="Body text|1_"/>
    <w:basedOn w:val="7"/>
    <w:link w:val="24"/>
    <w:qFormat/>
    <w:locked/>
    <w:uiPriority w:val="0"/>
    <w:rPr>
      <w:rFonts w:ascii="宋体" w:hAnsi="宋体" w:cs="宋体"/>
      <w:color w:val="F65D51"/>
      <w:lang w:val="zh-TW" w:eastAsia="zh-TW" w:bidi="zh-TW"/>
    </w:rPr>
  </w:style>
  <w:style w:type="paragraph" w:customStyle="1" w:styleId="24">
    <w:name w:val="Body text|1"/>
    <w:basedOn w:val="1"/>
    <w:link w:val="23"/>
    <w:qFormat/>
    <w:uiPriority w:val="0"/>
    <w:pPr>
      <w:spacing w:after="140" w:line="304" w:lineRule="exact"/>
      <w:ind w:left="480" w:firstLine="500"/>
      <w:jc w:val="left"/>
    </w:pPr>
    <w:rPr>
      <w:rFonts w:ascii="宋体" w:hAnsi="宋体" w:eastAsia="宋体" w:cs="宋体"/>
      <w:color w:val="F65D51"/>
      <w:kern w:val="0"/>
      <w:sz w:val="20"/>
      <w:szCs w:val="20"/>
      <w:lang w:val="zh-TW" w:eastAsia="zh-TW" w:bidi="zh-TW"/>
    </w:rPr>
  </w:style>
  <w:style w:type="character" w:customStyle="1" w:styleId="25">
    <w:name w:val="Heading #4|1_"/>
    <w:basedOn w:val="7"/>
    <w:link w:val="26"/>
    <w:qFormat/>
    <w:locked/>
    <w:uiPriority w:val="0"/>
    <w:rPr>
      <w:rFonts w:ascii="宋体" w:hAnsi="宋体" w:cs="宋体"/>
      <w:b/>
      <w:bCs/>
      <w:lang w:val="zh-TW" w:eastAsia="zh-TW" w:bidi="zh-TW"/>
    </w:rPr>
  </w:style>
  <w:style w:type="paragraph" w:customStyle="1" w:styleId="26">
    <w:name w:val="Heading #4|1"/>
    <w:basedOn w:val="1"/>
    <w:link w:val="25"/>
    <w:qFormat/>
    <w:uiPriority w:val="0"/>
    <w:pPr>
      <w:spacing w:after="140" w:line="396" w:lineRule="exact"/>
      <w:ind w:firstLine="480"/>
      <w:jc w:val="left"/>
      <w:outlineLvl w:val="3"/>
    </w:pPr>
    <w:rPr>
      <w:rFonts w:ascii="宋体" w:hAnsi="宋体" w:eastAsia="宋体" w:cs="宋体"/>
      <w:b/>
      <w:bCs/>
      <w:kern w:val="0"/>
      <w:sz w:val="20"/>
      <w:szCs w:val="20"/>
      <w:lang w:val="zh-TW" w:eastAsia="zh-TW" w:bidi="zh-TW"/>
    </w:rPr>
  </w:style>
  <w:style w:type="character" w:customStyle="1" w:styleId="27">
    <w:name w:val="Table caption|1_"/>
    <w:basedOn w:val="7"/>
    <w:link w:val="28"/>
    <w:qFormat/>
    <w:locked/>
    <w:uiPriority w:val="0"/>
    <w:rPr>
      <w:rFonts w:ascii="宋体" w:hAnsi="宋体" w:cs="宋体"/>
      <w:color w:val="F65D51"/>
      <w:lang w:val="zh-TW" w:eastAsia="zh-TW" w:bidi="zh-TW"/>
    </w:rPr>
  </w:style>
  <w:style w:type="paragraph" w:customStyle="1" w:styleId="28">
    <w:name w:val="Table caption|1"/>
    <w:basedOn w:val="1"/>
    <w:link w:val="27"/>
    <w:qFormat/>
    <w:uiPriority w:val="0"/>
    <w:pPr>
      <w:spacing w:line="271" w:lineRule="auto"/>
      <w:ind w:firstLine="240"/>
      <w:jc w:val="left"/>
    </w:pPr>
    <w:rPr>
      <w:rFonts w:ascii="宋体" w:hAnsi="宋体" w:eastAsia="宋体" w:cs="宋体"/>
      <w:color w:val="F65D51"/>
      <w:kern w:val="0"/>
      <w:sz w:val="20"/>
      <w:szCs w:val="20"/>
      <w:lang w:val="zh-TW" w:eastAsia="zh-TW" w:bidi="zh-TW"/>
    </w:rPr>
  </w:style>
  <w:style w:type="paragraph" w:customStyle="1" w:styleId="29">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3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1">
    <w:name w:val="xl63"/>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3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3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3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6">
    <w:name w:val="xl68"/>
    <w:basedOn w:val="1"/>
    <w:qFormat/>
    <w:uiPriority w:val="0"/>
    <w:pPr>
      <w:widowControl/>
      <w:spacing w:before="100" w:beforeAutospacing="1" w:after="100" w:afterAutospacing="1"/>
      <w:jc w:val="center"/>
    </w:pPr>
    <w:rPr>
      <w:rFonts w:ascii="微软雅黑" w:hAnsi="微软雅黑" w:eastAsia="微软雅黑" w:cs="宋体"/>
      <w:color w:val="333333"/>
      <w:kern w:val="0"/>
      <w:sz w:val="18"/>
      <w:szCs w:val="18"/>
    </w:rPr>
  </w:style>
  <w:style w:type="paragraph" w:customStyle="1" w:styleId="37">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8">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i/>
      <w:iCs/>
      <w:kern w:val="0"/>
      <w:sz w:val="18"/>
      <w:szCs w:val="18"/>
    </w:rPr>
  </w:style>
  <w:style w:type="paragraph" w:customStyle="1" w:styleId="39">
    <w:name w:val="xl71"/>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18"/>
      <w:szCs w:val="18"/>
    </w:rPr>
  </w:style>
  <w:style w:type="paragraph" w:customStyle="1" w:styleId="40">
    <w:name w:val="xl72"/>
    <w:basedOn w:val="1"/>
    <w:qFormat/>
    <w:uiPriority w:val="0"/>
    <w:pPr>
      <w:widowControl/>
      <w:pBdr>
        <w:top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18"/>
      <w:szCs w:val="18"/>
    </w:rPr>
  </w:style>
  <w:style w:type="paragraph" w:customStyle="1" w:styleId="41">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43">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4">
    <w:name w:val="xl76"/>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5">
    <w:name w:val="xl7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6">
    <w:name w:val="xl78"/>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48">
    <w:name w:val="xl80"/>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4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50">
    <w:name w:val="xl82"/>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51">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52">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53">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4">
    <w:name w:val="font7"/>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font8"/>
    <w:basedOn w:val="1"/>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6">
    <w:name w:val="font9"/>
    <w:basedOn w:val="1"/>
    <w:uiPriority w:val="0"/>
    <w:pPr>
      <w:widowControl/>
      <w:spacing w:before="100" w:beforeAutospacing="1" w:after="100" w:afterAutospacing="1"/>
      <w:jc w:val="left"/>
    </w:pPr>
    <w:rPr>
      <w:rFonts w:ascii="Times New Roman" w:hAnsi="Times New Roman" w:eastAsia="宋体" w:cs="Times New Roman"/>
      <w:kern w:val="0"/>
      <w:sz w:val="24"/>
    </w:rPr>
  </w:style>
  <w:style w:type="paragraph" w:customStyle="1" w:styleId="57">
    <w:name w:val="font10"/>
    <w:basedOn w:val="1"/>
    <w:uiPriority w:val="0"/>
    <w:pPr>
      <w:widowControl/>
      <w:spacing w:before="100" w:beforeAutospacing="1" w:after="100" w:afterAutospacing="1"/>
      <w:jc w:val="left"/>
    </w:pPr>
    <w:rPr>
      <w:rFonts w:ascii="宋体" w:hAnsi="宋体" w:eastAsia="宋体" w:cs="宋体"/>
      <w:kern w:val="0"/>
      <w:sz w:val="24"/>
    </w:rPr>
  </w:style>
  <w:style w:type="paragraph" w:customStyle="1" w:styleId="58">
    <w:name w:val="font11"/>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59">
    <w:name w:val="font12"/>
    <w:basedOn w:val="1"/>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60">
    <w:name w:val="font13"/>
    <w:basedOn w:val="1"/>
    <w:uiPriority w:val="0"/>
    <w:pPr>
      <w:widowControl/>
      <w:spacing w:before="100" w:beforeAutospacing="1" w:after="100" w:afterAutospacing="1"/>
      <w:jc w:val="left"/>
    </w:pPr>
    <w:rPr>
      <w:rFonts w:ascii="Times New Roman" w:hAnsi="Times New Roman" w:eastAsia="宋体" w:cs="Times New Roman"/>
      <w:color w:val="000000"/>
      <w:kern w:val="0"/>
      <w:sz w:val="24"/>
    </w:rPr>
  </w:style>
  <w:style w:type="paragraph" w:customStyle="1" w:styleId="61">
    <w:name w:val="font14"/>
    <w:basedOn w:val="1"/>
    <w:qFormat/>
    <w:uiPriority w:val="0"/>
    <w:pPr>
      <w:widowControl/>
      <w:spacing w:before="100" w:beforeAutospacing="1" w:after="100" w:afterAutospacing="1"/>
      <w:jc w:val="left"/>
    </w:pPr>
    <w:rPr>
      <w:rFonts w:ascii="微软雅黑" w:hAnsi="微软雅黑" w:eastAsia="微软雅黑" w:cs="宋体"/>
      <w:color w:val="333333"/>
      <w:kern w:val="0"/>
      <w:sz w:val="24"/>
    </w:rPr>
  </w:style>
  <w:style w:type="paragraph" w:customStyle="1" w:styleId="62">
    <w:name w:val="font15"/>
    <w:basedOn w:val="1"/>
    <w:qFormat/>
    <w:uiPriority w:val="0"/>
    <w:pPr>
      <w:widowControl/>
      <w:spacing w:before="100" w:beforeAutospacing="1" w:after="100" w:afterAutospacing="1"/>
      <w:jc w:val="left"/>
    </w:pPr>
    <w:rPr>
      <w:rFonts w:ascii="Times New Roman" w:hAnsi="Times New Roman" w:eastAsia="宋体" w:cs="Times New Roman"/>
      <w:i/>
      <w:iCs/>
      <w:kern w:val="0"/>
      <w:sz w:val="24"/>
    </w:rPr>
  </w:style>
  <w:style w:type="paragraph" w:customStyle="1" w:styleId="63">
    <w:name w:val="font16"/>
    <w:basedOn w:val="1"/>
    <w:qFormat/>
    <w:uiPriority w:val="0"/>
    <w:pPr>
      <w:widowControl/>
      <w:spacing w:before="100" w:beforeAutospacing="1" w:after="100" w:afterAutospacing="1"/>
      <w:jc w:val="left"/>
    </w:pPr>
    <w:rPr>
      <w:rFonts w:ascii="宋体" w:hAnsi="宋体" w:eastAsia="宋体" w:cs="宋体"/>
      <w:i/>
      <w:iCs/>
      <w:kern w:val="0"/>
      <w:sz w:val="24"/>
    </w:rPr>
  </w:style>
  <w:style w:type="paragraph" w:customStyle="1" w:styleId="6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rPr>
  </w:style>
  <w:style w:type="paragraph" w:customStyle="1" w:styleId="6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rPr>
  </w:style>
  <w:style w:type="paragraph" w:customStyle="1" w:styleId="66">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eastAsia="宋体" w:cs="Calibri"/>
      <w:kern w:val="0"/>
      <w:sz w:val="24"/>
    </w:rPr>
  </w:style>
  <w:style w:type="paragraph" w:customStyle="1" w:styleId="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eastAsia="宋体" w:cs="Calibri"/>
      <w:kern w:val="0"/>
      <w:sz w:val="24"/>
    </w:rPr>
  </w:style>
  <w:style w:type="paragraph" w:customStyle="1" w:styleId="68">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69">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eastAsia="宋体" w:cs="Calibri"/>
      <w:kern w:val="0"/>
      <w:sz w:val="24"/>
    </w:rPr>
  </w:style>
  <w:style w:type="paragraph" w:customStyle="1" w:styleId="70">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24"/>
    </w:rPr>
  </w:style>
  <w:style w:type="paragraph" w:customStyle="1" w:styleId="71">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24"/>
    </w:rPr>
  </w:style>
  <w:style w:type="paragraph" w:customStyle="1" w:styleId="72">
    <w:name w:val="xl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rPr>
  </w:style>
  <w:style w:type="paragraph" w:customStyle="1" w:styleId="7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333333"/>
      <w:kern w:val="0"/>
      <w:sz w:val="24"/>
    </w:rPr>
  </w:style>
  <w:style w:type="paragraph" w:customStyle="1" w:styleId="7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rPr>
  </w:style>
  <w:style w:type="paragraph" w:customStyle="1" w:styleId="75">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i/>
      <w:iCs/>
      <w:kern w:val="0"/>
      <w:sz w:val="24"/>
    </w:rPr>
  </w:style>
  <w:style w:type="paragraph" w:customStyle="1" w:styleId="76">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77">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78">
    <w:name w:val="CM30"/>
    <w:basedOn w:val="79"/>
    <w:next w:val="79"/>
    <w:unhideWhenUsed/>
    <w:qFormat/>
    <w:uiPriority w:val="99"/>
    <w:pPr>
      <w:spacing w:beforeLines="0" w:afterLines="0"/>
    </w:pPr>
    <w:rPr>
      <w:rFonts w:hint="default"/>
      <w:sz w:val="24"/>
      <w:szCs w:val="24"/>
    </w:rPr>
  </w:style>
  <w:style w:type="paragraph" w:customStyle="1" w:styleId="79">
    <w:name w:val="Default"/>
    <w:unhideWhenUsed/>
    <w:qFormat/>
    <w:uiPriority w:val="99"/>
    <w:pPr>
      <w:widowControl w:val="0"/>
      <w:autoSpaceDE w:val="0"/>
      <w:autoSpaceDN w:val="0"/>
      <w:adjustRightInd w:val="0"/>
      <w:spacing w:beforeLines="0" w:afterLines="0"/>
    </w:pPr>
    <w:rPr>
      <w:rFonts w:hint="eastAsia" w:ascii="华文仿宋" w:hAnsi="华文仿宋" w:eastAsia="华文仿宋" w:cs="Times New Roman"/>
      <w:color w:val="000000"/>
      <w:sz w:val="24"/>
      <w:szCs w:val="24"/>
    </w:rPr>
  </w:style>
  <w:style w:type="paragraph" w:customStyle="1" w:styleId="80">
    <w:name w:val="CM35"/>
    <w:basedOn w:val="79"/>
    <w:next w:val="79"/>
    <w:unhideWhenUsed/>
    <w:qFormat/>
    <w:uiPriority w:val="99"/>
    <w:pPr>
      <w:spacing w:beforeLines="0" w:afterLines="0"/>
    </w:pPr>
    <w:rPr>
      <w:rFonts w:hint="default"/>
      <w:sz w:val="24"/>
      <w:szCs w:val="24"/>
    </w:rPr>
  </w:style>
  <w:style w:type="paragraph" w:customStyle="1" w:styleId="81">
    <w:name w:val="CM28"/>
    <w:basedOn w:val="79"/>
    <w:next w:val="79"/>
    <w:unhideWhenUsed/>
    <w:qFormat/>
    <w:uiPriority w:val="99"/>
    <w:pPr>
      <w:spacing w:beforeLines="0" w:afterLines="0"/>
    </w:pPr>
    <w:rPr>
      <w:rFonts w:hint="default"/>
      <w:sz w:val="24"/>
      <w:szCs w:val="24"/>
    </w:rPr>
  </w:style>
  <w:style w:type="paragraph" w:customStyle="1" w:styleId="82">
    <w:name w:val="CM12"/>
    <w:basedOn w:val="79"/>
    <w:next w:val="79"/>
    <w:unhideWhenUsed/>
    <w:qFormat/>
    <w:uiPriority w:val="99"/>
    <w:pPr>
      <w:spacing w:beforeLines="0" w:afterLines="0" w:line="400" w:lineRule="atLeast"/>
    </w:pPr>
    <w:rPr>
      <w:rFonts w:hint="default"/>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7093</Words>
  <Characters>7226</Characters>
  <Lines>1364</Lines>
  <Paragraphs>1275</Paragraphs>
  <TotalTime>0</TotalTime>
  <ScaleCrop>false</ScaleCrop>
  <LinksUpToDate>false</LinksUpToDate>
  <CharactersWithSpaces>7284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2024-04-08T02:40:00Z</dcterms:created>
  <dc:creator>Administrator</dc:creator>
  <cp:lastModifiedBy>曹依凡</cp:lastModifiedBy>
  <dcterms:modified xsi:type="dcterms:W3CDTF">2026-04-20T06:47:58Z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CAAB084C65404B7790ACCF5E4CD854EB_13</vt:lpwstr>
  </property>
  <property fmtid="{D5CDD505-2E9C-101B-9397-08002B2CF9AE}" pid="4" name="KSOTemplateDocerSaveRecord">
    <vt:lpwstr>eyJoZGlkIjoiODViY2JkMjU3NGYzZTEwMzZmMGFkZWViYmNkYWU3NDIiLCJ1c2VySWQiOiIzODEzNjQyNDcifQ==</vt:lpwstr>
  </property>
</Properties>
</file>