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版本号：ZYYCZB202601920260814002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购置警用摩托车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ZYYCZB2026019</w:t>
      </w:r>
      <w:r>
        <w:br/>
      </w:r>
      <w:r>
        <w:br/>
      </w:r>
      <w:r>
        <w:br/>
      </w:r>
    </w:p>
    <w:p>
      <w:pPr>
        <w:pStyle w:val="null3"/>
        <w:jc w:val="center"/>
        <w:outlineLvl w:val="2"/>
      </w:pPr>
      <w:r>
        <w:rPr>
          <w:rFonts w:ascii="仿宋_GB2312" w:hAnsi="仿宋_GB2312" w:cs="仿宋_GB2312" w:eastAsia="仿宋_GB2312"/>
          <w:sz w:val="28"/>
          <w:b/>
        </w:rPr>
        <w:t>咸阳市公安局交通管理支队秦都大队</w:t>
      </w:r>
    </w:p>
    <w:p>
      <w:pPr>
        <w:pStyle w:val="null3"/>
        <w:jc w:val="center"/>
        <w:outlineLvl w:val="2"/>
      </w:pPr>
      <w:r>
        <w:rPr>
          <w:rFonts w:ascii="仿宋_GB2312" w:hAnsi="仿宋_GB2312" w:cs="仿宋_GB2312" w:eastAsia="仿宋_GB2312"/>
          <w:sz w:val="28"/>
          <w:b/>
        </w:rPr>
        <w:t>陕西中业云诚项目管理有限公司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陕西中业云诚项目管理有限公司</w:t>
      </w:r>
      <w:r>
        <w:rPr>
          <w:rFonts w:ascii="仿宋_GB2312" w:hAnsi="仿宋_GB2312" w:cs="仿宋_GB2312" w:eastAsia="仿宋_GB2312"/>
        </w:rPr>
        <w:t>（以下简称“代理机构”）受</w:t>
      </w:r>
      <w:r>
        <w:rPr>
          <w:rFonts w:ascii="仿宋_GB2312" w:hAnsi="仿宋_GB2312" w:cs="仿宋_GB2312" w:eastAsia="仿宋_GB2312"/>
        </w:rPr>
        <w:t>咸阳市公安局交通管理支队秦都大队</w:t>
      </w:r>
      <w:r>
        <w:rPr>
          <w:rFonts w:ascii="仿宋_GB2312" w:hAnsi="仿宋_GB2312" w:cs="仿宋_GB2312" w:eastAsia="仿宋_GB2312"/>
        </w:rPr>
        <w:t>委托，拟对</w:t>
      </w:r>
      <w:r>
        <w:rPr>
          <w:rFonts w:ascii="仿宋_GB2312" w:hAnsi="仿宋_GB2312" w:cs="仿宋_GB2312" w:eastAsia="仿宋_GB2312"/>
        </w:rPr>
        <w:t>购置警用摩托车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ZYYCZB2026019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购置警用摩托车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购置29辆警用摩托车，排量为150CC(±10)</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证明：提供2024年度或2025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w:t>
      </w:r>
    </w:p>
    <w:p>
      <w:pPr>
        <w:pStyle w:val="null3"/>
      </w:pPr>
      <w:r>
        <w:rPr>
          <w:rFonts w:ascii="仿宋_GB2312" w:hAnsi="仿宋_GB2312" w:cs="仿宋_GB2312" w:eastAsia="仿宋_GB2312"/>
        </w:rPr>
        <w:t>3、承诺书：提供具有履行合同所必需的设备和专业技术能力的承诺</w:t>
      </w:r>
    </w:p>
    <w:p>
      <w:pPr>
        <w:pStyle w:val="null3"/>
      </w:pPr>
      <w:r>
        <w:rPr>
          <w:rFonts w:ascii="仿宋_GB2312" w:hAnsi="仿宋_GB2312" w:cs="仿宋_GB2312" w:eastAsia="仿宋_GB2312"/>
        </w:rPr>
        <w:t>4、税收缴纳证明：供应商提供近半年内已缴纳的至少一个月的纳税证明或完税证明，纳税证明或完税证明上应有代收机构或税务机关的公章，依法免税的供应商应提供相关文件证明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5、社会保障资金缴纳证明：供应商提供近半年内已缴存的至少一个月的社会保障资金缴存单据或社保机构开具的社会保险参保缴费情况证明，依法不需要缴纳社会保障资金的供应商应提供相关文件证明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6、书面声明：提供参加政府采购活动前三年内在经营活动中没有重大违法记录的书面声明</w:t>
      </w:r>
    </w:p>
    <w:p>
      <w:pPr>
        <w:pStyle w:val="null3"/>
      </w:pPr>
      <w:r>
        <w:rPr>
          <w:rFonts w:ascii="仿宋_GB2312" w:hAnsi="仿宋_GB2312" w:cs="仿宋_GB2312" w:eastAsia="仿宋_GB2312"/>
        </w:rPr>
        <w:t>7、法定代表人授权委托书或法定代表人身份证明：如授权代表投标需提供法定代表人授权委托书（附法定代表人身份证复印件及被授权委托人身份证复印件）；如法定代表人直接投标须提交法定代表人身份证明（附法定代表人身份证复印件）</w:t>
      </w:r>
    </w:p>
    <w:p>
      <w:pPr>
        <w:pStyle w:val="null3"/>
      </w:pPr>
      <w:r>
        <w:rPr>
          <w:rFonts w:ascii="仿宋_GB2312" w:hAnsi="仿宋_GB2312" w:cs="仿宋_GB2312" w:eastAsia="仿宋_GB2312"/>
        </w:rPr>
        <w:t>8、信誉要求：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采购代理机构于投标文件递交截止时间当天查询相关信用记录，对列入失信被执行人、重大税收违法失信主体、政府采购严重违法失信行为记录名单，采购人和采购代理机构将拒绝其参与政府采购活动。</w:t>
      </w:r>
    </w:p>
    <w:p>
      <w:pPr>
        <w:pStyle w:val="null3"/>
      </w:pPr>
      <w:r>
        <w:rPr>
          <w:rFonts w:ascii="仿宋_GB2312" w:hAnsi="仿宋_GB2312" w:cs="仿宋_GB2312" w:eastAsia="仿宋_GB2312"/>
        </w:rPr>
        <w:t>9、是否联合体投：本项目不接受联合体投标（非联合体声明）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咸阳市公安局交通管理支队秦都大队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中华路一号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029-33330037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陕西中业云诚项目管理有限公司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陕西省西咸新区沣西新城沣西国际大厦1号楼8层802室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18165251259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改委办公厅颁发的《关于招标代理服务收费有关问题的通知》（发改办价格【2003】857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咸阳市公安局交通管理支队秦都大队</w:t>
      </w:r>
      <w:r>
        <w:rPr>
          <w:rFonts w:ascii="仿宋_GB2312" w:hAnsi="仿宋_GB2312" w:cs="仿宋_GB2312" w:eastAsia="仿宋_GB2312"/>
        </w:rPr>
        <w:t>和</w:t>
      </w:r>
      <w:r>
        <w:rPr>
          <w:rFonts w:ascii="仿宋_GB2312" w:hAnsi="仿宋_GB2312" w:cs="仿宋_GB2312" w:eastAsia="仿宋_GB2312"/>
        </w:rPr>
        <w:t>陕西中业云诚项目管理有限公司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咸阳市公安局交通管理支队秦都大队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陕西中业云诚项目管理有限公司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咸阳市公安局交通管理支队秦都大队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陕西中业云诚项目管理有限公司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投标阶段必须主动公示自有及第三方知识产权使用明细，并附完整权属、合法授权材料，隐瞒不报视同违约； 2. 使用第三方知识产权，供应商须确保全周期合法授权，承担全部侵权纠纷赔偿与法律责任； 3. 供应商自有知识产权仅授予采购人永久免费使用权，不得限制采购人正常履约使用； 4. 为本项目专属研发、定制产生的新增知识产权，权属归采购人独家所有； 5. 采购人拥有知识产权资料核查、异议否决权，供应商知识产权不合规的，采购人可要求整改、扣款、解约并追究违约金。</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陕西中业云诚项目管理有限公司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陕西中业云诚项目管理有限公司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陕西中业云诚项目管理有限公司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联系电话：18165251259</w:t>
      </w:r>
    </w:p>
    <w:p>
      <w:pPr>
        <w:pStyle w:val="null3"/>
      </w:pPr>
      <w:r>
        <w:rPr>
          <w:rFonts w:ascii="仿宋_GB2312" w:hAnsi="仿宋_GB2312" w:cs="仿宋_GB2312" w:eastAsia="仿宋_GB2312"/>
        </w:rPr>
        <w:t>地址：陕西省西咸新区沣西新城沣西国际大厦1号楼8层802室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购置29辆警用摩托车，排量为150CC(±10)</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警用摩托车</w:t>
            </w:r>
          </w:p>
        </w:tc>
        <w:tc>
          <w:tcPr>
            <w:tcW w:type="dxa" w:w="755"/>
          </w:tcPr>
          <w:p>
            <w:pPr>
              <w:pStyle w:val="null3"/>
              <w:jc w:val="right"/>
            </w:pPr>
            <w:r>
              <w:rPr>
                <w:rFonts w:ascii="仿宋_GB2312" w:hAnsi="仿宋_GB2312" w:cs="仿宋_GB2312" w:eastAsia="仿宋_GB2312"/>
              </w:rPr>
              <w:t>29.00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款式：两轮摩托车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排量：</w:t>
            </w:r>
            <w:r>
              <w:rPr>
                <w:rFonts w:ascii="仿宋_GB2312" w:hAnsi="仿宋_GB2312" w:cs="仿宋_GB2312" w:eastAsia="仿宋_GB2312"/>
                <w:sz w:val="24"/>
              </w:rPr>
              <w:t>150cc（±10）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燃料种类：汽油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排放依据标准：</w:t>
            </w:r>
            <w:r>
              <w:rPr>
                <w:rFonts w:ascii="仿宋_GB2312" w:hAnsi="仿宋_GB2312" w:cs="仿宋_GB2312" w:eastAsia="仿宋_GB2312"/>
                <w:sz w:val="21"/>
              </w:rPr>
              <w:t>GB14622-2016</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长（</w:t>
            </w:r>
            <w:r>
              <w:rPr>
                <w:rFonts w:ascii="仿宋_GB2312" w:hAnsi="仿宋_GB2312" w:cs="仿宋_GB2312" w:eastAsia="仿宋_GB2312"/>
                <w:sz w:val="18"/>
                <w:color w:val="000000"/>
              </w:rPr>
              <w:t>mm）：1950＜长≤2090</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宽（</w:t>
            </w:r>
            <w:r>
              <w:rPr>
                <w:rFonts w:ascii="仿宋_GB2312" w:hAnsi="仿宋_GB2312" w:cs="仿宋_GB2312" w:eastAsia="仿宋_GB2312"/>
                <w:sz w:val="18"/>
                <w:color w:val="000000"/>
              </w:rPr>
              <w:t>mm）：820＜宽≤900</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高（</w:t>
            </w:r>
            <w:r>
              <w:rPr>
                <w:rFonts w:ascii="仿宋_GB2312" w:hAnsi="仿宋_GB2312" w:cs="仿宋_GB2312" w:eastAsia="仿宋_GB2312"/>
                <w:sz w:val="18"/>
                <w:color w:val="000000"/>
              </w:rPr>
              <w:t>mm）：1120＜高≤1800</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轴距（</w:t>
            </w:r>
            <w:r>
              <w:rPr>
                <w:rFonts w:ascii="仿宋_GB2312" w:hAnsi="仿宋_GB2312" w:cs="仿宋_GB2312" w:eastAsia="仿宋_GB2312"/>
                <w:sz w:val="21"/>
              </w:rPr>
              <w:t>mm）：</w:t>
            </w:r>
            <w:r>
              <w:rPr>
                <w:rFonts w:ascii="仿宋_GB2312" w:hAnsi="仿宋_GB2312" w:cs="仿宋_GB2312" w:eastAsia="仿宋_GB2312"/>
                <w:sz w:val="18"/>
                <w:color w:val="000000"/>
              </w:rPr>
              <w:t>≤1330</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18"/>
                <w:color w:val="000000"/>
              </w:rPr>
              <w:t>扭矩（</w:t>
            </w:r>
            <w:r>
              <w:rPr>
                <w:rFonts w:ascii="仿宋_GB2312" w:hAnsi="仿宋_GB2312" w:cs="仿宋_GB2312" w:eastAsia="仿宋_GB2312"/>
                <w:sz w:val="18"/>
                <w:color w:val="000000"/>
              </w:rPr>
              <w:t>N•m）：≥10</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功率（</w:t>
            </w:r>
            <w:r>
              <w:rPr>
                <w:rFonts w:ascii="仿宋_GB2312" w:hAnsi="仿宋_GB2312" w:cs="仿宋_GB2312" w:eastAsia="仿宋_GB2312"/>
                <w:sz w:val="18"/>
                <w:color w:val="000000"/>
              </w:rPr>
              <w:t>kW)：≥10</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18"/>
                <w:color w:val="000000"/>
              </w:rPr>
              <w:t>整车整备质量</w:t>
            </w:r>
            <w:r>
              <w:rPr>
                <w:rFonts w:ascii="仿宋_GB2312" w:hAnsi="仿宋_GB2312" w:cs="仿宋_GB2312" w:eastAsia="仿宋_GB2312"/>
                <w:sz w:val="18"/>
                <w:color w:val="000000"/>
              </w:rPr>
              <w:t>(kg)：≥110</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18"/>
                <w:color w:val="000000"/>
              </w:rPr>
              <w:t>车速</w:t>
            </w:r>
            <w:r>
              <w:rPr>
                <w:rFonts w:ascii="仿宋_GB2312" w:hAnsi="仿宋_GB2312" w:cs="仿宋_GB2312" w:eastAsia="仿宋_GB2312"/>
                <w:sz w:val="18"/>
                <w:color w:val="000000"/>
              </w:rPr>
              <w:t>(km)：≥80</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18"/>
                <w:color w:val="000000"/>
              </w:rPr>
              <w:t>油箱容积</w:t>
            </w:r>
            <w:r>
              <w:rPr>
                <w:rFonts w:ascii="仿宋_GB2312" w:hAnsi="仿宋_GB2312" w:cs="仿宋_GB2312" w:eastAsia="仿宋_GB2312"/>
                <w:sz w:val="18"/>
                <w:color w:val="000000"/>
              </w:rPr>
              <w:t>(L)：≥6</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18"/>
                <w:color w:val="000000"/>
              </w:rPr>
              <w:t>最小离地间隙</w:t>
            </w:r>
            <w:r>
              <w:rPr>
                <w:rFonts w:ascii="仿宋_GB2312" w:hAnsi="仿宋_GB2312" w:cs="仿宋_GB2312" w:eastAsia="仿宋_GB2312"/>
                <w:sz w:val="18"/>
                <w:color w:val="000000"/>
              </w:rPr>
              <w:t>(mm）：≥110</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18"/>
                <w:color w:val="000000"/>
              </w:rPr>
              <w:t>总质量（</w:t>
            </w:r>
            <w:r>
              <w:rPr>
                <w:rFonts w:ascii="仿宋_GB2312" w:hAnsi="仿宋_GB2312" w:cs="仿宋_GB2312" w:eastAsia="仿宋_GB2312"/>
                <w:sz w:val="18"/>
                <w:color w:val="000000"/>
              </w:rPr>
              <w:t>kg）：≥300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（1）验收依据(警车管理规定)(公安部令第174号),机动车国际，警用特种装备行业规范GA标准。 （2）采购文件，招标文件，双方采购合同，技术参数要求。 （3）车辆原厂出厂标准 （4）验收合格交付标准：全车0公里，车辆出厂日期不超过半年。无事故，无试驾，无修复。核心参数达标：发动机排量，功率，扭矩， ABS制动，轮胎规格，油箱容积，尺寸重量匹配采购技术参数，误差在允许范围之内。安全配置一切正常。警用外观涂装（全国统一制式）有警徽，公安汉字。符合（警车外观制式涂装规范）。警灯警具符合警车标准，开关控制一切正常。警用加装配件齐全完好，有护杠。随车工具，使用说明书，维修保养手册，尾箱钥匙，车辆合格证齐全。 （5）采购方验收合格后签署车辆交付验收单。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本项目警用摩托车质保期自车辆全部验收合格并完成交付之日起计算，整车、电喷系统、ABS 制动系统、车架、发动机总成及全部警用加装设备（警灯、警报、护杠）质保期1年。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贰份。纸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2、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供应商提供近半年内已缴纳的至少一个月的纳税证明或完税证明，纳税证明或完税证明上应有代收机构或税务机关的公章，依法免税的供应商应提供相关文件证明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供应商提供近半年内已缴存的至少一个月的社会保障资金缴存单据或社保机构开具的社会保险参保缴费情况证明，依法不需要缴纳社会保障资金的供应商应提供相关文件证明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如授权代表投标需提供法定代表人授权委托书（附法定代表人身份证复印件及被授权委托人身份证复印件）；如法定代表人直接投标须提交法定代表人身份证明（附法定代表人身份证复印件）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采购代理机构于投标文件递交截止时间当天查询相关信用记录，对列入失信被执行人、重大税收违法失信主体、政府采购严重违法失信行为记录名单，采购人和采购代理机构将拒绝其参与政府采购活动。</w:t>
            </w:r>
          </w:p>
        </w:tc>
        <w:tc>
          <w:tcPr>
            <w:tcW w:type="dxa" w:w="1661"/>
          </w:tcPr>
          <w:p>
            <w:pPr>
              <w:pStyle w:val="null3"/>
            </w:pPr>
            <w:r>
              <w:rPr>
                <w:rFonts w:ascii="仿宋_GB2312" w:hAnsi="仿宋_GB2312" w:cs="仿宋_GB2312" w:eastAsia="仿宋_GB2312"/>
              </w:rPr>
              <w:t>投标⼈资格证明文件.docx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是否联合体投</w:t>
            </w:r>
          </w:p>
        </w:tc>
        <w:tc>
          <w:tcPr>
            <w:tcW w:type="dxa" w:w="3322"/>
          </w:tcPr>
          <w:p>
            <w:pPr>
              <w:pStyle w:val="null3"/>
            </w:pPr>
            <w:r>
              <w:rPr>
                <w:rFonts w:ascii="仿宋_GB2312" w:hAnsi="仿宋_GB2312" w:cs="仿宋_GB2312" w:eastAsia="仿宋_GB2312"/>
              </w:rPr>
              <w:t>本项目不接受联合体投标（非联合体声明）</w:t>
            </w:r>
          </w:p>
        </w:tc>
        <w:tc>
          <w:tcPr>
            <w:tcW w:type="dxa" w:w="1661"/>
          </w:tcPr>
          <w:p>
            <w:pPr>
              <w:pStyle w:val="null3"/>
            </w:pPr>
            <w:r>
              <w:rPr>
                <w:rFonts w:ascii="仿宋_GB2312" w:hAnsi="仿宋_GB2312" w:cs="仿宋_GB2312" w:eastAsia="仿宋_GB2312"/>
              </w:rPr>
              <w:t>投标⼈资格证明文件.docx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投标函 投标文件封面 投标⼈资格证明文件.docx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投标文件的技术要求</w:t>
            </w:r>
          </w:p>
        </w:tc>
        <w:tc>
          <w:tcPr>
            <w:tcW w:type="dxa" w:w="3322"/>
          </w:tcPr>
          <w:p>
            <w:pPr>
              <w:pStyle w:val="null3"/>
            </w:pPr>
            <w:r>
              <w:rPr>
                <w:rFonts w:ascii="仿宋_GB2312" w:hAnsi="仿宋_GB2312" w:cs="仿宋_GB2312" w:eastAsia="仿宋_GB2312"/>
              </w:rPr>
              <w:t>投标文件的技术要求与招标文件要求不符的 不合格 投标文件的技术要求符合招标文件要求的 合格</w:t>
            </w:r>
          </w:p>
        </w:tc>
        <w:tc>
          <w:tcPr>
            <w:tcW w:type="dxa" w:w="1661"/>
          </w:tcPr>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产品的基本功能、技术指标与需求的吻合程度和偏差情况（包括产品的规格型号、配置、主要技术参数、其他要求等），是否能够满足竞争性磋商文件要求。完全满足得30分。其中：（ 1）“★”项技术参数为实质性要求，不允许负偏离，否则为⽆效响应，不进⼊下⼀评审环节。（2）“▲”项每项负偏离扣3分，未标项每项负偏离扣2分，扣完为⽌。 注： 未提供设备产品的技术支持资料（包括但不限于产品检测报告、产品说明书，网上功能截图等任意⼀种，）或提供的技术支持资料与设备产品不一致或不能体现技术要求的，评标委员会有权不予认可，并扣除相应的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产品供货渠道正规，无产权纠纷:提供相应的证明材料，包括但不限于所投产品的认证证书、厂家授权、销售协议等任意一种。</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⼀、评审内容投标⼈需针对本项⽬提供完整的项⽬实施⽅案。内容包含： ①供货组织及进度安排②对接及运输⽅案③调试⽅案④⼈员、物⼒调配安排。 ⼆、评审标准1、完整性：⽅案必须全⾯，对评审内容中的各项要求有详细描述；2、可实施性：切合本项⽬实际情况，提出步骤清晰、合理的⽅案；3、针对性：⽅案能够紧扣项⽬实际情况，内容科学合理。 三、赋分依据（满分9分）①供货组织及进度安排：每完全满⾜⼀个评审标准得1分，满分3分；②对接及运输⽅案:每完全满⾜⼀个评审标准得1分，满分3分；③安装调试⽅案:每 完全满⾜⼀个评审标准得0.5分，满分1.5分；④⼈员、物⼒调配安排： 每完全满⾜⼀个评审标准得0.5分，满分1.5分。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⼀、评审内容投标⼈根据项⽬实际需求，提供质量保证⽅案。内容包含： ①产品性能、使⽤寿命及效果；②质量保证措施。 ⼆、评审标准1、完整性：⽅案须全⾯，对评审内容中的各 项要求有详细描述；2、可实施性：切合本项⽬实际情况，实施步骤清晰、合理；3、针对性：⽅案能够紧扣 本项⽬所采购设备种类等实际情况，内容科学合理。 三、赋分依据（满分3分）①产品性能、使⽤寿命及效果 ：每完全满⾜⼀个评审标准得0.5分， 满分1.5分；②质量保证措施:每完全满 ⾜⼀个评审标准得0.5分，满分1.5分。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⼀、评审内容根据项⽬实际需求提供 售后服务⽅案。内容包含：①售后服务范围②响应时间及⽅式③故障处理及补救措施④定期回访及维护。 ⼆、 评审标准1.完整性：⽅案必须全⾯， 对评审内容中的各项要求有详细描述 ；2.可实施性：切合本项⽬实际情况 ，提出步骤清晰、合理的⽅案；3.针对性：⽅案能够紧扣项⽬实际情况， 内容科学合理。 三、赋分依据（满分6分）①售后服务范围：每完全满⾜ ⼀个评审标准得0.5分，满分1.5分；②响应时间及⽅式:每完全满⾜⼀个评审标准得0.5分，满分1.5分；③故障处理及补救措施:每完全满⾜⼀个评审标准得0.5分，满分1.5分；④定期回访及维护:每完全满⾜⼀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供应商针对本项目有完整、详细的培训方案与计划； 二、评审标准 1、完整性：内容必须全面，对评审内容中的各项要求有详细描述； 2、针对性：切合项目具体情况，明确责任及具体的培训方案； 三、赋分标准； 1、每完全满足一个评审标准得1分，满分2分。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承诺质保期在满⾜招标⽂件要求的基础上，每增加⼀年得1.5分， 满分3分。⽆承诺不得分。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2023年1月1日起至今，具有类似或相关项目业绩（以合同或中标通知书日期为准，投标响应文件中附加盖公章的合同或中标通知书复印件，否则不作为评审依据），提供一份有效业绩得5分，最多得15分。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详见附件：投标⼈资格证明文件.docx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详见附件：合同格式与主要条款.docx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