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版本号：20260326-00027.1B120260508001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射频热疗系统医疗设备采购项目(二次)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20260326-00027.1B1</w:t>
      </w:r>
      <w:r>
        <w:br/>
      </w:r>
      <w:r>
        <w:br/>
      </w:r>
      <w:r>
        <w:br/>
      </w:r>
    </w:p>
    <w:p>
      <w:pPr>
        <w:pStyle w:val="null3"/>
        <w:jc w:val="center"/>
        <w:outlineLvl w:val="2"/>
      </w:pPr>
      <w:r>
        <w:rPr>
          <w:rFonts w:ascii="仿宋_GB2312" w:hAnsi="仿宋_GB2312" w:cs="仿宋_GB2312" w:eastAsia="仿宋_GB2312"/>
          <w:sz w:val="28"/>
          <w:b/>
        </w:rPr>
        <w:t>西安市人民医院（西安市第四医院）</w:t>
      </w:r>
    </w:p>
    <w:p>
      <w:pPr>
        <w:pStyle w:val="null3"/>
        <w:jc w:val="center"/>
        <w:outlineLvl w:val="2"/>
      </w:pPr>
      <w:r>
        <w:rPr>
          <w:rFonts w:ascii="仿宋_GB2312" w:hAnsi="仿宋_GB2312" w:cs="仿宋_GB2312" w:eastAsia="仿宋_GB2312"/>
          <w:sz w:val="28"/>
          <w:b/>
        </w:rPr>
        <w:t>永明项目管理有限公司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永明项目管理有限公司</w:t>
      </w:r>
      <w:r>
        <w:rPr>
          <w:rFonts w:ascii="仿宋_GB2312" w:hAnsi="仿宋_GB2312" w:cs="仿宋_GB2312" w:eastAsia="仿宋_GB2312"/>
        </w:rPr>
        <w:t>（以下简称“代理机构”）受</w:t>
      </w:r>
      <w:r>
        <w:rPr>
          <w:rFonts w:ascii="仿宋_GB2312" w:hAnsi="仿宋_GB2312" w:cs="仿宋_GB2312" w:eastAsia="仿宋_GB2312"/>
        </w:rPr>
        <w:t>西安市人民医院（西安市第四医院）</w:t>
      </w:r>
      <w:r>
        <w:rPr>
          <w:rFonts w:ascii="仿宋_GB2312" w:hAnsi="仿宋_GB2312" w:cs="仿宋_GB2312" w:eastAsia="仿宋_GB2312"/>
        </w:rPr>
        <w:t>委托，拟对</w:t>
      </w:r>
      <w:r>
        <w:rPr>
          <w:rFonts w:ascii="仿宋_GB2312" w:hAnsi="仿宋_GB2312" w:cs="仿宋_GB2312" w:eastAsia="仿宋_GB2312"/>
        </w:rPr>
        <w:t>射频热疗系统医疗设备采购项目(二次)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20260326-00027.1B1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射频热疗系统医疗设备采购项目(二次)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用于我院航天城院区肿瘤科开展，肿瘤深部热疗是恶性肿瘤继手术、化疗、放疗、靶向治疗、免疫治疗之后非常重要的治疗手段之一，在肿瘤综合治疗中具有重要价值和意义；也是国内外、省内外肿瘤专科医院和各大综合医院临床肿瘤中心抗肿瘤治疗的方式之一，我院肿瘤科系2023年底新建科室，目前科室处于业务拓展和规模扩张的关键阶段，抗肿瘤治疗手段局限，为满足患者治疗需求，增加治疗手段，提高抗肿瘤治疗疗效，增强本科室在同行业内的竞争力，同时也为深部热疗联合免疫等新型治疗临床研究提供必要条件。采购预算:96万元(含财政专项资金21.51万元;财政性资金74.49万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财务状况证明：供应商提供2024年度的财务审计报告或由供应商基本户开户银行近三个月内出具的资信证明（须提供基本户开户许可证或基本户开户信息）或供应商提供在投标截止时间前三个月内由信用担保机构出具的投标担保函；</w:t>
      </w:r>
    </w:p>
    <w:p>
      <w:pPr>
        <w:pStyle w:val="null3"/>
      </w:pPr>
      <w:r>
        <w:rPr>
          <w:rFonts w:ascii="仿宋_GB2312" w:hAnsi="仿宋_GB2312" w:cs="仿宋_GB2312" w:eastAsia="仿宋_GB2312"/>
        </w:rPr>
        <w:t>3、税收缴纳证明：投标供应商提供2025年以来任意1个月的纳税缴纳证明，免税企业提供税务机关出具相关的有效证明材料；</w:t>
      </w:r>
    </w:p>
    <w:p>
      <w:pPr>
        <w:pStyle w:val="null3"/>
      </w:pPr>
      <w:r>
        <w:rPr>
          <w:rFonts w:ascii="仿宋_GB2312" w:hAnsi="仿宋_GB2312" w:cs="仿宋_GB2312" w:eastAsia="仿宋_GB2312"/>
        </w:rPr>
        <w:t>4、社会保障资金缴纳证明：投标供应商提供2025年以来任意1个月的社保缴纳证明，其他组织形式供应商（如个体工商户、合作社、自然人等）可提供法人或负责人个人2025年以来任意1个月的社保资金缴纳证明材料；</w:t>
      </w:r>
    </w:p>
    <w:p>
      <w:pPr>
        <w:pStyle w:val="null3"/>
      </w:pPr>
      <w:r>
        <w:rPr>
          <w:rFonts w:ascii="仿宋_GB2312" w:hAnsi="仿宋_GB2312" w:cs="仿宋_GB2312" w:eastAsia="仿宋_GB2312"/>
        </w:rPr>
        <w:t>5、书面声明：参加政府采购活动前3年内，在经营活动中没有重大违法记录的书面声明；</w:t>
      </w:r>
    </w:p>
    <w:p>
      <w:pPr>
        <w:pStyle w:val="null3"/>
      </w:pPr>
      <w:r>
        <w:rPr>
          <w:rFonts w:ascii="仿宋_GB2312" w:hAnsi="仿宋_GB2312" w:cs="仿宋_GB2312" w:eastAsia="仿宋_GB2312"/>
        </w:rPr>
        <w:t>6、具有履行合同所必需的设备和专业技术能力：提供具有履行合同所必需的设备和专业技术能力的承诺书；</w:t>
      </w:r>
    </w:p>
    <w:p>
      <w:pPr>
        <w:pStyle w:val="null3"/>
      </w:pPr>
      <w:r>
        <w:rPr>
          <w:rFonts w:ascii="仿宋_GB2312" w:hAnsi="仿宋_GB2312" w:cs="仿宋_GB2312" w:eastAsia="仿宋_GB2312"/>
        </w:rPr>
        <w:t>7、医疗器械注册证：属于医疗器械的产品需提供医疗器械注册证或备案凭证；</w:t>
      </w:r>
    </w:p>
    <w:p>
      <w:pPr>
        <w:pStyle w:val="null3"/>
      </w:pPr>
      <w:r>
        <w:rPr>
          <w:rFonts w:ascii="仿宋_GB2312" w:hAnsi="仿宋_GB2312" w:cs="仿宋_GB2312" w:eastAsia="仿宋_GB2312"/>
        </w:rPr>
        <w:t>8、资质要求：①供应商如为生产厂家的，须提供医疗器械生产许可证； ②供应商如为代理经销商的，其所投产品如为三类医疗器械，须提供有效的医疗器械经营许可证，投标产品须在其经营范围内。如其所投产品属于二类医疗器械的，须提供二类医疗器械经营备案证，投标产品须在其经营范围内。</w:t>
      </w:r>
    </w:p>
    <w:p>
      <w:pPr>
        <w:pStyle w:val="null3"/>
      </w:pPr>
      <w:r>
        <w:rPr>
          <w:rFonts w:ascii="仿宋_GB2312" w:hAnsi="仿宋_GB2312" w:cs="仿宋_GB2312" w:eastAsia="仿宋_GB2312"/>
        </w:rPr>
        <w:t>9、信用记录：截止至响应文件递交截止时间之前，供应商未被“信用中国”网站列入失信被执行人、重大税收违法失信主体名单，未被“中国政府采购网”网站列入政府采购严重违法失信行为记录名单（以采购代理机构在磋商会议现场通过“信用中国”网站、中国政府采购网等渠道的查询结果为准。）</w:t>
      </w:r>
    </w:p>
    <w:p>
      <w:pPr>
        <w:pStyle w:val="null3"/>
      </w:pPr>
      <w:r>
        <w:rPr>
          <w:rFonts w:ascii="仿宋_GB2312" w:hAnsi="仿宋_GB2312" w:cs="仿宋_GB2312" w:eastAsia="仿宋_GB2312"/>
        </w:rPr>
        <w:t>10、授权委托书：法定代表人或单位负责人直接参加的，须提供《法定代表人或单位负责人身份证明书》；法定代表人或单位负责人授权代表参加的，须提供《法定代表人或单位负责人授权书》。</w:t>
      </w:r>
    </w:p>
    <w:p>
      <w:pPr>
        <w:pStyle w:val="null3"/>
      </w:pPr>
      <w:r>
        <w:rPr>
          <w:rFonts w:ascii="仿宋_GB2312" w:hAnsi="仿宋_GB2312" w:cs="仿宋_GB2312" w:eastAsia="仿宋_GB2312"/>
        </w:rPr>
        <w:t>11、是否接受联合体参加：本项目不接受联合体参加（供应商须提供非联合体参加声明）；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西安市人民医院（西安市第四医院）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西安市长安区航天新城航天东路155号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029-61199741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永明项目管理有限公司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西安市雁翔路3269号旺座曲江M座2503室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13659236169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和改革委员会办公厅颁发的《关于招标代理服务收费有关问题的通知》（发改办价格『2003』857号）规定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踏勘时间：2026-05-18 10:30:00</w:t>
            </w:r>
          </w:p>
          <w:p>
            <w:pPr>
              <w:pStyle w:val="null3"/>
              <w:ind w:firstLine="975"/>
            </w:pPr>
            <w:r>
              <w:rPr>
                <w:rFonts w:ascii="仿宋_GB2312" w:hAnsi="仿宋_GB2312" w:cs="仿宋_GB2312" w:eastAsia="仿宋_GB2312"/>
              </w:rPr>
              <w:t>踏勘地点：西安市人民医院（西安市第四医院）航天城院区门诊6诊区护士站对面</w:t>
            </w:r>
          </w:p>
          <w:p>
            <w:pPr>
              <w:pStyle w:val="null3"/>
              <w:ind w:firstLine="975"/>
            </w:pPr>
            <w:r>
              <w:rPr>
                <w:rFonts w:ascii="仿宋_GB2312" w:hAnsi="仿宋_GB2312" w:cs="仿宋_GB2312" w:eastAsia="仿宋_GB2312"/>
              </w:rPr>
              <w:t>联系人：李强</w:t>
            </w:r>
          </w:p>
          <w:p>
            <w:pPr>
              <w:pStyle w:val="null3"/>
              <w:ind w:firstLine="975"/>
            </w:pPr>
            <w:r>
              <w:rPr>
                <w:rFonts w:ascii="仿宋_GB2312" w:hAnsi="仿宋_GB2312" w:cs="仿宋_GB2312" w:eastAsia="仿宋_GB2312"/>
              </w:rPr>
              <w:t>联系电话号码：13659236169</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西安市人民医院（西安市第四医院）</w:t>
      </w:r>
      <w:r>
        <w:rPr>
          <w:rFonts w:ascii="仿宋_GB2312" w:hAnsi="仿宋_GB2312" w:cs="仿宋_GB2312" w:eastAsia="仿宋_GB2312"/>
        </w:rPr>
        <w:t>和</w:t>
      </w:r>
      <w:r>
        <w:rPr>
          <w:rFonts w:ascii="仿宋_GB2312" w:hAnsi="仿宋_GB2312" w:cs="仿宋_GB2312" w:eastAsia="仿宋_GB2312"/>
        </w:rPr>
        <w:t>永明项目管理有限公司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西安市人民医院（西安市第四医院）</w:t>
      </w:r>
      <w:r>
        <w:rPr>
          <w:rFonts w:ascii="仿宋_GB2312" w:hAnsi="仿宋_GB2312" w:cs="仿宋_GB2312" w:eastAsia="仿宋_GB2312"/>
        </w:rPr>
        <w:t>负责解释。除上述磋商文件内容，其他内容由</w:t>
      </w:r>
      <w:r>
        <w:rPr>
          <w:rFonts w:ascii="仿宋_GB2312" w:hAnsi="仿宋_GB2312" w:cs="仿宋_GB2312" w:eastAsia="仿宋_GB2312"/>
        </w:rPr>
        <w:t>永明项目管理有限公司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永明项目管理有限公司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1、按照合同约定时间，按院方指定地点提供货物，配合验收工作，并负责安装场地屏蔽改造、设备安装、调试、提供现场技术培训，保证使用人员正常操作设备的各种功能。 2、由供应商负责，运杂费已包含在合同总价内，包括从货物供应地点所含的运输费、装卸费、仓储费、保险费等。 3、定期派技术人员到现场走访，给予检查维护，一年不少于2次。 4、供应商应终身免费提供维护手册、维修手册、软件备份、故障代码表、备件清单、零部件、维修密码等维护维修必须的材料和信息。</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联系人：张园园</w:t>
      </w:r>
    </w:p>
    <w:p>
      <w:pPr>
        <w:pStyle w:val="null3"/>
      </w:pPr>
      <w:r>
        <w:rPr>
          <w:rFonts w:ascii="仿宋_GB2312" w:hAnsi="仿宋_GB2312" w:cs="仿宋_GB2312" w:eastAsia="仿宋_GB2312"/>
        </w:rPr>
        <w:t>联系电话：13659236169</w:t>
      </w:r>
    </w:p>
    <w:p>
      <w:pPr>
        <w:pStyle w:val="null3"/>
      </w:pPr>
      <w:r>
        <w:rPr>
          <w:rFonts w:ascii="仿宋_GB2312" w:hAnsi="仿宋_GB2312" w:cs="仿宋_GB2312" w:eastAsia="仿宋_GB2312"/>
        </w:rPr>
        <w:t>地址：西安市雁翔路3269号旺座曲江M座2503室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用于我院航天城院区肿瘤科开展，肿瘤深部热疗是恶性肿瘤继手术、化疗、放疗、靶向治疗、免疫治疗之后非常重要的治疗手段之一，在肿瘤综合治疗中具有重要价值和意义；也是国内外、省内外肿瘤专科医院和各大综合医院临床肿瘤中心抗肿瘤治疗的方式之一，我院肿瘤科系2023年底新建科室，目前科室处于业务拓展和规模扩张的关键阶段，抗肿瘤治疗手段局限，为满足患者治疗需求，增加治疗手段，提高抗肿瘤治疗疗效，增强本科室在同行业内的竞争力，同时也为深部热疗联合免疫等新型治疗临床研究提供必要条件。</w:t>
      </w:r>
      <w:r>
        <w:rPr>
          <w:rFonts w:ascii="仿宋_GB2312" w:hAnsi="仿宋_GB2312" w:cs="仿宋_GB2312" w:eastAsia="仿宋_GB2312"/>
          <w:b/>
          <w:u w:val="single"/>
        </w:rPr>
        <w:t>本项目采购预算:96万元(含财政专项资金21.51万元;财政性资金74.49万元)。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960,000.00</w:t>
      </w:r>
    </w:p>
    <w:p>
      <w:pPr>
        <w:pStyle w:val="null3"/>
      </w:pPr>
      <w:r>
        <w:rPr>
          <w:rFonts w:ascii="仿宋_GB2312" w:hAnsi="仿宋_GB2312" w:cs="仿宋_GB2312" w:eastAsia="仿宋_GB2312"/>
        </w:rPr>
        <w:t>采购包最高限价（元）: 960,000.00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射频热疗系统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960,000.00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标的名称：射频热疗系统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（一）技术参数：</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适用范围：临床上配合化放疗等综合治疗，用于肿瘤病人的治疗</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最大输出总功率≥1200W</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射频加热方式</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具有≥5路测温系统</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治疗频率≥25MHz</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至少具有上下两个极板</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测温精度≤±0.3℃</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1～120min范围内连续可调，精度≤±5s</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报警温度≤35℃和≥43℃</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1"/>
              </w:rPr>
              <w:t>具有病例存储和查询功能，病例存储</w:t>
            </w:r>
            <w:r>
              <w:rPr>
                <w:rFonts w:ascii="仿宋_GB2312" w:hAnsi="仿宋_GB2312" w:cs="仿宋_GB2312" w:eastAsia="仿宋_GB2312"/>
                <w:sz w:val="21"/>
              </w:rPr>
              <w:t>≥10万人次</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存贮文件可转换成Excel或word文件。</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具有超温报警和急停功能。</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治疗床为电动控制可升降，水平移动</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（二）配置要求:</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主机 1套（含射频相关控制柜、机架等）；测温线5组、操作主机 1台（含显示器、打印机、UPS、控制软件）；电动床1张</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二、接口及数据要求</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1. 免费系统升级，免费与我院HIS、LIS、PACS等信息系统及集成平台对接，并承担所接系统软件工作站、双向接口、配件及由此产生的所有费用。（含高清采集卡、采集盒、视频线、脚踏、手控、交换机等）。</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2.具有时间同步功能机制。</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3.工作站为中文操作系统，连接设备后仍有可用网口。</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4.具有串口、USB、网口、DICOM端口之一的通讯端口。如通信接口特殊，不在上述范围内，需提供转换为以上4类接口的相应转换头。</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三、服务要求</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中标商需按照设备安装场地现场情况，及设备正常运行需求为目的，其中所产生的所有人工、材料、运输、安装场地屏蔽改造、设备安装、配套设备等费用均由中标方承担。</w:t>
            </w:r>
          </w:p>
        </w:tc>
      </w:tr>
      <w:tr>
        <w:tc>
          <w:tcPr>
            <w:tcW w:type="dxa" w:w="2769"/>
          </w:tcPr>
          <w:p>
            <w:pPr>
              <w:pStyle w:val="null3"/>
            </w:pPr>
            <w:r>
              <w:rPr>
                <w:rFonts w:ascii="仿宋_GB2312" w:hAnsi="仿宋_GB2312" w:cs="仿宋_GB2312" w:eastAsia="仿宋_GB2312"/>
              </w:rPr>
              <w:t>24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整机免费原厂保修期三年（含消耗性配件），（从验收合格之日起开始计算）,设备全生命周期内免费提供设备维护、软件升级的技术支持和指导，配合医院完成设备维修、保养相关工作。免费保修期内，同一主要部件出现质量问题经过两次维修后仍无法正常使用，更换同型号、同规格的全新产品，服务响应时间不超过2小时，对问题较大短期内暂不能解决的，为不影响甲方正常工作，乙方在2日内免费提供替代产品，确保正常运行，由此产生的费用由乙方承担；</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操作人员的技术培训时间不得少于一周，提供培训计划。</w:t>
            </w:r>
          </w:p>
        </w:tc>
      </w:tr>
      <w:tr>
        <w:tc>
          <w:tcPr>
            <w:tcW w:type="dxa" w:w="2769"/>
          </w:tcPr>
          <w:p>
            <w:pPr>
              <w:pStyle w:val="null3"/>
            </w:pPr>
            <w:r>
              <w:rPr>
                <w:rFonts w:ascii="仿宋_GB2312" w:hAnsi="仿宋_GB2312" w:cs="仿宋_GB2312" w:eastAsia="仿宋_GB2312"/>
              </w:rPr>
              <w:t>26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提供生产厂家出具的≥3年的质保声明或质保承诺书。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合同签订之日起，自甲方通知后60天内完成全部项目内容，并交付采购人验收合格。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因系统录入限制，该部分时间要求以工作日为准，详见“其他”）无预付款，所有货物到达甲方指定地点，安装、调试完毕、提供国家或行业标准的合格验收证明以及出具所有设备生产厂家提供的（三）年质量保证书等，乙方完成自检合格后，提交甲方进行第一次验收，甲方自第一次验收合格且收到发票之日起，十个工作日内无息支付验收合格产品对应金额总价95%，若因乙方不能及时提供发票或提供的发票不符合要求的，甲方付款期限顺延，且不承担任何责任。</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（因系统录入限制，该部分时间要求以工作日为准，详见“其他”）货物第一次验收合格满36个月后，进行二次验收，验收合格后达到付款条件起10个工作日内，支付合同总金额的5%。</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有关规定以及院方招标文件的质量要求和技术指标、供应商的投标文件及承诺与本合同约定标准进行验收；双方如对质量要求和技术指标的约定标准有相互抵触或异议的事项，由院方在招标与投标文件中按质量要求和技术指标比较优胜的原则确定该项的约定标准进行验收； 2、验收时如发现所交付的货物有缺项、次品、损坏或其它不符合标准及本合同约定之情形者，院方应做出详尽的现场记录，记录形式包括摄像、拍照、供应商证明人的说明，并由双方签署备忘录，此现场记录或备忘录可用作补充缺失和更换损坏部件和更换符合要求的整机之有效证据，由此产生的时间延误与相关费用由供应商承担，验收期限相应顺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详见具体技术（参数）要求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未按合同要求提供货物或质量不能满足本合同、招标文件、投标文件等相关文件要求的，乙方须在合同约定的交货期内无条件更换合格的货物交付给甲方，若甲方有实际损失的乙方还应赔偿甲方的实际损失。否则，甲方有权解除合同，合同自书面解除通知到达乙方之日起解除，乙方向甲方支付违约金，违约金计算方法：以合同总价为基数，支付甲方合同最高限价的30%违约金；若违约金不足以弥补甲方所受损失，则甲方可以要求乙方赔偿解除合同的全部损失（包括但不限于律师费、重新采购产生的费用、合同未履行导致设备不能按规划交付使用可能产生的租赁费用及其它由此造成的甲方对第三方的违约损失）。同时甲方有权对乙方的违约行为报监管机构进行相应的处罚。 2、乙方逾期交付货物的，除应及时交足货物外，同时向甲方支付逾期交货部分货款总额的百分之一/天的违约金；逾期交货超过10天，甲方有权解除合同，合同自书面解除通知到达乙方之日起解除，乙方则应按合同最高限价的30%向甲方支付违约金，若违约金不足以弥补甲方损失，则甲方可要求乙方赔偿解除合同的全部损失（包括但不限于律师费、重新采购产生的费用、合同未履行导致设备不能按规划交付使用可能产生的租赁费用及其他由此造成的甲方对第三方的违约损失），同时甲方有权将乙方违约事宜上报至财政监督管理部门备案。</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2.根据西安市财政局《关于促进政府采购公平竞争优化营商环境的通知》（市财函[2021]431号）文中“第16条规定 供应商登记免费领取采购文件的，如不参与项目投标，应在递交投标（或相应）文件截止时间前一日以书面形式告知采购代理机构。否则，采购代理机构可以向财政部门反映情况并提供相应的佐证。供应商一年内累计出现三次该情形，将被监管部门记录失信行为”。 3.供应商必须填写“陕西省政府采购供货商拒绝政府采购领域商业贿赂承诺书”（详见采购文件附件其他材料）、“政府采购活动行为自律承诺书（一）”（详见采购文件附件其他材料）和“政府采购活动行为自律承诺书（二）”（详见采购文件附件其他材料），未填写的将按按无效标处理。 4.合同支付约定：无预付款，所有货物到达甲方指定地点，安装、调试完毕、提供国家或行业标准的合格验收证明以及出具所有设备生产厂家提供的（三）年质量保证书等，乙方完成自检合格后，提交甲方进行第一次验收，甲方自第一次验收合格且收到发票之日起，十个工作日内无息支付验收合格产品对应金额总价95%，若因乙方不能及时提供发票或提供的发票不符合要求的，甲方付款期限顺延，且不承担任何责任。货物第一次验收合格满36个月后，进行二次验收，验收合格后达到付款条件起10个工作日内，支付合同总金额的5%。 5.技术履约验收内容： 5.1定期派技术人员到现场走访，给予检查维护，一年不少于2次。 5.2供应商应终身免费提供维护手册、维修手册、软件备份、故障代码表、备件清单、零部件、维修密码等维护维修必须的材料和信息。 6.商务履约验收内容： 6.1按照合同约定时间，按院方指定地点提供货物，配合验收工作，并负责安装、调试、提供现场技术培训，保证使用人员正常操作设备的各种功能。 6.2由供应商负责，运杂费已包含在合同总价内，包括从货物供应地点所含的运输费、装卸费、仓储费、保险费等。 7.履约验收标准： 7.1按照合同约定时间，按院方指定地点提供货物，配合验收工作，并负责安装场地屏蔽改造、设备安装、调试、提供现场技术培训，保证使用人员正常操作设备的各种功能。 7.2由供应商负责，运杂费已包含在合同总价内，包括从货物供应地点所含的运输费、装卸费、仓储费、保险费等。 7.3定期派技术人员到现场走访，给予检查维护，一年不少于2次。 7.4供应商应终身免费提供维护手册、维修手册、软件备份、故障代码表、备件清单、零部件、维修密码等维护维修必须的材料和信息。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度的财务审计报告或由供应商基本户开户银行近三个月内出具的资信证明（须提供基本户开户许可证或基本户开户信息）或供应商提供在投标截止时间前三个月内由信用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的财务审计报告或由供应商基本户开户银行近三个月内出具的资信证明（须提供基本户开户许可证或基本户开户信息）或供应商提供在投标截止时间前三个月内由信用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投标供应商提供2025年以来任意1个月的纳税缴纳证明，免税企业提供税务机关出具相关的有效证明材料；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投标供应商提供2025年以来任意1个月的社保缴纳证明，其他组织形式供应商（如个体工商户、合作社、自然人等）可提供法人或负责人个人2025年以来任意1个月的社保资金缴纳证明材料；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医疗器械注册证</w:t>
            </w:r>
          </w:p>
        </w:tc>
        <w:tc>
          <w:tcPr>
            <w:tcW w:type="dxa" w:w="3322"/>
          </w:tcPr>
          <w:p>
            <w:pPr>
              <w:pStyle w:val="null3"/>
            </w:pPr>
            <w:r>
              <w:rPr>
                <w:rFonts w:ascii="仿宋_GB2312" w:hAnsi="仿宋_GB2312" w:cs="仿宋_GB2312" w:eastAsia="仿宋_GB2312"/>
              </w:rPr>
              <w:t>属于医疗器械的产品需提供医疗器械注册证或备案凭证；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①供应商如为生产厂家的，须提供医疗器械生产许可证； ②供应商如为代理经销商的，其所投产品如为三类医疗器械，须提供有效的医疗器械经营许可证，投标产品须在其经营范围内。如其所投产品属于二类医疗器械的，须提供二类医疗器械经营备案证，投标产品须在其经营范围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截止至响应文件递交截止时间之前，供应商未被“信用中国”网站列入失信被执行人、重大税收违法失信主体名单，未被“中国政府采购网”网站列入政府采购严重违法失信行为记录名单（以采购代理机构在磋商会议现场通过“信用中国”网站、中国政府采购网等渠道的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法定代表人或单位负责人直接参加的，须提供《法定代表人或单位负责人身份证明书》；法定代表人或单位负责人授权代表参加的，须提供《法定代表人或单位负责人授权书》。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是否接受联合体参加</w:t>
            </w:r>
          </w:p>
        </w:tc>
        <w:tc>
          <w:tcPr>
            <w:tcW w:type="dxa" w:w="3322"/>
          </w:tcPr>
          <w:p>
            <w:pPr>
              <w:pStyle w:val="null3"/>
            </w:pPr>
            <w:r>
              <w:rPr>
                <w:rFonts w:ascii="仿宋_GB2312" w:hAnsi="仿宋_GB2312" w:cs="仿宋_GB2312" w:eastAsia="仿宋_GB2312"/>
              </w:rPr>
              <w:t>本项目不接受联合体参加（供应商须提供非联合体参加声明）；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分项报价表.docx 标的清单 商务应答表.docx 报价表 产品技术参数表.docx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磋商响应文件按竞争性磋商文件要求签署、盖章；</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标的清单 其他资料.docx 报价表 商务应答表.docx 产品技术参数表.docx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标的清单 其他资料.docx 商务应答表.docx 报价表 产品技术参数表.docx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按磋商文件要求报价，不得提交选择性报价，且第一轮报价不超过采购预算金额或最高限价；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完全响应磋商文件要求的实质性条款（磋商文件中进行专门说明或表明的条款为实质性条款），或按无效标处理的条款均为实质性条款。</w:t>
            </w:r>
          </w:p>
        </w:tc>
        <w:tc>
          <w:tcPr>
            <w:tcW w:type="dxa" w:w="1661"/>
          </w:tcPr>
          <w:p>
            <w:pPr>
              <w:pStyle w:val="null3"/>
            </w:pPr>
            <w:r>
              <w:rPr>
                <w:rFonts w:ascii="仿宋_GB2312" w:hAnsi="仿宋_GB2312" w:cs="仿宋_GB2312" w:eastAsia="仿宋_GB2312"/>
              </w:rPr>
              <w:t>响应文件封面 分项报价表.docx 商务应答表.docx 实施方案.docx 产品技术参数表.docx 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商务应答表.docx 实施方案.docx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响应文件是否响应“陕西省政府采购供货商拒绝政府采购领域商业贿赂承诺书、参加政府采购活动行为自律承诺书（一）、参加政府采购活动行为自律承诺书（二）</w:t>
            </w:r>
          </w:p>
        </w:tc>
        <w:tc>
          <w:tcPr>
            <w:tcW w:type="dxa" w:w="3322"/>
          </w:tcPr>
          <w:p>
            <w:pPr>
              <w:pStyle w:val="null3"/>
            </w:pPr>
            <w:r>
              <w:rPr>
                <w:rFonts w:ascii="仿宋_GB2312" w:hAnsi="仿宋_GB2312" w:cs="仿宋_GB2312" w:eastAsia="仿宋_GB2312"/>
              </w:rPr>
              <w:t>响应文件响应“陕西省政府采购供货商拒绝政府采购领域商业贿赂承诺书、参加政府采购活动行为自律承诺书（一）、参加政府采购活动行为自律承诺书（二）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授权代表社保缴纳证明材料</w:t>
            </w:r>
          </w:p>
        </w:tc>
        <w:tc>
          <w:tcPr>
            <w:tcW w:type="dxa" w:w="3322"/>
          </w:tcPr>
          <w:p>
            <w:pPr>
              <w:pStyle w:val="null3"/>
            </w:pPr>
            <w:r>
              <w:rPr>
                <w:rFonts w:ascii="仿宋_GB2312" w:hAnsi="仿宋_GB2312" w:cs="仿宋_GB2312" w:eastAsia="仿宋_GB2312"/>
              </w:rPr>
              <w:t>法定代表人或单位负责人授权合法授权代表参加磋商会议的，应出具法定代表人或单位负责人授权书及授权代表合法有效的身份证,同时提供2025年1月1日以来任意1个月的社保缴纳证明材料。</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设备技术参数评审</w:t>
            </w:r>
          </w:p>
        </w:tc>
        <w:tc>
          <w:tcPr>
            <w:tcW w:type="dxa" w:w="2492"/>
          </w:tcPr>
          <w:p>
            <w:pPr>
              <w:pStyle w:val="null3"/>
            </w:pPr>
            <w:r>
              <w:rPr>
                <w:rFonts w:ascii="仿宋_GB2312" w:hAnsi="仿宋_GB2312" w:cs="仿宋_GB2312" w:eastAsia="仿宋_GB2312"/>
              </w:rPr>
              <w:t>技术指标参数清晰、明确；产品类别、规格等完全满足竞争性磋商文件要求，内容无负偏差得24分。一项标★参数负偏离，将按无效标处理，带“★”的技术参数必须在磋商响应文件中提供技术支持资料（包括但不限于含彩色样本或说明书或图纸或权威机构出具的检验报告等，未提供或所提供材料无法有效证明的将视为不满足本参数要求；供应商提交的支持资料和已印刷的文献可以用另一种语言，但相应内容应附有中文翻译本，在解释磋商响应文件时以翻译本为准；一项▲参数负偏离扣2分，一项非▲参数不符合扣1分，该项分数扣完为止。注：对非“★”的技术参数，供应商需尽可能多的提供相关技术、功能的证明材料（不限于设备技术说明或设备彩页或彩色照片或设备功能证明及截图等）予以佐证，并注明页码或位置，供应商自行承担因材料提供不全导致技术参数评审的风险。</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根据供应商提供的设备选型方案进行评审，该方案包含：①所投产品型号、功能、技术规格等详细信息描述；②根据所投产品品牌与配置清单，设备配置先进、选型科学合理，从配置完整性、性能稳定性、兼容性、行业使用广泛性等方面描述（供应商须提供证明材料，包括但不限于所投设备产品临床使用优势、市场销售情况等）；③确保设备供应渠道正常、检验手续合法有效、无产权纠纷（供应商须提供证明材料，包括但不限于授权函、销售协议、代理协议等）。 提供的上述3项内容完整可行得6分；每有一项未提供扣2分，扣完为止；每有一处有缺陷扣1分，扣完为止。说明：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根据供应商针对本项目提供的供货方案进行评审，包含：①供货能力；②运输方式；③供货组织架构与人员安排；④产品安全保证；⑤质量保证措施；⑥配送与交付运输方案；二、评审标准：①完整性：方案须全面合理，架构完整，对评审内容中的各项要求有详细描述；②可实施性：切合本项目实际情况，实施步骤清晰、合理；③针对性：方案能够紧扣本项目所维修设备等实际情况，内容科学合理。三、赋分依据（12分）上述6项评审内容全部满足评审标准得12分；每有一个评审内容缺项扣2分，扣完为止；每有一项评审内容存在缺陷，扣1分。 说明：（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一、评审内容：根据供应商针对本项目提供的安装、调试方案进行评审，包含：①安装过程管理；②调试步骤与性能检测；③质量管控与风险防范；④应急预案；二、评审标准：①完整性：方案须全面合理，架构完整，对评审内容中的各项要求有详细描述；②可实施性：切合本项目实际情况，实施步骤清晰、合理；③针对性：方案能够紧扣本项目所维修设备等实际情况，内容科学合理。三、赋分依据（8分）上述4项评审内容全部满足评审标准得8分；每有一个评审内容缺项扣2分，扣完为止；每有一项评审内容存在缺陷，扣1分。说明：（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履约验收方案</w:t>
            </w:r>
          </w:p>
        </w:tc>
        <w:tc>
          <w:tcPr>
            <w:tcW w:type="dxa" w:w="2492"/>
          </w:tcPr>
          <w:p>
            <w:pPr>
              <w:pStyle w:val="null3"/>
            </w:pPr>
            <w:r>
              <w:rPr>
                <w:rFonts w:ascii="仿宋_GB2312" w:hAnsi="仿宋_GB2312" w:cs="仿宋_GB2312" w:eastAsia="仿宋_GB2312"/>
              </w:rPr>
              <w:t>一、评审内容：根据供应商提供的履约验收方案进行评审，包含：①验收组织架构；②验收标准及验收程序；③验收时间节点；④验收记录与档案管理：二、评审标准：①完整性：方案须全面合理，架构完整，对评审内容中的各项要求有详细描述；②可实施性：切合本项目实际情况，实施步骤清晰、合理； ③针对性：方案能够紧扣本项目所维修设备等实际情况，内容科学合理。 三、赋分依据（8分）：上述4项评审内容全部满足评审标准得8分；每有一个评审内容缺项扣2分，扣完为止；每有一项评审内容存在缺陷，扣1分。 说明：（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供应商提供项目售后服务方案进行评审，包含：①质量保证期限及质量保证的范围承诺；②生产厂商售后服务承诺；③售后服务方式；④售后服务人员配置清单（专职售后负责人、能满足产品售后实际需求的人员配置）；二、评审标准：①完整性：方案须全面合理，架构完整，对评审内容中的各项要求有详细描述；②可实施性：切合本项目实际情况，实施步骤清晰、合理；③针对性：方案能够紧扣本项目所维修设备等实际情况，内容科学合理。三、赋分依据（4分）：上述4项评审内容全部满足评审标准得4分；每有一个评审内容缺项扣1分，扣完为止；每有一项评审内容存在缺陷，扣0.5分。说明：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培训服务方案</w:t>
            </w:r>
          </w:p>
        </w:tc>
        <w:tc>
          <w:tcPr>
            <w:tcW w:type="dxa" w:w="2492"/>
          </w:tcPr>
          <w:p>
            <w:pPr>
              <w:pStyle w:val="null3"/>
            </w:pPr>
            <w:r>
              <w:rPr>
                <w:rFonts w:ascii="仿宋_GB2312" w:hAnsi="仿宋_GB2312" w:cs="仿宋_GB2312" w:eastAsia="仿宋_GB2312"/>
              </w:rPr>
              <w:t>一、评审内容：根据供应商提供的培训服务方案进行评审，包含：①培训内容；②培训计划安排；③人员安排；二、评审标准：①完整性：方案须全面合理，架构完整，对评审内容中的各项要求有详细描述；②可实施性：切合本项目实际情况，实施步骤清晰、合理；③针对性：方案能够紧扣本项目所维修设备等实际情况，内容科学合理。三、赋分依据（3分）：上述3项评审内容全部满足评审标准得3分；每有一个评审内容缺项扣1分，扣完为止；每有一项评审内容存在缺陷，扣0.5分。说明：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提供2023年4月1日至今所投产品的业绩证明材料。每提供1份得1分，最高得5分。（以合同签订日期为准）注：供应商应在响应文件中提供完整业绩合同复印件或扫描件，并附对应的发票，未提供不得分。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磋商价格最低的磋商报价为磋商基准价，其价格分为满分。（因落实政府采购政策进行价格调整的，以调整后的价格计算磋商基准价和磋商报价）其他供应商的价格分按照下列公式计算：磋商报价得分＝（磋商基准价/最终磋商报价）×价格分值。价格得分四舍五入保留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