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版本号：HYRJ2026-06.1B120260722001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西乡县牧马河幸福河湖建设项目设计招标(二次)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HYRJ2026-06.1B1</w:t>
      </w:r>
      <w:r>
        <w:br/>
      </w:r>
      <w:r>
        <w:br/>
      </w:r>
      <w:r>
        <w:br/>
      </w:r>
    </w:p>
    <w:p>
      <w:pPr>
        <w:pStyle w:val="null3"/>
        <w:jc w:val="center"/>
        <w:outlineLvl w:val="2"/>
      </w:pPr>
      <w:r>
        <w:rPr>
          <w:rFonts w:ascii="仿宋_GB2312" w:hAnsi="仿宋_GB2312" w:cs="仿宋_GB2312" w:eastAsia="仿宋_GB2312"/>
          <w:sz w:val="28"/>
          <w:b/>
        </w:rPr>
        <w:t>西乡县水利局</w:t>
      </w:r>
    </w:p>
    <w:p>
      <w:pPr>
        <w:pStyle w:val="null3"/>
        <w:jc w:val="center"/>
        <w:outlineLvl w:val="2"/>
      </w:pPr>
      <w:r>
        <w:rPr>
          <w:rFonts w:ascii="仿宋_GB2312" w:hAnsi="仿宋_GB2312" w:cs="仿宋_GB2312" w:eastAsia="仿宋_GB2312"/>
          <w:sz w:val="28"/>
          <w:b/>
        </w:rPr>
        <w:t>陕西华亿瑞景工程项目管理有限责任公司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陕西华亿瑞景工程项目管理有限责任公司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西乡县水利局</w:t>
      </w:r>
      <w:r>
        <w:rPr>
          <w:rFonts w:ascii="仿宋_GB2312" w:hAnsi="仿宋_GB2312" w:cs="仿宋_GB2312" w:eastAsia="仿宋_GB2312"/>
        </w:rPr>
        <w:t>委托，拟对</w:t>
      </w:r>
      <w:r>
        <w:rPr>
          <w:rFonts w:ascii="仿宋_GB2312" w:hAnsi="仿宋_GB2312" w:cs="仿宋_GB2312" w:eastAsia="仿宋_GB2312"/>
        </w:rPr>
        <w:t>西乡县牧马河幸福河湖建设项目设计招标(二次)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HYRJ2026-06.1B1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西乡县牧马河幸福河湖建设项目设计招标(二次)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西乡县牧马河幸福河湖建设项目设计招标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采购包1（西乡县牧马河幸福河湖建设项目设计招标）：属于专门面向中小企业采购。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2、法定代表人身份证明或法定代表人授权委托书：法定代表人授权委托书及被授权委托人身份证（法定代表人参加磋商只须提供法定代表人身份证）</w:t>
      </w:r>
    </w:p>
    <w:p>
      <w:pPr>
        <w:pStyle w:val="null3"/>
      </w:pPr>
      <w:r>
        <w:rPr>
          <w:rFonts w:ascii="仿宋_GB2312" w:hAnsi="仿宋_GB2312" w:cs="仿宋_GB2312" w:eastAsia="仿宋_GB2312"/>
        </w:rPr>
        <w:t>3、供应商资质：供应商须具备工程勘察（岩土工程）专业乙级（含乙级）以上资质，同时具备工程设计水利行业乙级（含乙级）以上资质或水利行业（河道整治与城市防洪）专业乙级（含乙级）以上资质；</w:t>
      </w:r>
    </w:p>
    <w:p>
      <w:pPr>
        <w:pStyle w:val="null3"/>
      </w:pPr>
      <w:r>
        <w:rPr>
          <w:rFonts w:ascii="仿宋_GB2312" w:hAnsi="仿宋_GB2312" w:cs="仿宋_GB2312" w:eastAsia="仿宋_GB2312"/>
        </w:rPr>
        <w:t>4、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18191150008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陕西华亿瑞景工程项目管理有限责任公司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陕西省汉中市汉台区陕西省汉中市汉台区北关街道办事处供电大道久麟和苑1号楼5楼501-503室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19991618822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开户名称：陕西华亿瑞景工程项目管理有限责任公司</w:t>
            </w:r>
          </w:p>
          <w:p>
            <w:pPr>
              <w:pStyle w:val="null3"/>
            </w:pPr>
            <w:r>
              <w:rPr>
                <w:rFonts w:ascii="仿宋_GB2312" w:hAnsi="仿宋_GB2312" w:cs="仿宋_GB2312" w:eastAsia="仿宋_GB2312"/>
              </w:rPr>
              <w:t>开户银行：中国工商银行股份有限公司汉中人民路支行</w:t>
            </w:r>
          </w:p>
          <w:p>
            <w:pPr>
              <w:pStyle w:val="null3"/>
            </w:pPr>
            <w:r>
              <w:rPr>
                <w:rFonts w:ascii="仿宋_GB2312" w:hAnsi="仿宋_GB2312" w:cs="仿宋_GB2312" w:eastAsia="仿宋_GB2312"/>
              </w:rPr>
              <w:t>银行账号：2606053609200307779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改委员会办公厅颁发的《关于招标代理服务收费有关问题的通知》（发改办价格[2003]857号）的有关规定执行。 成交单位在领取成交通知书前，须向采购代理机构支付代理服务费。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西乡县水利局</w:t>
      </w:r>
      <w:r>
        <w:rPr>
          <w:rFonts w:ascii="仿宋_GB2312" w:hAnsi="仿宋_GB2312" w:cs="仿宋_GB2312" w:eastAsia="仿宋_GB2312"/>
        </w:rPr>
        <w:t>和</w:t>
      </w:r>
      <w:r>
        <w:rPr>
          <w:rFonts w:ascii="仿宋_GB2312" w:hAnsi="仿宋_GB2312" w:cs="仿宋_GB2312" w:eastAsia="仿宋_GB2312"/>
        </w:rPr>
        <w:t>陕西华亿瑞景工程项目管理有限责任公司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陕西华亿瑞景工程项目管理有限责任公司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陕西华亿瑞景工程项目管理有限责任公司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执行国家现行行业验收规范，质量达到合格标准，并通过相关部门的审核验收。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联系人：陈璐</w:t>
      </w:r>
    </w:p>
    <w:p>
      <w:pPr>
        <w:pStyle w:val="null3"/>
      </w:pPr>
      <w:r>
        <w:rPr>
          <w:rFonts w:ascii="仿宋_GB2312" w:hAnsi="仿宋_GB2312" w:cs="仿宋_GB2312" w:eastAsia="仿宋_GB2312"/>
        </w:rPr>
        <w:t>联系电话：13772849286</w:t>
      </w:r>
    </w:p>
    <w:p>
      <w:pPr>
        <w:pStyle w:val="null3"/>
      </w:pPr>
      <w:r>
        <w:rPr>
          <w:rFonts w:ascii="仿宋_GB2312" w:hAnsi="仿宋_GB2312" w:cs="仿宋_GB2312" w:eastAsia="仿宋_GB2312"/>
        </w:rPr>
        <w:t>地址：陕西省汉中市汉台区北关街道办事处供电大道久地麟和苑1号楼5楼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西乡县牧马河幸福河湖建设项目设计招标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西乡县牧马河幸福河湖项目施工的设计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标的名称：西乡县牧马河幸福河湖项目施工的设计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一、勘察设计要求</w:t>
            </w:r>
            <w:r>
              <w:br/>
            </w:r>
            <w:r>
              <w:rPr>
                <w:rFonts w:ascii="仿宋_GB2312" w:hAnsi="仿宋_GB2312" w:cs="仿宋_GB2312" w:eastAsia="仿宋_GB2312"/>
              </w:rPr>
              <w:t xml:space="preserve"> 1、 工程设计应遵守国家有关法律法规，必须符合工程建设强制性标准，且标准和内容必须按照本工程项目的有关要求。 </w:t>
            </w:r>
            <w:r>
              <w:br/>
            </w:r>
            <w:r>
              <w:rPr>
                <w:rFonts w:ascii="仿宋_GB2312" w:hAnsi="仿宋_GB2312" w:cs="仿宋_GB2312" w:eastAsia="仿宋_GB2312"/>
              </w:rPr>
              <w:t xml:space="preserve"> 2、中标单位的工作范围包括：开展初步设计、施工图等阶段的测量、地勘、设计报告和图纸，概（估）算编制，以及施工阶段后续服务等。 </w:t>
            </w:r>
            <w:r>
              <w:br/>
            </w:r>
            <w:r>
              <w:rPr>
                <w:rFonts w:ascii="仿宋_GB2312" w:hAnsi="仿宋_GB2312" w:cs="仿宋_GB2312" w:eastAsia="仿宋_GB2312"/>
              </w:rPr>
              <w:t xml:space="preserve"> 3、工程设计应坚持节约资源、少占耕地、确保安全、提高质量利于运行和降低造价的原则。 </w:t>
            </w:r>
            <w:r>
              <w:br/>
            </w:r>
            <w:r>
              <w:rPr>
                <w:rFonts w:ascii="仿宋_GB2312" w:hAnsi="仿宋_GB2312" w:cs="仿宋_GB2312" w:eastAsia="仿宋_GB2312"/>
              </w:rPr>
              <w:t xml:space="preserve"> 4、投标人在其工作范围内应确保其各自独立准备的全部勘察设计文件在中国境内外都没有且也不会侵犯任何第三方的知识产权（包括但不限于著作权、商标权、专利权）或专有技术或商业秘密；投标人如果在其勘察设计文件中使用或包含任何其他人的知识产权或专有技术或商业秘密，应保证已经获得权利人的合法、有效、充分的授权；招标人拥有中标人所提交的全部勘察设计文件（包括设计方案、设计成果）的使用权和受益权，并使用于招标项目。 </w:t>
            </w:r>
            <w:r>
              <w:br/>
            </w:r>
            <w:r>
              <w:rPr>
                <w:rFonts w:ascii="仿宋_GB2312" w:hAnsi="仿宋_GB2312" w:cs="仿宋_GB2312" w:eastAsia="仿宋_GB2312"/>
              </w:rPr>
              <w:t xml:space="preserve"> 5、设计提交成果：项目各阶段纸质资料 3 套，电子版 1 份 </w:t>
            </w:r>
            <w:r>
              <w:br/>
            </w:r>
            <w:r>
              <w:rPr>
                <w:rFonts w:ascii="仿宋_GB2312" w:hAnsi="仿宋_GB2312" w:cs="仿宋_GB2312" w:eastAsia="仿宋_GB2312"/>
              </w:rPr>
              <w:t xml:space="preserve"> 6、 施工现场配合服务 </w:t>
            </w:r>
            <w:r>
              <w:br/>
            </w:r>
            <w:r>
              <w:rPr>
                <w:rFonts w:ascii="仿宋_GB2312" w:hAnsi="仿宋_GB2312" w:cs="仿宋_GB2312" w:eastAsia="仿宋_GB2312"/>
              </w:rPr>
              <w:t xml:space="preserve"> 6.1 现场设计。 </w:t>
            </w:r>
            <w:r>
              <w:br/>
            </w:r>
            <w:r>
              <w:rPr>
                <w:rFonts w:ascii="仿宋_GB2312" w:hAnsi="仿宋_GB2312" w:cs="仿宋_GB2312" w:eastAsia="仿宋_GB2312"/>
              </w:rPr>
              <w:t xml:space="preserve"> 6.2 设计变更。 </w:t>
            </w:r>
            <w:r>
              <w:br/>
            </w:r>
            <w:r>
              <w:rPr>
                <w:rFonts w:ascii="仿宋_GB2312" w:hAnsi="仿宋_GB2312" w:cs="仿宋_GB2312" w:eastAsia="仿宋_GB2312"/>
              </w:rPr>
              <w:t xml:space="preserve"> 6.3 施工及安全技术交底。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供应商根据要求自主填写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供应商根据服务要求自主填写</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执行国家现行行业验收规范，质量达到合格标准，并通过相关部门的审核验收。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进度款，合同签订后预付30％费用，达到付款条件起5个工作日内，支付合同总金额的30.0%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进度款，甲方收到乙方成果报告后，支付剩余的65％，达到付款条件起5个工作日内，支付合同总金额的65.0%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进度款，竣工验收合格后支付剩余5％，达到付款条件起5个工作日内，支付合同总金额的5.0%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供应商应提交的相关资格证明材料.docx 技术偏离表.docx 商务应答表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供应商须具备工程勘察（岩土工程）专业乙级（含乙级）以上资质，同时具备工程设计水利行业乙级（含乙级）以上资质或水利行业（河道整治与城市防洪）专业乙级（含乙级）以上资质；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竞争性磋商响应文件的编写</w:t>
            </w:r>
          </w:p>
        </w:tc>
        <w:tc>
          <w:tcPr>
            <w:tcW w:type="dxa" w:w="3322"/>
          </w:tcPr>
          <w:p>
            <w:pPr>
              <w:pStyle w:val="null3"/>
            </w:pPr>
            <w:r>
              <w:rPr>
                <w:rFonts w:ascii="仿宋_GB2312" w:hAnsi="仿宋_GB2312" w:cs="仿宋_GB2312" w:eastAsia="仿宋_GB2312"/>
              </w:rPr>
              <w:t>竞争性磋商响应文件的编写是否满足要求；签字、盖章是否有效，字迹是否清晰可辨，编写格式符合竞争性磋商文件要求</w:t>
            </w:r>
          </w:p>
        </w:tc>
        <w:tc>
          <w:tcPr>
            <w:tcW w:type="dxa" w:w="1661"/>
          </w:tcPr>
          <w:p>
            <w:pPr>
              <w:pStyle w:val="null3"/>
            </w:pPr>
            <w:r>
              <w:rPr>
                <w:rFonts w:ascii="仿宋_GB2312" w:hAnsi="仿宋_GB2312" w:cs="仿宋_GB2312" w:eastAsia="仿宋_GB2312"/>
              </w:rPr>
              <w:t>响应文件封面 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磋商响应文件有效期符合磋商文件要求</w:t>
            </w:r>
          </w:p>
        </w:tc>
        <w:tc>
          <w:tcPr>
            <w:tcW w:type="dxa" w:w="3322"/>
          </w:tcPr>
          <w:p>
            <w:pPr>
              <w:pStyle w:val="null3"/>
            </w:pPr>
            <w:r>
              <w:rPr>
                <w:rFonts w:ascii="仿宋_GB2312" w:hAnsi="仿宋_GB2312" w:cs="仿宋_GB2312" w:eastAsia="仿宋_GB2312"/>
              </w:rPr>
              <w:t>磋商响应文件有效期符合磋商文件要求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整体设计方案</w:t>
            </w:r>
          </w:p>
        </w:tc>
        <w:tc>
          <w:tcPr>
            <w:tcW w:type="dxa" w:w="2492"/>
          </w:tcPr>
          <w:p>
            <w:pPr>
              <w:pStyle w:val="null3"/>
            </w:pPr>
            <w:r>
              <w:rPr>
                <w:rFonts w:ascii="仿宋_GB2312" w:hAnsi="仿宋_GB2312" w:cs="仿宋_GB2312" w:eastAsia="仿宋_GB2312"/>
              </w:rPr>
              <w:t>针对本项目提供的勘察设计服务方案包括：①勘察设计范围和内容、依据②勘察设计总体方案③安全保障措施④勘察设计工作协调措施⑤成果控制保障措施； 评审标准 1、完整性：方案须全面，对评审内容中的各项要求有详细描述； 2、可实施性：切合本项目实际情况，实施步骤清晰、合理； 3、针对性：方案能够紧扣项目实际情况，内容科学合理。 赋分标准（满分30分） ①勘察设计范围和内容、依据：每完全满足一个评审标准得2分，满分6分； ②勘察设计总体方案：每完全满足一个评审标准得2分，满分6分； ③安全保障措施：每完全满足一个评审标准得2分，满分6分； ④勘察设计工作协调措施：每完全满足一个评审标准得2分，满分6分； ⑤成果控制保障措施：每完全满足一个评审标准得2分，满分6分。（每项针对评审标准存在有不合理处的扣0.5分）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项目理解及解读</w:t>
            </w:r>
          </w:p>
        </w:tc>
        <w:tc>
          <w:tcPr>
            <w:tcW w:type="dxa" w:w="2492"/>
          </w:tcPr>
          <w:p>
            <w:pPr>
              <w:pStyle w:val="null3"/>
            </w:pPr>
            <w:r>
              <w:rPr>
                <w:rFonts w:ascii="仿宋_GB2312" w:hAnsi="仿宋_GB2312" w:cs="仿宋_GB2312" w:eastAsia="仿宋_GB2312"/>
              </w:rPr>
              <w:t>对本项目的理解程度包括:①对项目背景与相关政策解读②工作内容、要求和工作范围等③项目勘察设计工作中的重点进行分析④现状解析及提升建设策略； 评审标准 1、完整性：方案须全面，对评审内容中的各项要求有详细描述； 2、可实施性：切合本项目实际情况，实施步骤清晰、合理； 3、针对性：方案能够紧扣项目实际情况，内容科学合理。 赋分标准（满分12分） ①对项目背景与相关政策解读：每完全满足一个评审标准得1分，满分3分； ②工作内容、要求和工作范围等：每完全满足一个评审标准得1分，满分3分； ③项目设计工作中的重点进行分析：每完全满足一个评审标准得1分，满分3分；④现状解析及提升建设策略：每完全满足一个评审标准得1分，满分3分。（每项针对评审标准存在有不合理处的扣0.5分）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对本项目提供的质量保障措施内容包括①质量保障承诺措施②勘察设计阶段工期控制； 评审标准 1、完整性：方案须全面，对评审内容中的各项要求有详细描述； 2、可实施性：切合本项目实际情况，实施步骤清晰、合理； 3、针对性：方案能够紧扣项目实际情况，内容科学合理。 赋分标准（满分9分） ①质量保障承诺措施：每完全满足一个评审标准得1.5分，满分4.5分；②设计阶段工期控制：每完全满足一个评审标准得1.5分，满分4.5分。（每项针对评审标准存在有不合理处的扣0.5分）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对本项目提供的进度安排及保障措施内容，包括①进度计划②进度保障措施； 评审标准 1、完整性：方案须全面，对评审内容中的各项要求有详细描述； 2、可实施性：切合本项目实际情况，实施步骤清晰、合理； 3、针对性：方案能够紧扣项目实际情况，内容科学合理。 赋分标准（满分9分） ①进度计划：每完全满足一个评审标准得1.5分，满分4.5分；②进度保障措施：每完全满足一个评审标准得1.5分，满分4.5分。（每项针对评审标准存在有不合理处的扣0.5分）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针对本项目在服务工作中的常见问题进行梳理，具有的良好的解决方案并及时向采购人提出合理化建议，每提供一条有效且合理的建议得1分，满分3分。不提供不得分。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对本项目提供的后续服务方案包括：①后续工作配合承诺及措施②后续服务响应时间；③应急预案④保密措施； 评审标准 1、完整性：方案须全面，对评审内容中的各项要求有详细描述； 2、可实施性：切合本项目实际情况，实施步骤清晰、合理； 3、针对性：方案能够紧扣项目实际情况，内容科学合理。 赋分标准（满分12分） ①后续工作配合承诺及措施：每完全满足一个评审标准得1分，满分3分；②后续服务响应时间：每完全满足一个评审标准得1分，满分3分；③应急预案：每完全满足一个评审标准得1分，满分3分；④保密措施：每完全满足一个评审标准得1分，满分3分。（每项针对评审标准存在有不合理处的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1、拟派项目负责人（1人）：拟派负责人须具备相关专业高级及以上职称证书得4分，本项最高得4分。 2、拟派项目团队成员中（项目负责人除外）具备相关专业中级及以上职称的，提供一人得1.5分；该项最多得6分。 注：技术负责人需提供缴纳近三个月连续社保证明及劳动合同。拟派项目团队成员须提供身份证、职称证书、连续三个月社保及劳动合同复印件并加盖公章，否则不予认定。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供应商提供（2022年1月至今)已完成业绩，提供1 个业绩得 2.5 分，最多得5分，未提供不得分(注： 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