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CB4438">
      <w:pPr>
        <w:pStyle w:val="2"/>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 w:val="21"/>
          <w:szCs w:val="21"/>
          <w:highlight w:val="none"/>
        </w:rPr>
      </w:pPr>
      <w:r>
        <w:rPr>
          <w:rFonts w:hint="eastAsia" w:ascii="宋体" w:hAnsi="宋体" w:cs="宋体"/>
          <w:b/>
          <w:bCs/>
          <w:color w:val="auto"/>
          <w:sz w:val="36"/>
          <w:szCs w:val="36"/>
          <w:highlight w:val="none"/>
          <w:lang w:val="en-US" w:eastAsia="zh-CN"/>
        </w:rPr>
        <w:t>采购需求</w:t>
      </w:r>
    </w:p>
    <w:p w14:paraId="7E5B8E98">
      <w:pPr>
        <w:pStyle w:val="2"/>
        <w:keepNext w:val="0"/>
        <w:keepLines w:val="0"/>
        <w:pageBreakBefore w:val="0"/>
        <w:widowControl/>
        <w:kinsoku/>
        <w:wordWrap/>
        <w:overflowPunct/>
        <w:topLinePunct w:val="0"/>
        <w:autoSpaceDE/>
        <w:autoSpaceDN/>
        <w:bidi w:val="0"/>
        <w:adjustRightInd/>
        <w:snapToGrid/>
        <w:spacing w:line="360" w:lineRule="auto"/>
        <w:jc w:val="both"/>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一、项目概况</w:t>
      </w:r>
    </w:p>
    <w:p w14:paraId="22985D71">
      <w:pPr>
        <w:pStyle w:val="5"/>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color w:val="auto"/>
          <w:sz w:val="21"/>
          <w:szCs w:val="21"/>
        </w:rPr>
      </w:pPr>
      <w:r>
        <w:rPr>
          <w:rFonts w:hint="eastAsia" w:ascii="宋体" w:hAnsi="宋体"/>
          <w:color w:val="auto"/>
          <w:sz w:val="21"/>
          <w:szCs w:val="21"/>
          <w:lang w:eastAsia="zh-CN"/>
        </w:rPr>
        <w:t>西安市碑林区建国路小学北教学楼维修加固及操场修缮工程</w:t>
      </w:r>
      <w:r>
        <w:rPr>
          <w:rFonts w:ascii="宋体" w:hAnsi="宋体"/>
          <w:color w:val="auto"/>
          <w:sz w:val="21"/>
          <w:szCs w:val="21"/>
        </w:rPr>
        <w:t>，</w:t>
      </w:r>
      <w:r>
        <w:rPr>
          <w:rFonts w:hint="eastAsia" w:ascii="宋体" w:hAnsi="宋体"/>
          <w:color w:val="auto"/>
          <w:sz w:val="21"/>
          <w:szCs w:val="21"/>
        </w:rPr>
        <w:t>建筑层数:地上3层、地下0层，建筑高度:10.95米，改造后建筑结构形式为钢筋混凝土框架结构，建筑面积:地上</w:t>
      </w:r>
      <w:bookmarkStart w:id="0" w:name="_GoBack"/>
      <w:bookmarkEnd w:id="0"/>
      <w:r>
        <w:rPr>
          <w:rFonts w:hint="eastAsia" w:ascii="宋体" w:hAnsi="宋体"/>
          <w:color w:val="auto"/>
          <w:sz w:val="21"/>
          <w:szCs w:val="21"/>
        </w:rPr>
        <w:t>1298.0m。内容包含土建工程、室内装饰装修工程、电气工程、给排水工程、结构加固工程等各专业内容</w:t>
      </w:r>
      <w:r>
        <w:rPr>
          <w:rFonts w:hint="eastAsia" w:ascii="宋体" w:hAnsi="宋体"/>
          <w:color w:val="auto"/>
          <w:sz w:val="21"/>
          <w:szCs w:val="21"/>
          <w:lang w:eastAsia="zh-CN"/>
        </w:rPr>
        <w:t>，</w:t>
      </w:r>
      <w:r>
        <w:rPr>
          <w:rFonts w:ascii="宋体" w:hAnsi="宋体"/>
          <w:color w:val="auto"/>
          <w:sz w:val="21"/>
          <w:szCs w:val="21"/>
        </w:rPr>
        <w:t>具体以工程量清单为准。</w:t>
      </w:r>
    </w:p>
    <w:p w14:paraId="2652B480">
      <w:pPr>
        <w:pStyle w:val="5"/>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color w:val="auto"/>
          <w:sz w:val="21"/>
          <w:szCs w:val="21"/>
          <w:highlight w:val="none"/>
        </w:rPr>
      </w:pPr>
      <w:r>
        <w:rPr>
          <w:rFonts w:ascii="宋体" w:hAnsi="宋体"/>
          <w:color w:val="auto"/>
          <w:sz w:val="21"/>
          <w:szCs w:val="21"/>
          <w:highlight w:val="none"/>
        </w:rPr>
        <w:t>本项目所属行业为建筑业</w:t>
      </w:r>
      <w:r>
        <w:rPr>
          <w:rFonts w:hint="eastAsia" w:ascii="宋体" w:hAnsi="宋体"/>
          <w:color w:val="auto"/>
          <w:sz w:val="21"/>
          <w:szCs w:val="21"/>
          <w:highlight w:val="none"/>
          <w:lang w:eastAsia="zh-CN"/>
        </w:rPr>
        <w:t>。</w:t>
      </w:r>
      <w:r>
        <w:rPr>
          <w:rFonts w:ascii="宋体" w:hAnsi="宋体"/>
          <w:color w:val="auto"/>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E282B0B">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二、工程内容和施工地点、计划工期、缺陷责任期、质量保修期</w:t>
      </w:r>
    </w:p>
    <w:p w14:paraId="44CEA6F6">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（一）工程内容：包含土建工程、室内装饰装修工程、电气工程、给排水工程、结构加固工程等各专业内容，具体以工程量清单为准。</w:t>
      </w:r>
    </w:p>
    <w:p w14:paraId="2C8ABFF4">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（二）工程地点：</w:t>
      </w:r>
      <w:r>
        <w:rPr>
          <w:rFonts w:hint="eastAsia" w:ascii="宋体" w:hAnsi="宋体" w:cs="宋体"/>
          <w:color w:val="auto"/>
          <w:sz w:val="21"/>
          <w:szCs w:val="21"/>
          <w:highlight w:val="none"/>
          <w:lang w:eastAsia="zh-CN"/>
        </w:rPr>
        <w:t>西安市碑林区建国路小学北教学楼</w:t>
      </w:r>
      <w:r>
        <w:rPr>
          <w:rFonts w:hint="eastAsia" w:ascii="宋体" w:hAnsi="宋体" w:cs="宋体"/>
          <w:color w:val="auto"/>
          <w:sz w:val="21"/>
          <w:szCs w:val="21"/>
          <w:highlight w:val="none"/>
        </w:rPr>
        <w:t>。</w:t>
      </w:r>
    </w:p>
    <w:p w14:paraId="01EC4886">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（三）计划工期：自合同签订之日起45天</w:t>
      </w:r>
    </w:p>
    <w:p w14:paraId="220CC568">
      <w:pPr>
        <w:pStyle w:val="5"/>
        <w:keepNext w:val="0"/>
        <w:keepLines w:val="0"/>
        <w:pageBreakBefore w:val="0"/>
        <w:kinsoku/>
        <w:wordWrap/>
        <w:overflowPunct/>
        <w:topLinePunct w:val="0"/>
        <w:autoSpaceDE/>
        <w:autoSpaceDN/>
        <w:bidi w:val="0"/>
        <w:adjustRightInd/>
        <w:snapToGrid/>
        <w:spacing w:before="90" w:after="90" w:line="360" w:lineRule="auto"/>
        <w:jc w:val="both"/>
        <w:textAlignment w:val="auto"/>
        <w:rPr>
          <w:rFonts w:hint="default" w:ascii="宋体" w:hAnsi="宋体"/>
          <w:color w:val="auto"/>
          <w:sz w:val="21"/>
          <w:szCs w:val="21"/>
          <w:highlight w:val="none"/>
        </w:rPr>
      </w:pPr>
      <w:r>
        <w:rPr>
          <w:rFonts w:ascii="宋体" w:hAnsi="宋体"/>
          <w:color w:val="auto"/>
          <w:sz w:val="21"/>
          <w:szCs w:val="21"/>
          <w:highlight w:val="none"/>
        </w:rPr>
        <w:t>（四）缺陷责任期：本工程缺陷责任期为2年，缺陷责任期自工程竣工验收合格之日起计算。</w:t>
      </w:r>
    </w:p>
    <w:p w14:paraId="76981F8E">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（五）质量保修期：按照国家民用建筑相关规定执行。</w:t>
      </w:r>
    </w:p>
    <w:p w14:paraId="79F9DF65">
      <w:pPr>
        <w:pStyle w:val="5"/>
        <w:keepNext w:val="0"/>
        <w:keepLines w:val="0"/>
        <w:pageBreakBefore w:val="0"/>
        <w:kinsoku/>
        <w:wordWrap/>
        <w:overflowPunct/>
        <w:topLinePunct w:val="0"/>
        <w:autoSpaceDE/>
        <w:autoSpaceDN/>
        <w:bidi w:val="0"/>
        <w:adjustRightInd/>
        <w:snapToGrid/>
        <w:spacing w:before="90" w:after="90" w:line="360" w:lineRule="auto"/>
        <w:jc w:val="both"/>
        <w:textAlignment w:val="auto"/>
        <w:rPr>
          <w:rFonts w:hint="default" w:ascii="宋体" w:hAnsi="宋体"/>
          <w:color w:val="auto"/>
          <w:sz w:val="21"/>
          <w:szCs w:val="21"/>
          <w:highlight w:val="none"/>
        </w:rPr>
      </w:pPr>
      <w:r>
        <w:rPr>
          <w:rFonts w:ascii="宋体" w:hAnsi="宋体"/>
          <w:color w:val="auto"/>
          <w:sz w:val="21"/>
          <w:szCs w:val="21"/>
          <w:highlight w:val="none"/>
        </w:rPr>
        <w:t>（六）质量要求：合格。</w:t>
      </w:r>
    </w:p>
    <w:p w14:paraId="7D367399">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三、工程量清单和编制依据</w:t>
      </w:r>
    </w:p>
    <w:p w14:paraId="1FFF61A4">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（一）编制依据：</w:t>
      </w:r>
    </w:p>
    <w:p w14:paraId="4C1989DD">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工程量依据西安建筑科技大学设计研究总院有限公司设计的西安市碑林区建国路小学北教学楼维修加固及操场修缮工程各专业施工图及设计答疑回复编制；</w:t>
      </w:r>
    </w:p>
    <w:p w14:paraId="145CAA26">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《关于批准发布《绿色生态小区建设评价标准》等 7 项陕西省工程建设标准的通告》陕建标发〔2025〕2 号，《建设工程工程量清单计价标准》（DB61/T5126-2025）、《房屋建筑与装饰工程工程量计算标准》（DB 61/T5129-2025）、《通用安装工程工程量计算标准》（DB 61/T5130-2025）；</w:t>
      </w:r>
    </w:p>
    <w:p w14:paraId="5D25C6A7">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《陕西省建设工程费用规则》（2025）；</w:t>
      </w:r>
    </w:p>
    <w:p w14:paraId="159B7661">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工程特点及常规施工方案，现行施工规范；</w:t>
      </w:r>
    </w:p>
    <w:p w14:paraId="35F1D335">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与建设工程项目有关的标准、规范、图集、技术资料；</w:t>
      </w:r>
    </w:p>
    <w:p w14:paraId="06B79F3B">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图纸问题答疑回复。</w:t>
      </w:r>
    </w:p>
    <w:p w14:paraId="5A30E0DC">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（二）编制说明：</w:t>
      </w:r>
    </w:p>
    <w:p w14:paraId="02AD6C0E">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本工程量清单所提供工程项目特征仅表达了主要工程做法，组价时应依据施工图纸、相关图集、招标文件、技术规范、答疑回复等进行组价；</w:t>
      </w:r>
    </w:p>
    <w:p w14:paraId="2293132A">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本工程采用一般计税:组成税前工程造价的分部分项工程项目费、措施项目费、其他项目费均不包含进项税税额；</w:t>
      </w:r>
    </w:p>
    <w:p w14:paraId="62F45D5B">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本工程砂浆采用预拌砂浆，混凝土采用商品混凝土；</w:t>
      </w:r>
    </w:p>
    <w:p w14:paraId="7365D6ED">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本工程考虑土方平衡；</w:t>
      </w:r>
    </w:p>
    <w:p w14:paraId="1328369C">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本工程不包含图纸建施 02、建施 03 中的拆除部分；</w:t>
      </w:r>
    </w:p>
    <w:p w14:paraId="204999A4">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电子版使用广联达云计价软件 GCCP7.0（版本：7.5000.23.3）</w:t>
      </w:r>
    </w:p>
    <w:p w14:paraId="2C5B036A">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（三）暂列金额：本工程暂列金额共计220000.00元（不含税），计入单位工程暂列金额其他项目费中。</w:t>
      </w:r>
    </w:p>
    <w:p w14:paraId="34C2C278">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四、施工要求</w:t>
      </w:r>
    </w:p>
    <w:p w14:paraId="05FDE973">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1.在施工期间，供应商必须注意施工现场人员安全，加强安全措施，并对施工人员进行安全教育。施工人员必须持证上岗。</w:t>
      </w:r>
    </w:p>
    <w:p w14:paraId="05D0E1B4">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.供应商在本工程中的项目负责人(项目经理)，要求技术水平高、组织能力强、有丰富的工程业绩和实践经验，懂管理、善于协调。施工人员中特殊工程人员要求有上岗证。施工队伍稳定，保证整个工程顺利完工。</w:t>
      </w:r>
    </w:p>
    <w:p w14:paraId="209AEEE5">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.施工过程中，严格遵守</w:t>
      </w:r>
      <w:r>
        <w:rPr>
          <w:rFonts w:hint="eastAsia" w:ascii="宋体" w:hAnsi="宋体" w:cs="宋体"/>
          <w:color w:val="auto"/>
          <w:sz w:val="21"/>
          <w:szCs w:val="21"/>
          <w:highlight w:val="none"/>
          <w:lang w:val="en-US" w:eastAsia="zh-CN"/>
        </w:rPr>
        <w:t>采购人</w:t>
      </w:r>
      <w:r>
        <w:rPr>
          <w:rFonts w:hint="eastAsia" w:ascii="宋体" w:hAnsi="宋体" w:cs="宋体"/>
          <w:color w:val="auto"/>
          <w:sz w:val="21"/>
          <w:szCs w:val="21"/>
          <w:highlight w:val="none"/>
        </w:rPr>
        <w:t>各种管理规定及规章制度，做到文明施工。发生工伤及意外事故由施工单位负责。</w:t>
      </w:r>
    </w:p>
    <w:p w14:paraId="3493F63E">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.严格按照国家和省上有关规定施工、规范施工，确保工程合格，如有更改须事先征得有关方面的同意，并在采购人落实后实施，并出具书面说明。</w:t>
      </w:r>
    </w:p>
    <w:p w14:paraId="583185F7">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.工程实行包工包料，供应商必须具备相应的资质，不得转包、分包。</w:t>
      </w:r>
    </w:p>
    <w:p w14:paraId="479EEC61">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.供应商根据工程实际情况编制施工方案，制定工期进度安排表，并随磋商响应文件一并提交。</w:t>
      </w:r>
    </w:p>
    <w:p w14:paraId="50CD1E3E">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.所有进场材料需携带合格证等质量证明文件，所有提供的材料均需使用环保产品，对小区内住户的健康无危害，由采购人现场代表对所进场材料予以验收并签字确认。</w:t>
      </w:r>
    </w:p>
    <w:p w14:paraId="1F9682EB">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.施工期间需采取必要措施确保现场正常运行。</w:t>
      </w:r>
    </w:p>
    <w:p w14:paraId="336950CD">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.所有施工人员需统一着装统一单位标识，严禁随意通行。</w:t>
      </w:r>
    </w:p>
    <w:p w14:paraId="09F88AF1">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.选用的主材、设备、辅材必须使用国家名优产品，并明确其品牌、规格、型号、产地，并附鉴定证书，对主要设备材料</w:t>
      </w:r>
      <w:r>
        <w:rPr>
          <w:rFonts w:hint="eastAsia" w:ascii="宋体" w:hAnsi="宋体" w:cs="宋体"/>
          <w:color w:val="auto"/>
          <w:sz w:val="21"/>
          <w:szCs w:val="21"/>
          <w:highlight w:val="none"/>
          <w:lang w:val="en-US" w:eastAsia="zh-CN"/>
        </w:rPr>
        <w:t>需</w:t>
      </w:r>
      <w:r>
        <w:rPr>
          <w:rFonts w:hint="eastAsia" w:ascii="宋体" w:hAnsi="宋体" w:cs="宋体"/>
          <w:color w:val="auto"/>
          <w:sz w:val="21"/>
          <w:szCs w:val="21"/>
          <w:highlight w:val="none"/>
        </w:rPr>
        <w:t>先提交样品，经认质后，方可订货，不得使用未经检验或不合格的设备、材料，若发生此种情况，将追究相关人员责任，并赔偿由此造成的一切经济损失。</w:t>
      </w:r>
    </w:p>
    <w:p w14:paraId="022151DC">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.供应商必须向采购人及时提供合格证及材料检验单。在征得有关方面认可后，方可进行施工，并做好相应的检验环节。</w:t>
      </w:r>
    </w:p>
    <w:p w14:paraId="6568BCFD">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.供应商未经采购人同意，不得擅自更换本工程在磋商响应文件中指定的项目施工负责人(项目经理)及施工队伍。不得分包、转包。确需分包时须征得采购人同意。否则将终止合同并按政府采购有关规定进行处理。</w:t>
      </w:r>
    </w:p>
    <w:p w14:paraId="18795E68">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13.塑胶操场材料样块需提供有关质量检验部门出具的检验报告。</w:t>
      </w:r>
    </w:p>
    <w:p w14:paraId="0B1322E6">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五、其他要求</w:t>
      </w:r>
    </w:p>
    <w:p w14:paraId="3A76FFA6">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.需严格遵循行业规程，地层划分准确，清表工作完整，无遗漏、无破坏。</w:t>
      </w:r>
    </w:p>
    <w:p w14:paraId="5EDA6EB7">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所有记录资料、图纸、影像需规范归档，编号统一，内容对应，能够完整反映全过程及成果；</w:t>
      </w:r>
    </w:p>
    <w:p w14:paraId="6D9CBEB9">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工作报告需符合行业编制规范，内容涵盖项目概况、清表过程等，经采购人组织专家评审合格后方可正式交付。</w:t>
      </w:r>
    </w:p>
    <w:p w14:paraId="11AB35CB">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六</w:t>
      </w:r>
      <w:r>
        <w:rPr>
          <w:rFonts w:hint="eastAsia" w:ascii="宋体" w:hAnsi="宋体" w:cs="宋体"/>
          <w:b/>
          <w:bCs/>
          <w:color w:val="auto"/>
          <w:sz w:val="21"/>
          <w:szCs w:val="21"/>
          <w:highlight w:val="none"/>
        </w:rPr>
        <w:t>、商务要求（如合同价款及结算方式等）</w:t>
      </w:r>
    </w:p>
    <w:p w14:paraId="65128730">
      <w:pPr>
        <w:keepNext w:val="0"/>
        <w:keepLines w:val="0"/>
        <w:pageBreakBefore w:val="0"/>
        <w:kinsoku/>
        <w:wordWrap/>
        <w:overflowPunct/>
        <w:topLinePunct w:val="0"/>
        <w:autoSpaceDE/>
        <w:autoSpaceDN/>
        <w:bidi w:val="0"/>
        <w:adjustRightInd/>
        <w:snapToGrid/>
        <w:spacing w:line="360" w:lineRule="auto"/>
        <w:textAlignment w:val="auto"/>
      </w:pPr>
      <w:r>
        <w:rPr>
          <w:rFonts w:hint="eastAsia" w:ascii="宋体" w:hAnsi="宋体" w:cs="宋体"/>
          <w:color w:val="auto"/>
          <w:sz w:val="21"/>
          <w:szCs w:val="21"/>
          <w:highlight w:val="none"/>
        </w:rPr>
        <w:t>款项结算：合同签订后支付合同总价（扣除暂列金额、安全文明施工费）40%的工程预付款；工程进度达100%</w:t>
      </w:r>
      <w:r>
        <w:rPr>
          <w:rFonts w:hint="eastAsia" w:ascii="宋体" w:hAnsi="宋体" w:cs="宋体"/>
          <w:color w:val="auto"/>
          <w:sz w:val="21"/>
          <w:szCs w:val="21"/>
          <w:highlight w:val="none"/>
          <w:lang w:val="en-US" w:eastAsia="zh-CN"/>
        </w:rPr>
        <w:t>，竣工验收合格后，由成交供应商报送完整结算资料，竣工结算审计完成后 15 日内，发包人支付至审定结算工程总价的100%。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D06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kern w:val="0"/>
      <w:sz w:val="24"/>
    </w:rPr>
  </w:style>
  <w:style w:type="paragraph" w:customStyle="1" w:styleId="5">
    <w:name w:val="null3"/>
    <w:qFormat/>
    <w:uiPriority w:val="0"/>
    <w:rPr>
      <w:rFonts w:hint="eastAsia" w:ascii="Calibri" w:hAnsi="Calibri" w:eastAsia="宋体" w:cs="宋体"/>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2026-06-29T14:36:22Z</dcterms:created>
  <dc:creator>LX</dc:creator>
  <cp:lastModifiedBy>哆啦A梦</cp:lastModifiedBy>
  <dcterms:modified xsi:type="dcterms:W3CDTF">2026-06-29T14:38:11Z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eyJoZGlkIjoiZjFhMjllM2U1MDBhZGU3NjVlNmFlNWU2YjFmZTUwZDQiLCJ1c2VySWQiOiIzMDU5ODIxMzEifQ==</vt:lpwstr>
  </property>
  <property fmtid="{D5CDD505-2E9C-101B-9397-08002B2CF9AE}" pid="4" name="ICV">
    <vt:lpwstr>C6EEC44CB54A47409A6439D77C3876A8_12</vt:lpwstr>
  </property>
</Properties>
</file>